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C451" w14:textId="77777777" w:rsidR="00071FCA" w:rsidRDefault="00000000" w:rsidP="00071FCA">
      <w:pPr>
        <w:jc w:val="center"/>
        <w:rPr>
          <w:b/>
          <w:i/>
        </w:rPr>
      </w:pPr>
      <w:r>
        <w:rPr>
          <w:sz w:val="22"/>
          <w:szCs w:val="22"/>
          <w:lang w:val="es-ES" w:eastAsia="en-US"/>
        </w:rPr>
        <w:object w:dxaOrig="1440" w:dyaOrig="1440" w14:anchorId="1BDBF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2pt;width:40.95pt;height:54pt;z-index:251658240">
            <v:imagedata r:id="rId4" o:title=""/>
            <w10:wrap type="square"/>
          </v:shape>
          <o:OLEObject Type="Embed" ProgID="MSPhotoEd.3" ShapeID="_x0000_s1026" DrawAspect="Content" ObjectID="_1718805938" r:id="rId5"/>
        </w:object>
      </w:r>
      <w:r w:rsidR="00071FCA">
        <w:rPr>
          <w:b/>
          <w:i/>
        </w:rPr>
        <w:t>Rama Judicial del Poder Público</w:t>
      </w:r>
    </w:p>
    <w:p w14:paraId="3E433157" w14:textId="77777777" w:rsidR="00071FCA" w:rsidRDefault="00071FCA" w:rsidP="00071FCA">
      <w:pPr>
        <w:jc w:val="center"/>
        <w:rPr>
          <w:b/>
          <w:i/>
        </w:rPr>
      </w:pPr>
      <w:r>
        <w:rPr>
          <w:b/>
          <w:i/>
        </w:rPr>
        <w:t>Consejo Superior de la Judicatura</w:t>
      </w:r>
    </w:p>
    <w:p w14:paraId="32C8AF3F" w14:textId="77777777" w:rsidR="00071FCA" w:rsidRDefault="00071FCA" w:rsidP="00071FCA">
      <w:pPr>
        <w:jc w:val="center"/>
        <w:rPr>
          <w:b/>
          <w:i/>
        </w:rPr>
      </w:pPr>
      <w:r>
        <w:rPr>
          <w:b/>
          <w:i/>
        </w:rPr>
        <w:t>Sala Administrativa</w:t>
      </w:r>
    </w:p>
    <w:p w14:paraId="57F7D927" w14:textId="77777777" w:rsidR="00071FCA" w:rsidRDefault="00071FCA" w:rsidP="00071FCA">
      <w:pPr>
        <w:tabs>
          <w:tab w:val="left" w:pos="4520"/>
        </w:tabs>
        <w:rPr>
          <w:b/>
          <w:i/>
        </w:rPr>
      </w:pPr>
      <w:r>
        <w:rPr>
          <w:b/>
          <w:i/>
        </w:rPr>
        <w:tab/>
      </w:r>
    </w:p>
    <w:p w14:paraId="5A52A221" w14:textId="77777777" w:rsidR="00071FCA" w:rsidRDefault="00071FCA" w:rsidP="00071FC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Juez</w:t>
      </w:r>
      <w:r w:rsidR="0001242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Coordinador</w:t>
      </w:r>
      <w:r w:rsidR="0001242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del Centro de Servicios Judiciales para Adolescentes con Función de Control de Garantías</w:t>
      </w:r>
    </w:p>
    <w:p w14:paraId="2F22BA95" w14:textId="77777777" w:rsidR="00071FCA" w:rsidRDefault="00071FCA" w:rsidP="00071FCA">
      <w:pPr>
        <w:jc w:val="center"/>
        <w:rPr>
          <w:b/>
          <w:i/>
          <w:sz w:val="20"/>
          <w:szCs w:val="20"/>
        </w:rPr>
      </w:pPr>
    </w:p>
    <w:p w14:paraId="625CC3DD" w14:textId="77777777" w:rsidR="00071FCA" w:rsidRDefault="00071FCA" w:rsidP="00071FCA">
      <w:pPr>
        <w:jc w:val="both"/>
        <w:rPr>
          <w:rFonts w:ascii="Arial" w:hAnsi="Arial" w:cs="Arial"/>
          <w:sz w:val="22"/>
          <w:szCs w:val="22"/>
        </w:rPr>
      </w:pPr>
    </w:p>
    <w:p w14:paraId="1BD2D80B" w14:textId="77777777" w:rsidR="003604EC" w:rsidRDefault="003604EC" w:rsidP="00071FCA">
      <w:pPr>
        <w:jc w:val="both"/>
        <w:rPr>
          <w:rFonts w:ascii="Arial" w:hAnsi="Arial" w:cs="Arial"/>
          <w:sz w:val="22"/>
          <w:szCs w:val="22"/>
        </w:rPr>
      </w:pPr>
    </w:p>
    <w:p w14:paraId="02B6E0E9" w14:textId="77777777" w:rsidR="003604EC" w:rsidRPr="002D6A3F" w:rsidRDefault="003604EC" w:rsidP="003604EC">
      <w:pPr>
        <w:jc w:val="center"/>
        <w:rPr>
          <w:rFonts w:ascii="Arial" w:hAnsi="Arial" w:cs="Arial"/>
          <w:b/>
          <w:sz w:val="28"/>
          <w:szCs w:val="28"/>
        </w:rPr>
      </w:pPr>
      <w:r w:rsidRPr="002D6A3F">
        <w:rPr>
          <w:rFonts w:ascii="Arial" w:hAnsi="Arial" w:cs="Arial"/>
          <w:b/>
          <w:sz w:val="28"/>
          <w:szCs w:val="28"/>
        </w:rPr>
        <w:t>AVISO</w:t>
      </w:r>
    </w:p>
    <w:p w14:paraId="3CDF05FD" w14:textId="77777777" w:rsidR="003604EC" w:rsidRPr="002D6A3F" w:rsidRDefault="003604EC" w:rsidP="00071FCA">
      <w:pPr>
        <w:jc w:val="both"/>
        <w:rPr>
          <w:rFonts w:ascii="Arial" w:hAnsi="Arial" w:cs="Arial"/>
          <w:sz w:val="28"/>
          <w:szCs w:val="28"/>
        </w:rPr>
      </w:pPr>
    </w:p>
    <w:p w14:paraId="52F58F5B" w14:textId="77777777" w:rsidR="003604EC" w:rsidRPr="002D6A3F" w:rsidRDefault="003604EC" w:rsidP="00071FCA">
      <w:pPr>
        <w:jc w:val="both"/>
        <w:rPr>
          <w:rFonts w:ascii="Arial" w:hAnsi="Arial" w:cs="Arial"/>
          <w:sz w:val="28"/>
          <w:szCs w:val="28"/>
        </w:rPr>
      </w:pPr>
    </w:p>
    <w:p w14:paraId="31897BBD" w14:textId="77777777" w:rsidR="003604EC" w:rsidRPr="002D6A3F" w:rsidRDefault="00AF095F" w:rsidP="00071FCA">
      <w:pPr>
        <w:jc w:val="both"/>
        <w:rPr>
          <w:rFonts w:ascii="Arial" w:hAnsi="Arial" w:cs="Arial"/>
          <w:sz w:val="28"/>
          <w:szCs w:val="28"/>
        </w:rPr>
      </w:pPr>
      <w:r w:rsidRPr="002D6A3F">
        <w:rPr>
          <w:rFonts w:ascii="Arial" w:hAnsi="Arial" w:cs="Arial"/>
          <w:sz w:val="28"/>
          <w:szCs w:val="28"/>
        </w:rPr>
        <w:t>T</w:t>
      </w:r>
      <w:r w:rsidR="003604EC" w:rsidRPr="002D6A3F">
        <w:rPr>
          <w:rFonts w:ascii="Arial" w:hAnsi="Arial" w:cs="Arial"/>
          <w:sz w:val="28"/>
          <w:szCs w:val="28"/>
        </w:rPr>
        <w:t xml:space="preserve">eniendo en cuenta lo establecido en el numeral 2 del artículo 132 de la ley 270 de 1996, en concordancia con el </w:t>
      </w:r>
      <w:r w:rsidR="00220662" w:rsidRPr="002D6A3F">
        <w:rPr>
          <w:rFonts w:ascii="Arial" w:hAnsi="Arial" w:cs="Arial"/>
          <w:sz w:val="28"/>
          <w:szCs w:val="28"/>
        </w:rPr>
        <w:t xml:space="preserve">inciso 2 del artículo 167 de la misma ley, así mismo teniendo en cuenta los pronunciamientos de la Honorable corte Constitucional, en las sentencias C-713 de 2008, C 333 de 2012 y 532 del 2013, relacionadas en la circular PCSJC17-36 de septiembre 25 de 2017, emanada de la Presidencia del Consejo Superior de la Judicatura, en la que se exhorta a </w:t>
      </w:r>
      <w:r w:rsidR="007104C4" w:rsidRPr="002D6A3F">
        <w:rPr>
          <w:rFonts w:ascii="Arial" w:hAnsi="Arial" w:cs="Arial"/>
          <w:sz w:val="28"/>
          <w:szCs w:val="28"/>
        </w:rPr>
        <w:t xml:space="preserve">que la provisión de los empleos en la Rama judicial por vacancia definitiva o transitoria estén orientados por el mérito como criterio de selección. </w:t>
      </w:r>
    </w:p>
    <w:p w14:paraId="025CC7CC" w14:textId="77777777" w:rsidR="007104C4" w:rsidRPr="002D6A3F" w:rsidRDefault="007104C4" w:rsidP="00071FCA">
      <w:pPr>
        <w:jc w:val="both"/>
        <w:rPr>
          <w:rFonts w:ascii="Arial" w:hAnsi="Arial" w:cs="Arial"/>
          <w:sz w:val="28"/>
          <w:szCs w:val="28"/>
        </w:rPr>
      </w:pPr>
    </w:p>
    <w:p w14:paraId="4EA93873" w14:textId="16CE7706" w:rsidR="0011255B" w:rsidRPr="002D6A3F" w:rsidRDefault="007104C4" w:rsidP="00071FCA">
      <w:pPr>
        <w:jc w:val="both"/>
        <w:rPr>
          <w:rFonts w:ascii="Arial" w:hAnsi="Arial" w:cs="Arial"/>
          <w:sz w:val="28"/>
          <w:szCs w:val="28"/>
        </w:rPr>
      </w:pPr>
      <w:r w:rsidRPr="002D6A3F">
        <w:rPr>
          <w:rFonts w:ascii="Arial" w:hAnsi="Arial" w:cs="Arial"/>
          <w:sz w:val="28"/>
          <w:szCs w:val="28"/>
        </w:rPr>
        <w:t xml:space="preserve">Por lo anterior se convoca a quienes en encuentren inscritos y vigentes en el registro de elegibles para el cargo de </w:t>
      </w:r>
      <w:r w:rsidR="002D6A3F" w:rsidRPr="002D6A3F">
        <w:rPr>
          <w:rFonts w:ascii="Arial" w:hAnsi="Arial" w:cs="Arial"/>
          <w:sz w:val="28"/>
          <w:szCs w:val="28"/>
        </w:rPr>
        <w:t>ESCRIBIENTE</w:t>
      </w:r>
      <w:r w:rsidRPr="002D6A3F">
        <w:rPr>
          <w:rFonts w:ascii="Arial" w:hAnsi="Arial" w:cs="Arial"/>
          <w:sz w:val="28"/>
          <w:szCs w:val="28"/>
        </w:rPr>
        <w:t xml:space="preserve"> – CENTRO DE SERVICIOS DE RESPONSABILIDAD PENAL PARA ADOLESCENTES –</w:t>
      </w:r>
      <w:r w:rsidR="002D6A3F" w:rsidRPr="002D6A3F">
        <w:rPr>
          <w:rFonts w:ascii="Arial" w:hAnsi="Arial" w:cs="Arial"/>
          <w:sz w:val="28"/>
          <w:szCs w:val="28"/>
        </w:rPr>
        <w:t xml:space="preserve"> NEIVA y que estén</w:t>
      </w:r>
      <w:r w:rsidRPr="002D6A3F">
        <w:rPr>
          <w:rFonts w:ascii="Arial" w:hAnsi="Arial" w:cs="Arial"/>
          <w:sz w:val="28"/>
          <w:szCs w:val="28"/>
        </w:rPr>
        <w:t xml:space="preserve"> interesados en ocupar el mencionado cargo en esta dependencia de manera temporal y en provisionalidad, mientras se surte el nombramiento en propiedad por renuncia de</w:t>
      </w:r>
      <w:r w:rsidR="002D6A3F" w:rsidRPr="002D6A3F">
        <w:rPr>
          <w:rFonts w:ascii="Arial" w:hAnsi="Arial" w:cs="Arial"/>
          <w:sz w:val="28"/>
          <w:szCs w:val="28"/>
        </w:rPr>
        <w:t xml:space="preserve"> </w:t>
      </w:r>
      <w:r w:rsidRPr="002D6A3F">
        <w:rPr>
          <w:rFonts w:ascii="Arial" w:hAnsi="Arial" w:cs="Arial"/>
          <w:sz w:val="28"/>
          <w:szCs w:val="28"/>
        </w:rPr>
        <w:t>l</w:t>
      </w:r>
      <w:r w:rsidR="002D6A3F" w:rsidRPr="002D6A3F">
        <w:rPr>
          <w:rFonts w:ascii="Arial" w:hAnsi="Arial" w:cs="Arial"/>
          <w:sz w:val="28"/>
          <w:szCs w:val="28"/>
        </w:rPr>
        <w:t>a</w:t>
      </w:r>
      <w:r w:rsidRPr="002D6A3F">
        <w:rPr>
          <w:rFonts w:ascii="Arial" w:hAnsi="Arial" w:cs="Arial"/>
          <w:sz w:val="28"/>
          <w:szCs w:val="28"/>
        </w:rPr>
        <w:t xml:space="preserve"> titular</w:t>
      </w:r>
      <w:r w:rsidR="00096749">
        <w:rPr>
          <w:rFonts w:ascii="Arial" w:hAnsi="Arial" w:cs="Arial"/>
          <w:sz w:val="28"/>
          <w:szCs w:val="28"/>
        </w:rPr>
        <w:t>, p</w:t>
      </w:r>
      <w:r w:rsidRPr="002D6A3F">
        <w:rPr>
          <w:rFonts w:ascii="Arial" w:hAnsi="Arial" w:cs="Arial"/>
          <w:sz w:val="28"/>
          <w:szCs w:val="28"/>
        </w:rPr>
        <w:t xml:space="preserve">ara que presenten sus hojas de vida dentro del término de </w:t>
      </w:r>
      <w:r w:rsidR="00496C80" w:rsidRPr="002D6A3F">
        <w:rPr>
          <w:rFonts w:ascii="Arial" w:hAnsi="Arial" w:cs="Arial"/>
          <w:sz w:val="28"/>
          <w:szCs w:val="28"/>
        </w:rPr>
        <w:t>un (01) día</w:t>
      </w:r>
      <w:r w:rsidR="0011255B" w:rsidRPr="002D6A3F">
        <w:rPr>
          <w:rFonts w:ascii="Arial" w:hAnsi="Arial" w:cs="Arial"/>
          <w:sz w:val="28"/>
          <w:szCs w:val="28"/>
        </w:rPr>
        <w:t>, el</w:t>
      </w:r>
      <w:r w:rsidR="00496C80" w:rsidRPr="002D6A3F">
        <w:rPr>
          <w:rFonts w:ascii="Arial" w:hAnsi="Arial" w:cs="Arial"/>
          <w:sz w:val="28"/>
          <w:szCs w:val="28"/>
        </w:rPr>
        <w:t xml:space="preserve"> que </w:t>
      </w:r>
      <w:r w:rsidR="0011255B" w:rsidRPr="002D6A3F">
        <w:rPr>
          <w:rFonts w:ascii="Arial" w:hAnsi="Arial" w:cs="Arial"/>
          <w:sz w:val="28"/>
          <w:szCs w:val="28"/>
        </w:rPr>
        <w:t>comienza</w:t>
      </w:r>
      <w:r w:rsidR="00496C80" w:rsidRPr="002D6A3F">
        <w:rPr>
          <w:rFonts w:ascii="Arial" w:hAnsi="Arial" w:cs="Arial"/>
          <w:sz w:val="28"/>
          <w:szCs w:val="28"/>
        </w:rPr>
        <w:t xml:space="preserve"> a partir del día de su publicación en la página que para tal efecto determine el Con</w:t>
      </w:r>
      <w:r w:rsidR="0011255B" w:rsidRPr="002D6A3F">
        <w:rPr>
          <w:rFonts w:ascii="Arial" w:hAnsi="Arial" w:cs="Arial"/>
          <w:sz w:val="28"/>
          <w:szCs w:val="28"/>
        </w:rPr>
        <w:t xml:space="preserve">sejo Seccional de la Judicatura, enviándolas al correo electrónico </w:t>
      </w:r>
      <w:r w:rsidR="00496C80" w:rsidRPr="002D6A3F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11255B" w:rsidRPr="002D6A3F">
          <w:rPr>
            <w:rStyle w:val="Hipervnculo"/>
            <w:rFonts w:ascii="Arial" w:hAnsi="Arial" w:cs="Arial"/>
            <w:sz w:val="28"/>
            <w:szCs w:val="28"/>
          </w:rPr>
          <w:t>rochoas@cendoj.ramajudicial.gov.co</w:t>
        </w:r>
      </w:hyperlink>
      <w:r w:rsidR="0011255B" w:rsidRPr="002D6A3F">
        <w:rPr>
          <w:rFonts w:ascii="Arial" w:hAnsi="Arial" w:cs="Arial"/>
          <w:sz w:val="28"/>
          <w:szCs w:val="28"/>
        </w:rPr>
        <w:t>.</w:t>
      </w:r>
    </w:p>
    <w:p w14:paraId="4CE76A9E" w14:textId="77777777" w:rsidR="0011255B" w:rsidRPr="002D6A3F" w:rsidRDefault="0011255B" w:rsidP="00071FCA">
      <w:pPr>
        <w:jc w:val="both"/>
        <w:rPr>
          <w:rFonts w:ascii="Arial" w:hAnsi="Arial" w:cs="Arial"/>
          <w:sz w:val="28"/>
          <w:szCs w:val="28"/>
        </w:rPr>
      </w:pPr>
    </w:p>
    <w:p w14:paraId="64F21D3E" w14:textId="77777777" w:rsidR="0011255B" w:rsidRPr="002D6A3F" w:rsidRDefault="0011255B" w:rsidP="00071FCA">
      <w:pPr>
        <w:jc w:val="both"/>
        <w:rPr>
          <w:rFonts w:ascii="Arial" w:hAnsi="Arial" w:cs="Arial"/>
          <w:sz w:val="28"/>
          <w:szCs w:val="28"/>
        </w:rPr>
      </w:pPr>
    </w:p>
    <w:p w14:paraId="3758B84E" w14:textId="77777777" w:rsidR="007104C4" w:rsidRPr="002D6A3F" w:rsidRDefault="002D6A3F" w:rsidP="00071FCA">
      <w:pPr>
        <w:jc w:val="both"/>
        <w:rPr>
          <w:rFonts w:ascii="Arial" w:hAnsi="Arial" w:cs="Arial"/>
          <w:sz w:val="28"/>
          <w:szCs w:val="28"/>
        </w:rPr>
      </w:pPr>
      <w:r w:rsidRPr="002D6A3F">
        <w:rPr>
          <w:rFonts w:ascii="Arial" w:hAnsi="Arial" w:cs="Arial"/>
          <w:sz w:val="28"/>
          <w:szCs w:val="28"/>
        </w:rPr>
        <w:t>Neiva, 8 de julio de 2022</w:t>
      </w:r>
    </w:p>
    <w:p w14:paraId="61A34793" w14:textId="77777777" w:rsidR="003604EC" w:rsidRPr="002D6A3F" w:rsidRDefault="003604EC" w:rsidP="00071FCA">
      <w:pPr>
        <w:jc w:val="both"/>
        <w:rPr>
          <w:rFonts w:ascii="Arial" w:hAnsi="Arial" w:cs="Arial"/>
          <w:sz w:val="28"/>
          <w:szCs w:val="28"/>
        </w:rPr>
      </w:pPr>
    </w:p>
    <w:p w14:paraId="4FFDB7EE" w14:textId="77777777" w:rsidR="00071FCA" w:rsidRPr="002D6A3F" w:rsidRDefault="00071FCA" w:rsidP="00071FCA">
      <w:pPr>
        <w:jc w:val="both"/>
        <w:rPr>
          <w:rFonts w:ascii="Arial" w:hAnsi="Arial" w:cs="Arial"/>
          <w:b/>
          <w:sz w:val="28"/>
          <w:szCs w:val="28"/>
        </w:rPr>
      </w:pPr>
    </w:p>
    <w:p w14:paraId="53860405" w14:textId="77777777" w:rsidR="00071FCA" w:rsidRPr="004037C1" w:rsidRDefault="00071FCA" w:rsidP="00071FCA">
      <w:pPr>
        <w:jc w:val="both"/>
        <w:rPr>
          <w:rFonts w:ascii="Arial" w:hAnsi="Arial" w:cs="Arial"/>
        </w:rPr>
      </w:pPr>
    </w:p>
    <w:p w14:paraId="5755167F" w14:textId="77777777" w:rsidR="00071FCA" w:rsidRPr="004037C1" w:rsidRDefault="00071FCA" w:rsidP="00071FCA">
      <w:pPr>
        <w:jc w:val="both"/>
        <w:rPr>
          <w:rFonts w:ascii="Arial" w:hAnsi="Arial" w:cs="Arial"/>
        </w:rPr>
      </w:pPr>
    </w:p>
    <w:p w14:paraId="764CE871" w14:textId="58E16738" w:rsidR="00071FCA" w:rsidRPr="0079277F" w:rsidRDefault="00096749" w:rsidP="00096749">
      <w:pPr>
        <w:jc w:val="center"/>
        <w:rPr>
          <w:rFonts w:ascii="Arial" w:hAnsi="Arial" w:cs="Arial"/>
        </w:rPr>
      </w:pPr>
      <w:r w:rsidRPr="008C7859">
        <w:rPr>
          <w:noProof/>
          <w:sz w:val="22"/>
          <w:szCs w:val="22"/>
        </w:rPr>
        <w:drawing>
          <wp:inline distT="0" distB="0" distL="0" distR="0" wp14:anchorId="09B8E18C" wp14:editId="70892871">
            <wp:extent cx="3571875" cy="504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17300" r="267" b="2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B7E3" w14:textId="77777777" w:rsidR="00071FCA" w:rsidRDefault="00071FCA" w:rsidP="00071FCA">
      <w:pPr>
        <w:contextualSpacing/>
        <w:jc w:val="center"/>
        <w:rPr>
          <w:rFonts w:ascii="Arial" w:hAnsi="Arial" w:cs="Arial"/>
          <w:lang w:eastAsia="es-ES"/>
        </w:rPr>
      </w:pPr>
      <w:r w:rsidRPr="007D246F">
        <w:rPr>
          <w:rFonts w:ascii="Arial" w:hAnsi="Arial" w:cs="Arial"/>
          <w:lang w:eastAsia="es-ES"/>
        </w:rPr>
        <w:t>Juez</w:t>
      </w:r>
      <w:r w:rsidR="00074E26">
        <w:rPr>
          <w:rFonts w:ascii="Arial" w:hAnsi="Arial" w:cs="Arial"/>
          <w:lang w:eastAsia="es-ES"/>
        </w:rPr>
        <w:t>a</w:t>
      </w:r>
      <w:r w:rsidRPr="007D246F">
        <w:rPr>
          <w:rFonts w:ascii="Arial" w:hAnsi="Arial" w:cs="Arial"/>
          <w:lang w:eastAsia="es-ES"/>
        </w:rPr>
        <w:t xml:space="preserve"> Coordinador</w:t>
      </w:r>
      <w:r w:rsidR="00074E26">
        <w:rPr>
          <w:rFonts w:ascii="Arial" w:hAnsi="Arial" w:cs="Arial"/>
          <w:lang w:eastAsia="es-ES"/>
        </w:rPr>
        <w:t>a</w:t>
      </w:r>
    </w:p>
    <w:p w14:paraId="7C693256" w14:textId="77777777" w:rsidR="00B95130" w:rsidRDefault="00B95130" w:rsidP="00EF76F5">
      <w:pPr>
        <w:contextualSpacing/>
        <w:rPr>
          <w:rFonts w:ascii="Arial" w:hAnsi="Arial" w:cs="Arial"/>
          <w:lang w:eastAsia="es-ES"/>
        </w:rPr>
      </w:pPr>
    </w:p>
    <w:p w14:paraId="6ABD1A41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p w14:paraId="73A52A1E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p w14:paraId="224DC06E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sectPr w:rsidR="004D5D41" w:rsidSect="00457D0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CA"/>
    <w:rsid w:val="00012424"/>
    <w:rsid w:val="000224C0"/>
    <w:rsid w:val="0002559D"/>
    <w:rsid w:val="00071FCA"/>
    <w:rsid w:val="00074E26"/>
    <w:rsid w:val="00091C0E"/>
    <w:rsid w:val="00096749"/>
    <w:rsid w:val="000B0786"/>
    <w:rsid w:val="000B773F"/>
    <w:rsid w:val="000E3329"/>
    <w:rsid w:val="000F1A18"/>
    <w:rsid w:val="000F5CE2"/>
    <w:rsid w:val="0011255B"/>
    <w:rsid w:val="00195A8C"/>
    <w:rsid w:val="00197A89"/>
    <w:rsid w:val="001D07CB"/>
    <w:rsid w:val="00220662"/>
    <w:rsid w:val="00245D7B"/>
    <w:rsid w:val="00262A90"/>
    <w:rsid w:val="00275509"/>
    <w:rsid w:val="00276731"/>
    <w:rsid w:val="002A1724"/>
    <w:rsid w:val="002D2D49"/>
    <w:rsid w:val="002D6A3F"/>
    <w:rsid w:val="002E0C5C"/>
    <w:rsid w:val="00332812"/>
    <w:rsid w:val="003604EC"/>
    <w:rsid w:val="003A7F27"/>
    <w:rsid w:val="004132E3"/>
    <w:rsid w:val="004169B9"/>
    <w:rsid w:val="00487230"/>
    <w:rsid w:val="00496C80"/>
    <w:rsid w:val="004978DA"/>
    <w:rsid w:val="004D5D41"/>
    <w:rsid w:val="004E0B54"/>
    <w:rsid w:val="005646D2"/>
    <w:rsid w:val="00571914"/>
    <w:rsid w:val="005D2A43"/>
    <w:rsid w:val="005E0B0D"/>
    <w:rsid w:val="00611225"/>
    <w:rsid w:val="006A03C3"/>
    <w:rsid w:val="006F7372"/>
    <w:rsid w:val="007104C4"/>
    <w:rsid w:val="0071079B"/>
    <w:rsid w:val="00734DEA"/>
    <w:rsid w:val="00773C92"/>
    <w:rsid w:val="007C06C2"/>
    <w:rsid w:val="008A7ACF"/>
    <w:rsid w:val="008D539B"/>
    <w:rsid w:val="008E03AA"/>
    <w:rsid w:val="008F4791"/>
    <w:rsid w:val="00994DA7"/>
    <w:rsid w:val="009A6E87"/>
    <w:rsid w:val="009B0183"/>
    <w:rsid w:val="009B4595"/>
    <w:rsid w:val="00A234F9"/>
    <w:rsid w:val="00A3448A"/>
    <w:rsid w:val="00A416DB"/>
    <w:rsid w:val="00AB40C2"/>
    <w:rsid w:val="00AC4368"/>
    <w:rsid w:val="00AF095F"/>
    <w:rsid w:val="00B21B01"/>
    <w:rsid w:val="00B63130"/>
    <w:rsid w:val="00B91F9C"/>
    <w:rsid w:val="00B95130"/>
    <w:rsid w:val="00B9638C"/>
    <w:rsid w:val="00BC7DEC"/>
    <w:rsid w:val="00C321D4"/>
    <w:rsid w:val="00C333FA"/>
    <w:rsid w:val="00C7736B"/>
    <w:rsid w:val="00CA1521"/>
    <w:rsid w:val="00D72E3C"/>
    <w:rsid w:val="00D76C41"/>
    <w:rsid w:val="00DB1F71"/>
    <w:rsid w:val="00DD0842"/>
    <w:rsid w:val="00DE6445"/>
    <w:rsid w:val="00DF06D4"/>
    <w:rsid w:val="00E2765D"/>
    <w:rsid w:val="00E37382"/>
    <w:rsid w:val="00EC2C50"/>
    <w:rsid w:val="00EF76F5"/>
    <w:rsid w:val="00F1491F"/>
    <w:rsid w:val="00F85204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84768A"/>
  <w15:docId w15:val="{53B56AD3-8F82-461E-BFDE-D6D9FFE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842"/>
    <w:rPr>
      <w:rFonts w:ascii="Segoe UI" w:eastAsia="Times New Roman" w:hAnsi="Segoe UI" w:cs="Segoe UI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unhideWhenUsed/>
    <w:rsid w:val="0011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hoas@cendoj.ramajudicial.gov.c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Brigitte Rojas Martinez</dc:creator>
  <cp:lastModifiedBy>Rocío del Pilar Polanco Mosquera</cp:lastModifiedBy>
  <cp:revision>2</cp:revision>
  <cp:lastPrinted>2022-06-10T14:25:00Z</cp:lastPrinted>
  <dcterms:created xsi:type="dcterms:W3CDTF">2022-07-08T22:19:00Z</dcterms:created>
  <dcterms:modified xsi:type="dcterms:W3CDTF">2022-07-08T22:19:00Z</dcterms:modified>
</cp:coreProperties>
</file>