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7FB95" w14:textId="15224164" w:rsidR="00D96EAA" w:rsidRPr="00FE3ACB" w:rsidRDefault="00D96EAA" w:rsidP="00D96EAA">
      <w:pPr>
        <w:contextualSpacing/>
        <w:jc w:val="center"/>
        <w:rPr>
          <w:b/>
          <w:sz w:val="24"/>
          <w:szCs w:val="24"/>
          <w:lang w:val="es-ES"/>
        </w:rPr>
      </w:pPr>
      <w:r>
        <w:rPr>
          <w:b/>
          <w:sz w:val="24"/>
          <w:szCs w:val="24"/>
          <w:lang w:val="es-ES"/>
        </w:rPr>
        <w:t>Magistrado ponente: JAIME ENRIQUE RODRÍGUEZ NAVAS</w:t>
      </w:r>
    </w:p>
    <w:p w14:paraId="1CCB2E11" w14:textId="77777777" w:rsidR="00D96EAA" w:rsidRPr="002D7F44" w:rsidRDefault="00D96EAA" w:rsidP="00D96EAA">
      <w:pPr>
        <w:contextualSpacing/>
        <w:rPr>
          <w:b/>
          <w:bCs/>
          <w:sz w:val="24"/>
          <w:szCs w:val="24"/>
        </w:rPr>
      </w:pPr>
    </w:p>
    <w:p w14:paraId="39B2F8B9" w14:textId="15E7CA62" w:rsidR="00D96EAA" w:rsidRPr="00045D31" w:rsidRDefault="00D96EAA" w:rsidP="00D96EAA">
      <w:pPr>
        <w:contextualSpacing/>
        <w:rPr>
          <w:b/>
          <w:sz w:val="24"/>
          <w:szCs w:val="24"/>
          <w:lang w:val="es-ES"/>
        </w:rPr>
      </w:pPr>
      <w:r w:rsidRPr="00045D31">
        <w:rPr>
          <w:b/>
          <w:sz w:val="24"/>
          <w:szCs w:val="24"/>
        </w:rPr>
        <w:t xml:space="preserve">Bogotá D.C., </w:t>
      </w:r>
      <w:r w:rsidR="00FA6C0B">
        <w:rPr>
          <w:b/>
          <w:sz w:val="24"/>
          <w:szCs w:val="24"/>
        </w:rPr>
        <w:t>primero (1</w:t>
      </w:r>
      <w:r w:rsidR="00195332">
        <w:rPr>
          <w:b/>
          <w:sz w:val="24"/>
          <w:szCs w:val="24"/>
        </w:rPr>
        <w:t>)</w:t>
      </w:r>
      <w:r w:rsidRPr="00045D31">
        <w:rPr>
          <w:b/>
          <w:sz w:val="24"/>
          <w:szCs w:val="24"/>
        </w:rPr>
        <w:t xml:space="preserve"> de</w:t>
      </w:r>
      <w:r w:rsidR="00FA6C0B">
        <w:rPr>
          <w:b/>
          <w:sz w:val="24"/>
          <w:szCs w:val="24"/>
        </w:rPr>
        <w:t xml:space="preserve"> julio</w:t>
      </w:r>
      <w:r w:rsidRPr="00045D31">
        <w:rPr>
          <w:b/>
          <w:sz w:val="24"/>
          <w:szCs w:val="24"/>
        </w:rPr>
        <w:t xml:space="preserve"> </w:t>
      </w:r>
      <w:r w:rsidR="00FA6C0B">
        <w:rPr>
          <w:b/>
          <w:sz w:val="24"/>
          <w:szCs w:val="24"/>
        </w:rPr>
        <w:t xml:space="preserve">de </w:t>
      </w:r>
      <w:r w:rsidRPr="00045D31">
        <w:rPr>
          <w:b/>
          <w:sz w:val="24"/>
          <w:szCs w:val="24"/>
        </w:rPr>
        <w:t>dos mil veintidós (2022)</w:t>
      </w:r>
    </w:p>
    <w:p w14:paraId="21FCB40A" w14:textId="77777777" w:rsidR="00D96EAA" w:rsidRDefault="00D96EAA" w:rsidP="00D96EAA">
      <w:pPr>
        <w:contextualSpacing/>
        <w:rPr>
          <w:bCs/>
          <w:sz w:val="24"/>
          <w:szCs w:val="24"/>
          <w:lang w:val="es-ES"/>
        </w:rPr>
      </w:pPr>
    </w:p>
    <w:p w14:paraId="7693AD82" w14:textId="5533DAA6" w:rsidR="00D96EAA" w:rsidRPr="00997D35" w:rsidRDefault="00D96EAA" w:rsidP="00D96EAA">
      <w:pPr>
        <w:tabs>
          <w:tab w:val="left" w:pos="1985"/>
        </w:tabs>
        <w:contextualSpacing/>
        <w:rPr>
          <w:b/>
          <w:sz w:val="24"/>
          <w:szCs w:val="24"/>
        </w:rPr>
      </w:pPr>
      <w:r w:rsidRPr="00EF2471">
        <w:rPr>
          <w:b/>
          <w:sz w:val="24"/>
          <w:szCs w:val="24"/>
        </w:rPr>
        <w:t>Radica</w:t>
      </w:r>
      <w:r>
        <w:rPr>
          <w:b/>
          <w:sz w:val="24"/>
          <w:szCs w:val="24"/>
        </w:rPr>
        <w:t>do número</w:t>
      </w:r>
      <w:r w:rsidRPr="00EF2471">
        <w:rPr>
          <w:b/>
          <w:sz w:val="24"/>
          <w:szCs w:val="24"/>
        </w:rPr>
        <w:t>:</w:t>
      </w:r>
      <w:r>
        <w:rPr>
          <w:b/>
          <w:sz w:val="24"/>
          <w:szCs w:val="24"/>
        </w:rPr>
        <w:tab/>
      </w:r>
      <w:r w:rsidRPr="00EF2471">
        <w:rPr>
          <w:b/>
          <w:sz w:val="24"/>
          <w:szCs w:val="24"/>
        </w:rPr>
        <w:tab/>
      </w:r>
      <w:r w:rsidRPr="00215FE2">
        <w:rPr>
          <w:bCs/>
          <w:sz w:val="24"/>
          <w:szCs w:val="24"/>
        </w:rPr>
        <w:t>11001</w:t>
      </w:r>
      <w:r>
        <w:rPr>
          <w:bCs/>
          <w:sz w:val="24"/>
          <w:szCs w:val="24"/>
        </w:rPr>
        <w:t>-</w:t>
      </w:r>
      <w:r w:rsidRPr="00215FE2">
        <w:rPr>
          <w:bCs/>
          <w:sz w:val="24"/>
          <w:szCs w:val="24"/>
        </w:rPr>
        <w:t>03</w:t>
      </w:r>
      <w:r>
        <w:rPr>
          <w:bCs/>
          <w:sz w:val="24"/>
          <w:szCs w:val="24"/>
        </w:rPr>
        <w:t>-</w:t>
      </w:r>
      <w:r w:rsidRPr="00215FE2">
        <w:rPr>
          <w:bCs/>
          <w:sz w:val="24"/>
          <w:szCs w:val="24"/>
        </w:rPr>
        <w:t>15</w:t>
      </w:r>
      <w:r>
        <w:rPr>
          <w:bCs/>
          <w:sz w:val="24"/>
          <w:szCs w:val="24"/>
        </w:rPr>
        <w:t>-</w:t>
      </w:r>
      <w:r w:rsidRPr="00215FE2">
        <w:rPr>
          <w:bCs/>
          <w:sz w:val="24"/>
          <w:szCs w:val="24"/>
        </w:rPr>
        <w:t>000</w:t>
      </w:r>
      <w:r>
        <w:rPr>
          <w:bCs/>
          <w:sz w:val="24"/>
          <w:szCs w:val="24"/>
        </w:rPr>
        <w:t>-</w:t>
      </w:r>
      <w:r w:rsidRPr="00215FE2">
        <w:rPr>
          <w:bCs/>
          <w:sz w:val="24"/>
          <w:szCs w:val="24"/>
        </w:rPr>
        <w:t>20</w:t>
      </w:r>
      <w:r>
        <w:rPr>
          <w:bCs/>
          <w:sz w:val="24"/>
          <w:szCs w:val="24"/>
        </w:rPr>
        <w:t>22-026</w:t>
      </w:r>
      <w:r w:rsidR="007269D7">
        <w:rPr>
          <w:bCs/>
          <w:sz w:val="24"/>
          <w:szCs w:val="24"/>
        </w:rPr>
        <w:t>22</w:t>
      </w:r>
      <w:r>
        <w:rPr>
          <w:bCs/>
          <w:sz w:val="24"/>
          <w:szCs w:val="24"/>
        </w:rPr>
        <w:t>-</w:t>
      </w:r>
      <w:r w:rsidRPr="00215FE2">
        <w:rPr>
          <w:bCs/>
          <w:sz w:val="24"/>
          <w:szCs w:val="24"/>
        </w:rPr>
        <w:t>00</w:t>
      </w:r>
    </w:p>
    <w:p w14:paraId="1A74582E" w14:textId="560537CB" w:rsidR="00D96EAA" w:rsidRPr="00341F63" w:rsidRDefault="00D96EAA" w:rsidP="00D96EAA">
      <w:pPr>
        <w:tabs>
          <w:tab w:val="left" w:pos="1985"/>
        </w:tabs>
        <w:ind w:left="1980" w:hanging="1980"/>
        <w:contextualSpacing/>
        <w:rPr>
          <w:sz w:val="24"/>
          <w:szCs w:val="24"/>
        </w:rPr>
      </w:pPr>
      <w:r w:rsidRPr="00EF2471">
        <w:rPr>
          <w:b/>
          <w:sz w:val="24"/>
          <w:szCs w:val="24"/>
        </w:rPr>
        <w:t>Accionante:</w:t>
      </w:r>
      <w:r>
        <w:rPr>
          <w:b/>
          <w:sz w:val="24"/>
          <w:szCs w:val="24"/>
        </w:rPr>
        <w:tab/>
      </w:r>
      <w:r>
        <w:rPr>
          <w:b/>
          <w:sz w:val="24"/>
          <w:szCs w:val="24"/>
        </w:rPr>
        <w:tab/>
      </w:r>
      <w:r>
        <w:rPr>
          <w:b/>
          <w:sz w:val="24"/>
          <w:szCs w:val="24"/>
        </w:rPr>
        <w:tab/>
      </w:r>
      <w:r w:rsidRPr="00EF2471">
        <w:rPr>
          <w:b/>
          <w:sz w:val="24"/>
          <w:szCs w:val="24"/>
        </w:rPr>
        <w:tab/>
      </w:r>
      <w:r w:rsidR="007269D7">
        <w:rPr>
          <w:sz w:val="24"/>
          <w:szCs w:val="24"/>
        </w:rPr>
        <w:t>Evaristo Arteta Castro</w:t>
      </w:r>
    </w:p>
    <w:p w14:paraId="7C678B3D" w14:textId="72B1D2B6" w:rsidR="00D96EAA" w:rsidRDefault="00D96EAA" w:rsidP="006F3576">
      <w:pPr>
        <w:tabs>
          <w:tab w:val="left" w:pos="1985"/>
        </w:tabs>
        <w:ind w:left="2820" w:right="51" w:hanging="2820"/>
        <w:contextualSpacing/>
        <w:rPr>
          <w:bCs/>
          <w:sz w:val="24"/>
          <w:szCs w:val="24"/>
        </w:rPr>
      </w:pPr>
      <w:r w:rsidRPr="00EF2471">
        <w:rPr>
          <w:b/>
          <w:sz w:val="24"/>
          <w:szCs w:val="24"/>
        </w:rPr>
        <w:t>Accionado:</w:t>
      </w:r>
      <w:r>
        <w:rPr>
          <w:b/>
          <w:sz w:val="24"/>
          <w:szCs w:val="24"/>
        </w:rPr>
        <w:tab/>
      </w:r>
      <w:r>
        <w:rPr>
          <w:b/>
          <w:sz w:val="24"/>
          <w:szCs w:val="24"/>
        </w:rPr>
        <w:tab/>
      </w:r>
      <w:r w:rsidRPr="00EF2471">
        <w:rPr>
          <w:b/>
          <w:sz w:val="24"/>
          <w:szCs w:val="24"/>
        </w:rPr>
        <w:tab/>
      </w:r>
      <w:r w:rsidR="006F3576">
        <w:rPr>
          <w:bCs/>
          <w:sz w:val="24"/>
          <w:szCs w:val="24"/>
        </w:rPr>
        <w:t xml:space="preserve">Juzgado Octavo Administrativo de Barranquilla y </w:t>
      </w:r>
      <w:r w:rsidR="00510F73">
        <w:rPr>
          <w:bCs/>
          <w:sz w:val="24"/>
          <w:szCs w:val="24"/>
        </w:rPr>
        <w:t>Sección</w:t>
      </w:r>
      <w:r w:rsidR="0039267B">
        <w:rPr>
          <w:bCs/>
          <w:sz w:val="24"/>
          <w:szCs w:val="24"/>
        </w:rPr>
        <w:t xml:space="preserve"> C del </w:t>
      </w:r>
      <w:r w:rsidR="006F3576">
        <w:rPr>
          <w:bCs/>
          <w:sz w:val="24"/>
          <w:szCs w:val="24"/>
        </w:rPr>
        <w:t>Tribunal Administrativo del Atlántico</w:t>
      </w:r>
    </w:p>
    <w:p w14:paraId="2B559BA5" w14:textId="77777777" w:rsidR="00D96EAA" w:rsidRDefault="00D96EAA" w:rsidP="00D96EAA">
      <w:pPr>
        <w:ind w:left="1985" w:hanging="1985"/>
        <w:contextualSpacing/>
        <w:rPr>
          <w:sz w:val="24"/>
          <w:szCs w:val="24"/>
        </w:rPr>
      </w:pPr>
      <w:r w:rsidRPr="00EF2471">
        <w:rPr>
          <w:b/>
          <w:sz w:val="24"/>
          <w:szCs w:val="24"/>
        </w:rPr>
        <w:t xml:space="preserve">Referencia: </w:t>
      </w:r>
      <w:r>
        <w:rPr>
          <w:b/>
          <w:sz w:val="24"/>
          <w:szCs w:val="24"/>
        </w:rPr>
        <w:tab/>
      </w:r>
      <w:r>
        <w:rPr>
          <w:b/>
          <w:sz w:val="24"/>
          <w:szCs w:val="24"/>
        </w:rPr>
        <w:tab/>
      </w:r>
      <w:r w:rsidRPr="00EF2471">
        <w:rPr>
          <w:b/>
          <w:sz w:val="24"/>
          <w:szCs w:val="24"/>
        </w:rPr>
        <w:tab/>
      </w:r>
      <w:r w:rsidRPr="00EF2471">
        <w:rPr>
          <w:sz w:val="24"/>
          <w:szCs w:val="24"/>
        </w:rPr>
        <w:t>Acción de tutela</w:t>
      </w:r>
    </w:p>
    <w:p w14:paraId="418C6AD9" w14:textId="1B90164A" w:rsidR="00261C95" w:rsidRDefault="00261C95" w:rsidP="00811793">
      <w:pPr>
        <w:tabs>
          <w:tab w:val="left" w:pos="8222"/>
        </w:tabs>
        <w:ind w:right="51"/>
        <w:contextualSpacing/>
        <w:rPr>
          <w:b/>
          <w:sz w:val="24"/>
          <w:szCs w:val="24"/>
        </w:rPr>
      </w:pPr>
    </w:p>
    <w:p w14:paraId="2DEDD752" w14:textId="576015E3" w:rsidR="006F3576" w:rsidRPr="00510F73" w:rsidRDefault="00261C95" w:rsidP="00811793">
      <w:pPr>
        <w:tabs>
          <w:tab w:val="left" w:pos="8222"/>
        </w:tabs>
        <w:ind w:right="51"/>
        <w:contextualSpacing/>
        <w:rPr>
          <w:bCs/>
          <w:sz w:val="20"/>
          <w:szCs w:val="20"/>
        </w:rPr>
      </w:pPr>
      <w:r w:rsidRPr="00510F73">
        <w:rPr>
          <w:b/>
          <w:sz w:val="20"/>
          <w:szCs w:val="20"/>
        </w:rPr>
        <w:t xml:space="preserve">Tema: </w:t>
      </w:r>
      <w:r w:rsidR="00700115">
        <w:rPr>
          <w:bCs/>
          <w:sz w:val="20"/>
          <w:szCs w:val="20"/>
        </w:rPr>
        <w:t>a</w:t>
      </w:r>
      <w:r w:rsidRPr="00510F73">
        <w:rPr>
          <w:bCs/>
          <w:sz w:val="20"/>
          <w:szCs w:val="20"/>
        </w:rPr>
        <w:t xml:space="preserve">cción de tutela contra providencias judiciales. </w:t>
      </w:r>
    </w:p>
    <w:p w14:paraId="3BCF7C3E" w14:textId="27660998" w:rsidR="006F3576" w:rsidRPr="00510F73" w:rsidRDefault="00261C95" w:rsidP="00811793">
      <w:pPr>
        <w:tabs>
          <w:tab w:val="left" w:pos="8222"/>
        </w:tabs>
        <w:ind w:right="51"/>
        <w:contextualSpacing/>
        <w:rPr>
          <w:bCs/>
          <w:sz w:val="20"/>
          <w:szCs w:val="20"/>
        </w:rPr>
      </w:pPr>
      <w:r w:rsidRPr="00510F73">
        <w:rPr>
          <w:b/>
          <w:sz w:val="20"/>
          <w:szCs w:val="20"/>
        </w:rPr>
        <w:t xml:space="preserve">Subtema 1: </w:t>
      </w:r>
      <w:r w:rsidR="00700115">
        <w:rPr>
          <w:bCs/>
          <w:sz w:val="20"/>
          <w:szCs w:val="20"/>
        </w:rPr>
        <w:t>i</w:t>
      </w:r>
      <w:r w:rsidRPr="00510F73">
        <w:rPr>
          <w:bCs/>
          <w:sz w:val="20"/>
          <w:szCs w:val="20"/>
        </w:rPr>
        <w:t xml:space="preserve">mprocedencia </w:t>
      </w:r>
      <w:r w:rsidR="00792E1B" w:rsidRPr="00510F73">
        <w:rPr>
          <w:bCs/>
          <w:sz w:val="20"/>
          <w:szCs w:val="20"/>
        </w:rPr>
        <w:t xml:space="preserve">por falta del </w:t>
      </w:r>
      <w:r w:rsidRPr="00510F73">
        <w:rPr>
          <w:bCs/>
          <w:sz w:val="20"/>
          <w:szCs w:val="20"/>
        </w:rPr>
        <w:t xml:space="preserve">requisito de </w:t>
      </w:r>
      <w:r w:rsidR="00C86397" w:rsidRPr="00510F73">
        <w:rPr>
          <w:bCs/>
          <w:sz w:val="20"/>
          <w:szCs w:val="20"/>
        </w:rPr>
        <w:t>relevancia constitucional</w:t>
      </w:r>
      <w:r w:rsidR="00783534" w:rsidRPr="00510F73">
        <w:rPr>
          <w:bCs/>
          <w:sz w:val="20"/>
          <w:szCs w:val="20"/>
        </w:rPr>
        <w:t xml:space="preserve"> y </w:t>
      </w:r>
      <w:r w:rsidR="00510F73" w:rsidRPr="00510F73">
        <w:rPr>
          <w:bCs/>
          <w:sz w:val="20"/>
          <w:szCs w:val="20"/>
        </w:rPr>
        <w:t xml:space="preserve">de </w:t>
      </w:r>
      <w:r w:rsidR="00783534" w:rsidRPr="00510F73">
        <w:rPr>
          <w:bCs/>
          <w:sz w:val="20"/>
          <w:szCs w:val="20"/>
        </w:rPr>
        <w:t>subsidiariedad</w:t>
      </w:r>
      <w:r w:rsidRPr="00510F73">
        <w:rPr>
          <w:bCs/>
          <w:sz w:val="20"/>
          <w:szCs w:val="20"/>
        </w:rPr>
        <w:t xml:space="preserve">. </w:t>
      </w:r>
    </w:p>
    <w:p w14:paraId="01B3CBF6" w14:textId="51268061" w:rsidR="00261C95" w:rsidRPr="00510F73" w:rsidRDefault="00261C95" w:rsidP="00811793">
      <w:pPr>
        <w:tabs>
          <w:tab w:val="left" w:pos="8222"/>
        </w:tabs>
        <w:ind w:right="51"/>
        <w:contextualSpacing/>
        <w:rPr>
          <w:bCs/>
          <w:sz w:val="20"/>
          <w:szCs w:val="20"/>
        </w:rPr>
      </w:pPr>
      <w:r w:rsidRPr="00510F73">
        <w:rPr>
          <w:b/>
          <w:sz w:val="20"/>
          <w:szCs w:val="20"/>
        </w:rPr>
        <w:t>Subtema 2:</w:t>
      </w:r>
      <w:r w:rsidR="00700115">
        <w:rPr>
          <w:bCs/>
          <w:sz w:val="20"/>
          <w:szCs w:val="20"/>
        </w:rPr>
        <w:t xml:space="preserve"> c</w:t>
      </w:r>
      <w:r w:rsidR="00783534" w:rsidRPr="00510F73">
        <w:rPr>
          <w:bCs/>
          <w:sz w:val="20"/>
          <w:szCs w:val="20"/>
        </w:rPr>
        <w:t>oncurso de mérito</w:t>
      </w:r>
      <w:r w:rsidR="00700115">
        <w:rPr>
          <w:bCs/>
          <w:sz w:val="20"/>
          <w:szCs w:val="20"/>
        </w:rPr>
        <w:t>s</w:t>
      </w:r>
      <w:r w:rsidR="00783534" w:rsidRPr="00510F73">
        <w:rPr>
          <w:bCs/>
          <w:sz w:val="20"/>
          <w:szCs w:val="20"/>
        </w:rPr>
        <w:t xml:space="preserve"> para la elección a personero municipal</w:t>
      </w:r>
      <w:r w:rsidR="00857DAF" w:rsidRPr="00510F73">
        <w:rPr>
          <w:bCs/>
          <w:sz w:val="20"/>
          <w:szCs w:val="20"/>
        </w:rPr>
        <w:t>.</w:t>
      </w:r>
    </w:p>
    <w:p w14:paraId="586A2F51" w14:textId="51DC8CE8" w:rsidR="00811793" w:rsidRPr="002D7F44" w:rsidRDefault="00811793" w:rsidP="00811793">
      <w:pPr>
        <w:tabs>
          <w:tab w:val="left" w:pos="8222"/>
        </w:tabs>
        <w:ind w:right="51"/>
        <w:contextualSpacing/>
        <w:rPr>
          <w:b/>
          <w:sz w:val="24"/>
          <w:szCs w:val="24"/>
        </w:rPr>
      </w:pPr>
    </w:p>
    <w:p w14:paraId="7CA62265" w14:textId="77777777" w:rsidR="00811793" w:rsidRPr="002D7F44" w:rsidRDefault="00811793" w:rsidP="00811793">
      <w:pPr>
        <w:pBdr>
          <w:bottom w:val="single" w:sz="12" w:space="0" w:color="auto"/>
        </w:pBdr>
        <w:ind w:left="2832" w:hanging="2832"/>
        <w:contextualSpacing/>
        <w:rPr>
          <w:b/>
          <w:sz w:val="24"/>
          <w:szCs w:val="24"/>
        </w:rPr>
      </w:pPr>
      <w:r w:rsidRPr="002D7F44">
        <w:rPr>
          <w:b/>
          <w:sz w:val="24"/>
          <w:szCs w:val="24"/>
        </w:rPr>
        <w:t>SENTENCIA DE PRIMERA INSTANCIA</w:t>
      </w:r>
    </w:p>
    <w:p w14:paraId="0C827315" w14:textId="77777777" w:rsidR="00811793" w:rsidRPr="002D7F44" w:rsidRDefault="00811793" w:rsidP="00261C95">
      <w:pPr>
        <w:contextualSpacing/>
        <w:rPr>
          <w:b/>
          <w:sz w:val="24"/>
          <w:szCs w:val="24"/>
        </w:rPr>
      </w:pPr>
    </w:p>
    <w:p w14:paraId="03859FCF" w14:textId="3A60BB14" w:rsidR="00811793" w:rsidRPr="002D7F44" w:rsidRDefault="00811793" w:rsidP="00811793">
      <w:pPr>
        <w:pStyle w:val="Textoindependiente21"/>
        <w:spacing w:after="0"/>
        <w:ind w:left="0"/>
        <w:jc w:val="both"/>
        <w:rPr>
          <w:rFonts w:cs="Arial"/>
          <w:bCs/>
          <w:sz w:val="24"/>
          <w:szCs w:val="24"/>
          <w:lang w:val="es-CO"/>
        </w:rPr>
      </w:pPr>
      <w:r w:rsidRPr="002D7F44">
        <w:rPr>
          <w:rFonts w:cs="Arial"/>
          <w:sz w:val="24"/>
          <w:szCs w:val="24"/>
        </w:rPr>
        <w:t>La Sala decide, en primera instancia, la acción de tutela</w:t>
      </w:r>
      <w:bookmarkStart w:id="0" w:name="_Hlk49761891"/>
      <w:r w:rsidR="00A87F72">
        <w:rPr>
          <w:rFonts w:cs="Arial"/>
          <w:sz w:val="24"/>
          <w:szCs w:val="24"/>
        </w:rPr>
        <w:t xml:space="preserve"> incoada </w:t>
      </w:r>
      <w:r w:rsidR="00C86397">
        <w:rPr>
          <w:rFonts w:cs="Arial"/>
          <w:sz w:val="24"/>
          <w:szCs w:val="24"/>
        </w:rPr>
        <w:t xml:space="preserve">por </w:t>
      </w:r>
      <w:r w:rsidR="0039267B">
        <w:rPr>
          <w:bCs/>
          <w:sz w:val="24"/>
          <w:szCs w:val="24"/>
        </w:rPr>
        <w:t xml:space="preserve">Evaristo Arteta Castro </w:t>
      </w:r>
      <w:r w:rsidR="00A87F72">
        <w:rPr>
          <w:rFonts w:cs="Arial"/>
          <w:sz w:val="24"/>
          <w:szCs w:val="24"/>
        </w:rPr>
        <w:t xml:space="preserve">en contra </w:t>
      </w:r>
      <w:r w:rsidR="004C2C2B">
        <w:rPr>
          <w:rFonts w:cs="Arial"/>
          <w:sz w:val="24"/>
          <w:szCs w:val="24"/>
        </w:rPr>
        <w:t xml:space="preserve">de la </w:t>
      </w:r>
      <w:r w:rsidR="00510F73">
        <w:rPr>
          <w:bCs/>
          <w:sz w:val="24"/>
          <w:szCs w:val="24"/>
        </w:rPr>
        <w:t>Sección</w:t>
      </w:r>
      <w:r w:rsidR="004C2C2B">
        <w:rPr>
          <w:bCs/>
          <w:sz w:val="24"/>
          <w:szCs w:val="24"/>
        </w:rPr>
        <w:t xml:space="preserve"> </w:t>
      </w:r>
      <w:r w:rsidR="0039267B">
        <w:rPr>
          <w:bCs/>
          <w:sz w:val="24"/>
          <w:szCs w:val="24"/>
        </w:rPr>
        <w:t>C</w:t>
      </w:r>
      <w:r w:rsidR="004C2C2B">
        <w:rPr>
          <w:bCs/>
          <w:sz w:val="24"/>
          <w:szCs w:val="24"/>
        </w:rPr>
        <w:t xml:space="preserve"> del Tribunal Administrativo d</w:t>
      </w:r>
      <w:r w:rsidR="00510F73">
        <w:rPr>
          <w:bCs/>
          <w:sz w:val="24"/>
          <w:szCs w:val="24"/>
        </w:rPr>
        <w:t>el Atlántico</w:t>
      </w:r>
      <w:r w:rsidRPr="002D7F44">
        <w:rPr>
          <w:rFonts w:cs="Arial"/>
          <w:bCs/>
          <w:sz w:val="24"/>
          <w:szCs w:val="24"/>
        </w:rPr>
        <w:t>.</w:t>
      </w:r>
    </w:p>
    <w:p w14:paraId="38507E00" w14:textId="77777777" w:rsidR="00811793" w:rsidRPr="002D7F44" w:rsidRDefault="00811793" w:rsidP="00811793">
      <w:pPr>
        <w:pStyle w:val="Textoindependiente21"/>
        <w:spacing w:after="0"/>
        <w:ind w:left="0"/>
        <w:jc w:val="both"/>
        <w:rPr>
          <w:rFonts w:cs="Arial"/>
          <w:bCs/>
          <w:sz w:val="24"/>
          <w:szCs w:val="24"/>
          <w:lang w:val="es-CO"/>
        </w:rPr>
      </w:pPr>
    </w:p>
    <w:bookmarkEnd w:id="0"/>
    <w:p w14:paraId="02FE8984" w14:textId="77777777" w:rsidR="00811793" w:rsidRPr="002D7F44" w:rsidRDefault="00811793" w:rsidP="00811793">
      <w:pPr>
        <w:pStyle w:val="Ttulo1"/>
        <w:spacing w:before="0" w:after="0" w:line="240" w:lineRule="auto"/>
        <w:rPr>
          <w:rFonts w:cs="Arial"/>
          <w:szCs w:val="24"/>
        </w:rPr>
      </w:pPr>
      <w:r w:rsidRPr="002D7F44">
        <w:rPr>
          <w:rFonts w:cs="Arial"/>
          <w:szCs w:val="24"/>
        </w:rPr>
        <w:t>ANTECEDENTES</w:t>
      </w:r>
    </w:p>
    <w:p w14:paraId="79EE3350" w14:textId="77777777" w:rsidR="00811793" w:rsidRPr="002D7F44" w:rsidRDefault="00811793" w:rsidP="00811793">
      <w:pPr>
        <w:rPr>
          <w:sz w:val="24"/>
          <w:szCs w:val="24"/>
        </w:rPr>
      </w:pPr>
    </w:p>
    <w:p w14:paraId="42338444" w14:textId="77777777" w:rsidR="00811793" w:rsidRPr="002D7F44" w:rsidRDefault="00811793" w:rsidP="00811793">
      <w:pPr>
        <w:pStyle w:val="Ttulo2"/>
        <w:numPr>
          <w:ilvl w:val="0"/>
          <w:numId w:val="0"/>
        </w:numPr>
        <w:spacing w:before="0" w:after="0"/>
        <w:ind w:left="360" w:hanging="360"/>
        <w:rPr>
          <w:rFonts w:cs="Arial"/>
          <w:szCs w:val="24"/>
          <w:lang w:eastAsia="es-ES"/>
        </w:rPr>
      </w:pPr>
      <w:r w:rsidRPr="002D7F44">
        <w:rPr>
          <w:rFonts w:cs="Arial"/>
          <w:szCs w:val="24"/>
          <w:lang w:eastAsia="es-ES"/>
        </w:rPr>
        <w:t>1.1. Solicitud de tutela</w:t>
      </w:r>
    </w:p>
    <w:p w14:paraId="4D660D61" w14:textId="77777777" w:rsidR="00811793" w:rsidRPr="002D7F44" w:rsidRDefault="00811793" w:rsidP="00811793">
      <w:pPr>
        <w:overflowPunct w:val="0"/>
        <w:autoSpaceDE w:val="0"/>
        <w:autoSpaceDN w:val="0"/>
        <w:adjustRightInd w:val="0"/>
        <w:contextualSpacing/>
        <w:textAlignment w:val="baseline"/>
        <w:rPr>
          <w:sz w:val="24"/>
          <w:szCs w:val="24"/>
        </w:rPr>
      </w:pPr>
    </w:p>
    <w:p w14:paraId="0D42D9AC" w14:textId="0F423F86" w:rsidR="0039267B" w:rsidRDefault="0039267B" w:rsidP="0039267B">
      <w:pPr>
        <w:tabs>
          <w:tab w:val="left" w:pos="1985"/>
        </w:tabs>
        <w:rPr>
          <w:sz w:val="24"/>
          <w:szCs w:val="24"/>
        </w:rPr>
      </w:pPr>
      <w:r>
        <w:rPr>
          <w:bCs/>
          <w:sz w:val="24"/>
          <w:szCs w:val="24"/>
        </w:rPr>
        <w:t>Evaristo Arteta Castro</w:t>
      </w:r>
      <w:r>
        <w:rPr>
          <w:sz w:val="24"/>
          <w:szCs w:val="24"/>
        </w:rPr>
        <w:t xml:space="preserve"> presentó solicitud de amparo de sus derechos fundamentales al debido proceso, a la seguridad jurídica, al trabajo, a ser elegido</w:t>
      </w:r>
      <w:r w:rsidR="0063591D">
        <w:rPr>
          <w:sz w:val="24"/>
          <w:szCs w:val="24"/>
        </w:rPr>
        <w:t xml:space="preserve">, a la congruencia en las </w:t>
      </w:r>
      <w:r w:rsidR="00510F73">
        <w:rPr>
          <w:sz w:val="24"/>
          <w:szCs w:val="24"/>
        </w:rPr>
        <w:t>providencias</w:t>
      </w:r>
      <w:r>
        <w:rPr>
          <w:sz w:val="24"/>
          <w:szCs w:val="24"/>
        </w:rPr>
        <w:t xml:space="preserve"> y al acceso a cargos públicos, que consideró vulnerados por el Juzgado Octavo Administrativo de Barranquilla y por la </w:t>
      </w:r>
      <w:r w:rsidR="00510F73">
        <w:rPr>
          <w:sz w:val="24"/>
          <w:szCs w:val="24"/>
        </w:rPr>
        <w:t>Sección</w:t>
      </w:r>
      <w:r>
        <w:rPr>
          <w:sz w:val="24"/>
          <w:szCs w:val="24"/>
        </w:rPr>
        <w:t xml:space="preserve"> C del Tribunal Administrativo del Atlántico, con ocasión de las sentencias que profirieron el 11 de mayo de 2021 y el 3 de marzo de 2022, respectivamente, y la providencia que adicionó esta última, del 3 de mayo del mismo año, dentro del proceso </w:t>
      </w:r>
      <w:r w:rsidR="00510F73">
        <w:rPr>
          <w:sz w:val="24"/>
          <w:szCs w:val="24"/>
        </w:rPr>
        <w:t xml:space="preserve">de nulidad electoral </w:t>
      </w:r>
      <w:r>
        <w:rPr>
          <w:sz w:val="24"/>
          <w:szCs w:val="24"/>
        </w:rPr>
        <w:t>con radicado núm. 08-00133-33-008-2020-00059-01.</w:t>
      </w:r>
    </w:p>
    <w:p w14:paraId="5300ED5C" w14:textId="77777777" w:rsidR="00811793" w:rsidRPr="002D7F44" w:rsidRDefault="00811793" w:rsidP="00811793">
      <w:pPr>
        <w:contextualSpacing/>
        <w:rPr>
          <w:rFonts w:eastAsia="Verdana"/>
          <w:sz w:val="24"/>
          <w:szCs w:val="24"/>
          <w:lang w:val="es-MX"/>
        </w:rPr>
      </w:pPr>
    </w:p>
    <w:p w14:paraId="659ED476" w14:textId="77777777" w:rsidR="00811793" w:rsidRPr="002D7F44" w:rsidRDefault="00811793" w:rsidP="00811793">
      <w:pPr>
        <w:contextualSpacing/>
        <w:rPr>
          <w:rFonts w:eastAsia="Verdana"/>
          <w:b/>
          <w:sz w:val="24"/>
          <w:szCs w:val="24"/>
        </w:rPr>
      </w:pPr>
      <w:r w:rsidRPr="002D7F44">
        <w:rPr>
          <w:rFonts w:eastAsia="Verdana"/>
          <w:b/>
          <w:sz w:val="24"/>
          <w:szCs w:val="24"/>
        </w:rPr>
        <w:t>1.2. Hechos expuestos en el escrito de tutela</w:t>
      </w:r>
    </w:p>
    <w:p w14:paraId="19499E3E" w14:textId="77777777" w:rsidR="00811793" w:rsidRPr="002D7F44" w:rsidRDefault="00811793" w:rsidP="00811793">
      <w:pPr>
        <w:contextualSpacing/>
        <w:rPr>
          <w:rFonts w:eastAsia="Verdana"/>
          <w:sz w:val="24"/>
          <w:szCs w:val="24"/>
        </w:rPr>
      </w:pPr>
    </w:p>
    <w:p w14:paraId="13580797" w14:textId="7B8BA250" w:rsidR="0039267B" w:rsidRDefault="00811793" w:rsidP="00811793">
      <w:pPr>
        <w:autoSpaceDE w:val="0"/>
        <w:autoSpaceDN w:val="0"/>
        <w:adjustRightInd w:val="0"/>
        <w:rPr>
          <w:sz w:val="24"/>
          <w:szCs w:val="24"/>
          <w:lang w:val="es-MX" w:eastAsia="ja-JP"/>
        </w:rPr>
      </w:pPr>
      <w:r w:rsidRPr="002D7F44">
        <w:rPr>
          <w:sz w:val="24"/>
          <w:szCs w:val="24"/>
          <w:lang w:val="es-MX" w:eastAsia="ja-JP"/>
        </w:rPr>
        <w:t>1.</w:t>
      </w:r>
      <w:r w:rsidR="00CF67AB">
        <w:rPr>
          <w:sz w:val="24"/>
          <w:szCs w:val="24"/>
          <w:lang w:val="es-MX" w:eastAsia="ja-JP"/>
        </w:rPr>
        <w:t>2</w:t>
      </w:r>
      <w:r w:rsidRPr="002D7F44">
        <w:rPr>
          <w:sz w:val="24"/>
          <w:szCs w:val="24"/>
          <w:lang w:val="es-MX" w:eastAsia="ja-JP"/>
        </w:rPr>
        <w:t>.1.</w:t>
      </w:r>
      <w:r w:rsidR="00CF67AB">
        <w:rPr>
          <w:sz w:val="24"/>
          <w:szCs w:val="24"/>
          <w:lang w:val="es-MX" w:eastAsia="ja-JP"/>
        </w:rPr>
        <w:t xml:space="preserve"> </w:t>
      </w:r>
      <w:r w:rsidR="0039267B">
        <w:rPr>
          <w:sz w:val="24"/>
          <w:szCs w:val="24"/>
          <w:lang w:val="es-MX" w:eastAsia="ja-JP"/>
        </w:rPr>
        <w:t xml:space="preserve">La Procuraduría General de la Nación presentó </w:t>
      </w:r>
      <w:r w:rsidR="0039267B" w:rsidRPr="000462FC">
        <w:rPr>
          <w:b/>
          <w:bCs/>
          <w:sz w:val="24"/>
          <w:szCs w:val="24"/>
          <w:lang w:val="es-MX" w:eastAsia="ja-JP"/>
        </w:rPr>
        <w:t>demanda en ejercicio del medio de control de nulidad electoral</w:t>
      </w:r>
      <w:r w:rsidR="00510F73" w:rsidRPr="00541EA7">
        <w:rPr>
          <w:rStyle w:val="Refdenotaalpie"/>
          <w:sz w:val="24"/>
          <w:szCs w:val="24"/>
          <w:lang w:val="es-MX" w:eastAsia="ja-JP"/>
        </w:rPr>
        <w:footnoteReference w:id="2"/>
      </w:r>
      <w:r w:rsidR="0039267B">
        <w:rPr>
          <w:sz w:val="24"/>
          <w:szCs w:val="24"/>
          <w:lang w:val="es-MX" w:eastAsia="ja-JP"/>
        </w:rPr>
        <w:t xml:space="preserve">, en contra del </w:t>
      </w:r>
      <w:r w:rsidR="001C11F0">
        <w:rPr>
          <w:sz w:val="24"/>
          <w:szCs w:val="24"/>
          <w:lang w:val="es-MX" w:eastAsia="ja-JP"/>
        </w:rPr>
        <w:t xml:space="preserve">Municipio de Juan de Acosta (Atlántico), del Concejo Municipal de Juan de Acosta y de Evaristo Arteta Castro, con la finalidad </w:t>
      </w:r>
      <w:r w:rsidR="00484AB4">
        <w:rPr>
          <w:sz w:val="24"/>
          <w:szCs w:val="24"/>
          <w:lang w:val="es-MX" w:eastAsia="ja-JP"/>
        </w:rPr>
        <w:t>de que se declarara la nulidad d</w:t>
      </w:r>
      <w:r w:rsidR="00E22EA3">
        <w:rPr>
          <w:sz w:val="24"/>
          <w:szCs w:val="24"/>
          <w:lang w:val="es-MX" w:eastAsia="ja-JP"/>
        </w:rPr>
        <w:t>e la Resolución 002 del 10 de enero de 2020</w:t>
      </w:r>
      <w:r w:rsidR="00484AB4">
        <w:rPr>
          <w:sz w:val="24"/>
          <w:szCs w:val="24"/>
          <w:lang w:val="es-MX" w:eastAsia="ja-JP"/>
        </w:rPr>
        <w:t xml:space="preserve"> por medio del cual se eligió a este último como Personero municipal para el periodo 2020 a 2024</w:t>
      </w:r>
      <w:r w:rsidR="00E22EA3">
        <w:rPr>
          <w:sz w:val="24"/>
          <w:szCs w:val="24"/>
          <w:lang w:val="es-MX" w:eastAsia="ja-JP"/>
        </w:rPr>
        <w:t>;</w:t>
      </w:r>
      <w:r w:rsidR="00484AB4">
        <w:rPr>
          <w:sz w:val="24"/>
          <w:szCs w:val="24"/>
          <w:lang w:val="es-MX" w:eastAsia="ja-JP"/>
        </w:rPr>
        <w:t xml:space="preserve"> y que se inaplicara, en virtud del artículo 148 del CPACA</w:t>
      </w:r>
      <w:r w:rsidR="00484AB4">
        <w:rPr>
          <w:rStyle w:val="Refdenotaalpie"/>
          <w:sz w:val="24"/>
          <w:szCs w:val="24"/>
          <w:lang w:val="es-MX" w:eastAsia="ja-JP"/>
        </w:rPr>
        <w:footnoteReference w:id="3"/>
      </w:r>
      <w:r w:rsidR="00484AB4">
        <w:rPr>
          <w:sz w:val="24"/>
          <w:szCs w:val="24"/>
          <w:lang w:val="es-MX" w:eastAsia="ja-JP"/>
        </w:rPr>
        <w:t xml:space="preserve">, </w:t>
      </w:r>
      <w:r w:rsidR="00E22EA3">
        <w:rPr>
          <w:sz w:val="24"/>
          <w:szCs w:val="24"/>
          <w:lang w:val="es-MX" w:eastAsia="ja-JP"/>
        </w:rPr>
        <w:t>la convocatoria del concurso de méritos</w:t>
      </w:r>
      <w:r w:rsidR="008675C0">
        <w:rPr>
          <w:sz w:val="24"/>
          <w:szCs w:val="24"/>
          <w:lang w:val="es-MX" w:eastAsia="ja-JP"/>
        </w:rPr>
        <w:t xml:space="preserve"> para el mencionado cargo</w:t>
      </w:r>
      <w:r w:rsidR="00E22EA3">
        <w:rPr>
          <w:sz w:val="24"/>
          <w:szCs w:val="24"/>
          <w:lang w:val="es-MX" w:eastAsia="ja-JP"/>
        </w:rPr>
        <w:t xml:space="preserve">, contenida en la Resolución núm. 001-19 del 20 de noviembre de 2019. </w:t>
      </w:r>
      <w:r w:rsidR="0086038F">
        <w:rPr>
          <w:sz w:val="24"/>
          <w:szCs w:val="24"/>
          <w:lang w:val="es-MX" w:eastAsia="ja-JP"/>
        </w:rPr>
        <w:t xml:space="preserve">Como medida cautelar, requirió la suspensión de los efectos de la mencionada Resolución 002. </w:t>
      </w:r>
    </w:p>
    <w:p w14:paraId="0E12E441" w14:textId="05CB3DFA" w:rsidR="00E22EA3" w:rsidRDefault="00E22EA3" w:rsidP="00811793">
      <w:pPr>
        <w:autoSpaceDE w:val="0"/>
        <w:autoSpaceDN w:val="0"/>
        <w:adjustRightInd w:val="0"/>
        <w:rPr>
          <w:sz w:val="24"/>
          <w:szCs w:val="24"/>
          <w:lang w:val="es-MX" w:eastAsia="ja-JP"/>
        </w:rPr>
      </w:pPr>
    </w:p>
    <w:p w14:paraId="61154150" w14:textId="17E595F2" w:rsidR="00E22EA3" w:rsidRDefault="00E22EA3" w:rsidP="00811793">
      <w:pPr>
        <w:autoSpaceDE w:val="0"/>
        <w:autoSpaceDN w:val="0"/>
        <w:adjustRightInd w:val="0"/>
        <w:rPr>
          <w:sz w:val="24"/>
          <w:szCs w:val="24"/>
          <w:lang w:val="es-MX" w:eastAsia="ja-JP"/>
        </w:rPr>
      </w:pPr>
      <w:r>
        <w:rPr>
          <w:sz w:val="24"/>
          <w:szCs w:val="24"/>
          <w:lang w:val="es-MX" w:eastAsia="ja-JP"/>
        </w:rPr>
        <w:t xml:space="preserve">Como fundamento de sus pretensiones, </w:t>
      </w:r>
      <w:r w:rsidR="00067F25">
        <w:rPr>
          <w:sz w:val="24"/>
          <w:szCs w:val="24"/>
          <w:lang w:val="es-MX" w:eastAsia="ja-JP"/>
        </w:rPr>
        <w:t>argumentó</w:t>
      </w:r>
      <w:r w:rsidR="00541EA7">
        <w:rPr>
          <w:sz w:val="24"/>
          <w:szCs w:val="24"/>
          <w:lang w:val="es-MX" w:eastAsia="ja-JP"/>
        </w:rPr>
        <w:t>, en concreto,</w:t>
      </w:r>
      <w:r>
        <w:rPr>
          <w:sz w:val="24"/>
          <w:szCs w:val="24"/>
          <w:lang w:val="es-MX" w:eastAsia="ja-JP"/>
        </w:rPr>
        <w:t xml:space="preserve"> que</w:t>
      </w:r>
      <w:r w:rsidR="008675C0">
        <w:rPr>
          <w:sz w:val="24"/>
          <w:szCs w:val="24"/>
          <w:lang w:val="es-MX" w:eastAsia="ja-JP"/>
        </w:rPr>
        <w:t xml:space="preserve">: i) el plazo de inscripción al respectivo concurso </w:t>
      </w:r>
      <w:r w:rsidR="00541EA7">
        <w:rPr>
          <w:sz w:val="24"/>
          <w:szCs w:val="24"/>
          <w:lang w:val="es-MX" w:eastAsia="ja-JP"/>
        </w:rPr>
        <w:t xml:space="preserve">(del </w:t>
      </w:r>
      <w:r w:rsidR="008675C0">
        <w:rPr>
          <w:sz w:val="24"/>
          <w:szCs w:val="24"/>
          <w:lang w:val="es-MX" w:eastAsia="ja-JP"/>
        </w:rPr>
        <w:t>2 al 3 de diciembre de 2019</w:t>
      </w:r>
      <w:r w:rsidR="00541EA7">
        <w:rPr>
          <w:sz w:val="24"/>
          <w:szCs w:val="24"/>
          <w:lang w:val="es-MX" w:eastAsia="ja-JP"/>
        </w:rPr>
        <w:t>)</w:t>
      </w:r>
      <w:r w:rsidR="008675C0">
        <w:rPr>
          <w:sz w:val="24"/>
          <w:szCs w:val="24"/>
          <w:lang w:val="es-MX" w:eastAsia="ja-JP"/>
        </w:rPr>
        <w:t xml:space="preserve">, fue inferior al </w:t>
      </w:r>
      <w:r w:rsidR="008675C0">
        <w:rPr>
          <w:sz w:val="24"/>
          <w:szCs w:val="24"/>
          <w:lang w:val="es-MX" w:eastAsia="ja-JP"/>
        </w:rPr>
        <w:lastRenderedPageBreak/>
        <w:t xml:space="preserve">mínimo legalmente previsto; ii) </w:t>
      </w:r>
      <w:r w:rsidR="00067F25">
        <w:rPr>
          <w:sz w:val="24"/>
          <w:szCs w:val="24"/>
          <w:lang w:val="es-MX" w:eastAsia="ja-JP"/>
        </w:rPr>
        <w:t>las reglas del concurso no permitieron la inscripción a través de medios electrónicos</w:t>
      </w:r>
      <w:r w:rsidR="00F818D4">
        <w:rPr>
          <w:sz w:val="24"/>
          <w:szCs w:val="24"/>
          <w:lang w:val="es-MX" w:eastAsia="ja-JP"/>
        </w:rPr>
        <w:t xml:space="preserve">; iii) la Universidad </w:t>
      </w:r>
      <w:r w:rsidR="004D0873">
        <w:rPr>
          <w:sz w:val="24"/>
          <w:szCs w:val="24"/>
          <w:lang w:val="es-MX" w:eastAsia="ja-JP"/>
        </w:rPr>
        <w:t xml:space="preserve">de la Costa que realizó el concurso de méritos, no tenía los requisitos necesarios para tal fin y, por lo tanto, no era idónea. </w:t>
      </w:r>
    </w:p>
    <w:p w14:paraId="590D40B8" w14:textId="77777777" w:rsidR="0086038F" w:rsidRDefault="0086038F" w:rsidP="00811793">
      <w:pPr>
        <w:autoSpaceDE w:val="0"/>
        <w:autoSpaceDN w:val="0"/>
        <w:adjustRightInd w:val="0"/>
        <w:rPr>
          <w:sz w:val="24"/>
          <w:szCs w:val="24"/>
          <w:lang w:val="es-MX" w:eastAsia="ja-JP"/>
        </w:rPr>
      </w:pPr>
    </w:p>
    <w:p w14:paraId="1424D713" w14:textId="0D86DE8C" w:rsidR="00805297" w:rsidRDefault="004D0873" w:rsidP="00811793">
      <w:pPr>
        <w:autoSpaceDE w:val="0"/>
        <w:autoSpaceDN w:val="0"/>
        <w:adjustRightInd w:val="0"/>
        <w:rPr>
          <w:sz w:val="24"/>
          <w:szCs w:val="24"/>
          <w:lang w:val="es-MX" w:eastAsia="ja-JP"/>
        </w:rPr>
      </w:pPr>
      <w:r>
        <w:rPr>
          <w:sz w:val="24"/>
          <w:szCs w:val="24"/>
          <w:lang w:val="es-MX" w:eastAsia="ja-JP"/>
        </w:rPr>
        <w:t>1.2.2. El asunto correspondió conocerlo</w:t>
      </w:r>
      <w:r w:rsidR="00541EA7">
        <w:rPr>
          <w:sz w:val="24"/>
          <w:szCs w:val="24"/>
          <w:lang w:val="es-MX" w:eastAsia="ja-JP"/>
        </w:rPr>
        <w:t xml:space="preserve"> bajo el </w:t>
      </w:r>
      <w:r w:rsidR="00541EA7">
        <w:rPr>
          <w:sz w:val="24"/>
          <w:szCs w:val="24"/>
        </w:rPr>
        <w:t>radicado núm. 08-00133-33-008-2020-00059-01</w:t>
      </w:r>
      <w:r>
        <w:rPr>
          <w:sz w:val="24"/>
          <w:szCs w:val="24"/>
          <w:lang w:val="es-MX" w:eastAsia="ja-JP"/>
        </w:rPr>
        <w:t xml:space="preserve">, en primera instancia, </w:t>
      </w:r>
      <w:r w:rsidR="0086038F">
        <w:rPr>
          <w:sz w:val="24"/>
          <w:szCs w:val="24"/>
          <w:lang w:val="es-MX" w:eastAsia="ja-JP"/>
        </w:rPr>
        <w:t xml:space="preserve">al Juzgado Octavo Administrativo de Barranquilla, autoridad que, en </w:t>
      </w:r>
      <w:r w:rsidR="0086038F" w:rsidRPr="000462FC">
        <w:rPr>
          <w:b/>
          <w:bCs/>
          <w:sz w:val="24"/>
          <w:szCs w:val="24"/>
          <w:lang w:val="es-MX" w:eastAsia="ja-JP"/>
        </w:rPr>
        <w:t>auto del 28 de febrero de 2020</w:t>
      </w:r>
      <w:bookmarkStart w:id="1" w:name="_Hlk106262296"/>
      <w:r w:rsidR="00541EA7" w:rsidRPr="00541EA7">
        <w:rPr>
          <w:rStyle w:val="Refdenotaalpie"/>
          <w:sz w:val="24"/>
          <w:szCs w:val="24"/>
          <w:lang w:val="es-MX" w:eastAsia="ja-JP"/>
        </w:rPr>
        <w:footnoteReference w:id="4"/>
      </w:r>
      <w:bookmarkEnd w:id="1"/>
      <w:r w:rsidR="0086038F">
        <w:rPr>
          <w:sz w:val="24"/>
          <w:szCs w:val="24"/>
          <w:lang w:val="es-MX" w:eastAsia="ja-JP"/>
        </w:rPr>
        <w:t>, inadmitió la demanda</w:t>
      </w:r>
      <w:r w:rsidR="00805297">
        <w:rPr>
          <w:sz w:val="24"/>
          <w:szCs w:val="24"/>
          <w:lang w:val="es-MX" w:eastAsia="ja-JP"/>
        </w:rPr>
        <w:t xml:space="preserve"> </w:t>
      </w:r>
      <w:r w:rsidR="0086038F">
        <w:rPr>
          <w:sz w:val="24"/>
          <w:szCs w:val="24"/>
          <w:lang w:val="es-MX" w:eastAsia="ja-JP"/>
        </w:rPr>
        <w:t xml:space="preserve">debido a que </w:t>
      </w:r>
      <w:r w:rsidR="00805297">
        <w:rPr>
          <w:sz w:val="24"/>
          <w:szCs w:val="24"/>
          <w:lang w:val="es-MX" w:eastAsia="ja-JP"/>
        </w:rPr>
        <w:t xml:space="preserve">la Procuraduría General de la Nación </w:t>
      </w:r>
      <w:r w:rsidR="0086038F">
        <w:rPr>
          <w:sz w:val="24"/>
          <w:szCs w:val="24"/>
          <w:lang w:val="es-MX" w:eastAsia="ja-JP"/>
        </w:rPr>
        <w:t>no aport</w:t>
      </w:r>
      <w:r w:rsidR="00805297">
        <w:rPr>
          <w:sz w:val="24"/>
          <w:szCs w:val="24"/>
          <w:lang w:val="es-MX" w:eastAsia="ja-JP"/>
        </w:rPr>
        <w:t>ó</w:t>
      </w:r>
      <w:r w:rsidR="0086038F">
        <w:rPr>
          <w:sz w:val="24"/>
          <w:szCs w:val="24"/>
          <w:lang w:val="es-MX" w:eastAsia="ja-JP"/>
        </w:rPr>
        <w:t xml:space="preserve"> copias completas de los actos administrativos cuestionados y para </w:t>
      </w:r>
      <w:r w:rsidR="00805297">
        <w:rPr>
          <w:sz w:val="24"/>
          <w:szCs w:val="24"/>
          <w:lang w:val="es-MX" w:eastAsia="ja-JP"/>
        </w:rPr>
        <w:t>los</w:t>
      </w:r>
      <w:r w:rsidR="0086038F">
        <w:rPr>
          <w:sz w:val="24"/>
          <w:szCs w:val="24"/>
          <w:lang w:val="es-MX" w:eastAsia="ja-JP"/>
        </w:rPr>
        <w:t xml:space="preserve"> traslado</w:t>
      </w:r>
      <w:r w:rsidR="00805297">
        <w:rPr>
          <w:sz w:val="24"/>
          <w:szCs w:val="24"/>
          <w:lang w:val="es-MX" w:eastAsia="ja-JP"/>
        </w:rPr>
        <w:t>s</w:t>
      </w:r>
      <w:r w:rsidR="0086038F">
        <w:rPr>
          <w:sz w:val="24"/>
          <w:szCs w:val="24"/>
          <w:lang w:val="es-MX" w:eastAsia="ja-JP"/>
        </w:rPr>
        <w:t>.</w:t>
      </w:r>
    </w:p>
    <w:p w14:paraId="2B36C5A7" w14:textId="77777777" w:rsidR="00805297" w:rsidRDefault="00805297" w:rsidP="00811793">
      <w:pPr>
        <w:autoSpaceDE w:val="0"/>
        <w:autoSpaceDN w:val="0"/>
        <w:adjustRightInd w:val="0"/>
        <w:rPr>
          <w:sz w:val="24"/>
          <w:szCs w:val="24"/>
          <w:lang w:val="es-MX" w:eastAsia="ja-JP"/>
        </w:rPr>
      </w:pPr>
    </w:p>
    <w:p w14:paraId="22E0C811" w14:textId="0AF94C7E" w:rsidR="007D62E0" w:rsidRDefault="000156DF" w:rsidP="00811793">
      <w:pPr>
        <w:autoSpaceDE w:val="0"/>
        <w:autoSpaceDN w:val="0"/>
        <w:adjustRightInd w:val="0"/>
        <w:rPr>
          <w:sz w:val="24"/>
          <w:szCs w:val="24"/>
          <w:lang w:val="es-MX" w:eastAsia="ja-JP"/>
        </w:rPr>
      </w:pPr>
      <w:r>
        <w:rPr>
          <w:sz w:val="24"/>
          <w:szCs w:val="24"/>
          <w:lang w:val="es-MX" w:eastAsia="ja-JP"/>
        </w:rPr>
        <w:t>Subsanados los defectos por la parte interesada</w:t>
      </w:r>
      <w:r w:rsidR="00805297">
        <w:rPr>
          <w:sz w:val="24"/>
          <w:szCs w:val="24"/>
          <w:lang w:val="es-MX" w:eastAsia="ja-JP"/>
        </w:rPr>
        <w:t>, e</w:t>
      </w:r>
      <w:r>
        <w:rPr>
          <w:sz w:val="24"/>
          <w:szCs w:val="24"/>
          <w:lang w:val="es-MX" w:eastAsia="ja-JP"/>
        </w:rPr>
        <w:t xml:space="preserve">l </w:t>
      </w:r>
      <w:r w:rsidR="0041442C">
        <w:rPr>
          <w:sz w:val="24"/>
          <w:szCs w:val="24"/>
          <w:lang w:val="es-MX" w:eastAsia="ja-JP"/>
        </w:rPr>
        <w:t>J</w:t>
      </w:r>
      <w:r>
        <w:rPr>
          <w:sz w:val="24"/>
          <w:szCs w:val="24"/>
          <w:lang w:val="es-MX" w:eastAsia="ja-JP"/>
        </w:rPr>
        <w:t>uzgado emitió</w:t>
      </w:r>
      <w:r w:rsidR="00805297">
        <w:rPr>
          <w:sz w:val="24"/>
          <w:szCs w:val="24"/>
          <w:lang w:val="es-MX" w:eastAsia="ja-JP"/>
        </w:rPr>
        <w:t xml:space="preserve"> </w:t>
      </w:r>
      <w:r w:rsidR="00805297" w:rsidRPr="000462FC">
        <w:rPr>
          <w:b/>
          <w:bCs/>
          <w:sz w:val="24"/>
          <w:szCs w:val="24"/>
          <w:lang w:val="es-MX" w:eastAsia="ja-JP"/>
        </w:rPr>
        <w:t>auto el 6 de julio de 2020</w:t>
      </w:r>
      <w:r w:rsidRPr="00541EA7">
        <w:rPr>
          <w:rStyle w:val="Refdenotaalpie"/>
          <w:sz w:val="24"/>
          <w:szCs w:val="24"/>
          <w:lang w:val="es-MX" w:eastAsia="ja-JP"/>
        </w:rPr>
        <w:footnoteReference w:id="5"/>
      </w:r>
      <w:r w:rsidR="00805297">
        <w:rPr>
          <w:sz w:val="24"/>
          <w:szCs w:val="24"/>
          <w:lang w:val="es-MX" w:eastAsia="ja-JP"/>
        </w:rPr>
        <w:t xml:space="preserve">, </w:t>
      </w:r>
      <w:r>
        <w:rPr>
          <w:sz w:val="24"/>
          <w:szCs w:val="24"/>
          <w:lang w:val="es-MX" w:eastAsia="ja-JP"/>
        </w:rPr>
        <w:t xml:space="preserve">en el que </w:t>
      </w:r>
      <w:r w:rsidR="00805297">
        <w:rPr>
          <w:sz w:val="24"/>
          <w:szCs w:val="24"/>
          <w:lang w:val="es-MX" w:eastAsia="ja-JP"/>
        </w:rPr>
        <w:t>admitió la demanda</w:t>
      </w:r>
      <w:r w:rsidR="004B5A31">
        <w:rPr>
          <w:sz w:val="24"/>
          <w:szCs w:val="24"/>
          <w:lang w:val="es-MX" w:eastAsia="ja-JP"/>
        </w:rPr>
        <w:t>, accedió a la medida cautelar</w:t>
      </w:r>
      <w:r w:rsidR="00805297">
        <w:rPr>
          <w:sz w:val="24"/>
          <w:szCs w:val="24"/>
          <w:lang w:val="es-MX" w:eastAsia="ja-JP"/>
        </w:rPr>
        <w:t xml:space="preserve"> </w:t>
      </w:r>
      <w:r w:rsidR="006217C8">
        <w:rPr>
          <w:sz w:val="24"/>
          <w:szCs w:val="24"/>
          <w:lang w:val="es-MX" w:eastAsia="ja-JP"/>
        </w:rPr>
        <w:t xml:space="preserve">y decretó la suspensión de los efectos </w:t>
      </w:r>
      <w:r w:rsidR="00D55ADF">
        <w:rPr>
          <w:sz w:val="24"/>
          <w:szCs w:val="24"/>
          <w:lang w:val="es-MX" w:eastAsia="ja-JP"/>
        </w:rPr>
        <w:t xml:space="preserve">de la Resolución 002 </w:t>
      </w:r>
      <w:r w:rsidR="004B5A31">
        <w:rPr>
          <w:sz w:val="24"/>
          <w:szCs w:val="24"/>
          <w:lang w:val="es-MX" w:eastAsia="ja-JP"/>
        </w:rPr>
        <w:t xml:space="preserve">del 10 de enero </w:t>
      </w:r>
      <w:r w:rsidR="00D55ADF">
        <w:rPr>
          <w:sz w:val="24"/>
          <w:szCs w:val="24"/>
          <w:lang w:val="es-MX" w:eastAsia="ja-JP"/>
        </w:rPr>
        <w:t>de 2020</w:t>
      </w:r>
      <w:r w:rsidR="006217C8" w:rsidRPr="006217C8">
        <w:rPr>
          <w:sz w:val="24"/>
          <w:szCs w:val="24"/>
          <w:lang w:val="es-MX" w:eastAsia="ja-JP"/>
        </w:rPr>
        <w:t xml:space="preserve"> por medio del </w:t>
      </w:r>
      <w:r w:rsidR="00744743">
        <w:rPr>
          <w:sz w:val="24"/>
          <w:szCs w:val="24"/>
          <w:lang w:val="es-MX" w:eastAsia="ja-JP"/>
        </w:rPr>
        <w:t xml:space="preserve">que fue </w:t>
      </w:r>
      <w:r w:rsidR="00F66EF2" w:rsidRPr="006217C8">
        <w:rPr>
          <w:sz w:val="24"/>
          <w:szCs w:val="24"/>
          <w:lang w:val="es-MX" w:eastAsia="ja-JP"/>
        </w:rPr>
        <w:t>elegi</w:t>
      </w:r>
      <w:r w:rsidR="00F66EF2">
        <w:rPr>
          <w:sz w:val="24"/>
          <w:szCs w:val="24"/>
          <w:lang w:val="es-MX" w:eastAsia="ja-JP"/>
        </w:rPr>
        <w:t>do</w:t>
      </w:r>
      <w:r w:rsidR="006217C8" w:rsidRPr="006217C8">
        <w:rPr>
          <w:sz w:val="24"/>
          <w:szCs w:val="24"/>
          <w:lang w:val="es-MX" w:eastAsia="ja-JP"/>
        </w:rPr>
        <w:t xml:space="preserve"> Evaristo Arteta Castro como </w:t>
      </w:r>
      <w:r w:rsidR="006217C8">
        <w:rPr>
          <w:sz w:val="24"/>
          <w:szCs w:val="24"/>
          <w:lang w:val="es-MX" w:eastAsia="ja-JP"/>
        </w:rPr>
        <w:t>p</w:t>
      </w:r>
      <w:r w:rsidR="006217C8" w:rsidRPr="006217C8">
        <w:rPr>
          <w:sz w:val="24"/>
          <w:szCs w:val="24"/>
          <w:lang w:val="es-MX" w:eastAsia="ja-JP"/>
        </w:rPr>
        <w:t xml:space="preserve">ersonero </w:t>
      </w:r>
      <w:r w:rsidR="00DC2DF5">
        <w:rPr>
          <w:sz w:val="24"/>
          <w:szCs w:val="24"/>
          <w:lang w:val="es-MX" w:eastAsia="ja-JP"/>
        </w:rPr>
        <w:t xml:space="preserve">municipal </w:t>
      </w:r>
      <w:r>
        <w:rPr>
          <w:sz w:val="24"/>
          <w:szCs w:val="24"/>
          <w:lang w:val="es-MX" w:eastAsia="ja-JP"/>
        </w:rPr>
        <w:t xml:space="preserve">de Juan de Acosta (Atlántico) </w:t>
      </w:r>
      <w:r w:rsidR="006217C8" w:rsidRPr="006217C8">
        <w:rPr>
          <w:sz w:val="24"/>
          <w:szCs w:val="24"/>
          <w:lang w:val="es-MX" w:eastAsia="ja-JP"/>
        </w:rPr>
        <w:t>para el período 2020 a 2024</w:t>
      </w:r>
      <w:r w:rsidR="00D55ADF">
        <w:rPr>
          <w:sz w:val="24"/>
          <w:szCs w:val="24"/>
          <w:lang w:val="es-MX" w:eastAsia="ja-JP"/>
        </w:rPr>
        <w:t xml:space="preserve">. </w:t>
      </w:r>
    </w:p>
    <w:p w14:paraId="5F609F90" w14:textId="77777777" w:rsidR="000156DF" w:rsidRDefault="000156DF" w:rsidP="00811793">
      <w:pPr>
        <w:autoSpaceDE w:val="0"/>
        <w:autoSpaceDN w:val="0"/>
        <w:adjustRightInd w:val="0"/>
        <w:rPr>
          <w:sz w:val="24"/>
          <w:szCs w:val="24"/>
          <w:lang w:val="es-MX" w:eastAsia="ja-JP"/>
        </w:rPr>
      </w:pPr>
    </w:p>
    <w:p w14:paraId="013558EA" w14:textId="77777777" w:rsidR="00AF1B2B" w:rsidRDefault="00744743" w:rsidP="00811793">
      <w:pPr>
        <w:autoSpaceDE w:val="0"/>
        <w:autoSpaceDN w:val="0"/>
        <w:adjustRightInd w:val="0"/>
        <w:rPr>
          <w:sz w:val="24"/>
          <w:szCs w:val="24"/>
          <w:lang w:val="es-MX" w:eastAsia="ja-JP"/>
        </w:rPr>
      </w:pPr>
      <w:r>
        <w:rPr>
          <w:sz w:val="24"/>
          <w:szCs w:val="24"/>
          <w:lang w:val="es-MX" w:eastAsia="ja-JP"/>
        </w:rPr>
        <w:t>E</w:t>
      </w:r>
      <w:r w:rsidR="005E5863">
        <w:rPr>
          <w:sz w:val="24"/>
          <w:szCs w:val="24"/>
          <w:lang w:val="es-MX" w:eastAsia="ja-JP"/>
        </w:rPr>
        <w:t>l</w:t>
      </w:r>
      <w:r>
        <w:rPr>
          <w:sz w:val="24"/>
          <w:szCs w:val="24"/>
          <w:lang w:val="es-MX" w:eastAsia="ja-JP"/>
        </w:rPr>
        <w:t xml:space="preserve"> juzgado </w:t>
      </w:r>
      <w:r w:rsidR="005E5863">
        <w:rPr>
          <w:sz w:val="24"/>
          <w:szCs w:val="24"/>
          <w:lang w:val="es-MX" w:eastAsia="ja-JP"/>
        </w:rPr>
        <w:t xml:space="preserve">explicó </w:t>
      </w:r>
      <w:r>
        <w:rPr>
          <w:sz w:val="24"/>
          <w:szCs w:val="24"/>
          <w:lang w:val="es-MX" w:eastAsia="ja-JP"/>
        </w:rPr>
        <w:t>que</w:t>
      </w:r>
      <w:r w:rsidR="005E5863">
        <w:rPr>
          <w:sz w:val="24"/>
          <w:szCs w:val="24"/>
          <w:lang w:val="es-MX" w:eastAsia="ja-JP"/>
        </w:rPr>
        <w:t>,</w:t>
      </w:r>
      <w:r>
        <w:rPr>
          <w:sz w:val="24"/>
          <w:szCs w:val="24"/>
          <w:lang w:val="es-MX" w:eastAsia="ja-JP"/>
        </w:rPr>
        <w:t xml:space="preserve"> de los documentos aportados</w:t>
      </w:r>
      <w:r w:rsidR="005E5863">
        <w:rPr>
          <w:sz w:val="24"/>
          <w:szCs w:val="24"/>
          <w:lang w:val="es-MX" w:eastAsia="ja-JP"/>
        </w:rPr>
        <w:t xml:space="preserve"> con la demanda,</w:t>
      </w:r>
      <w:r>
        <w:rPr>
          <w:sz w:val="24"/>
          <w:szCs w:val="24"/>
          <w:lang w:val="es-MX" w:eastAsia="ja-JP"/>
        </w:rPr>
        <w:t xml:space="preserve"> encontró que el Concejo Municipal de Juan de Acosta, </w:t>
      </w:r>
      <w:r w:rsidR="007D62E0">
        <w:rPr>
          <w:sz w:val="24"/>
          <w:szCs w:val="24"/>
          <w:lang w:val="es-MX" w:eastAsia="ja-JP"/>
        </w:rPr>
        <w:t>en</w:t>
      </w:r>
      <w:r>
        <w:rPr>
          <w:sz w:val="24"/>
          <w:szCs w:val="24"/>
          <w:lang w:val="es-MX" w:eastAsia="ja-JP"/>
        </w:rPr>
        <w:t xml:space="preserve"> el Acta del 7 de noviembre de 2020, resolvió un recurso de reposición interpuesto en contra del concurso de méritos</w:t>
      </w:r>
      <w:r w:rsidR="005E5863">
        <w:rPr>
          <w:sz w:val="24"/>
          <w:szCs w:val="24"/>
          <w:lang w:val="es-MX" w:eastAsia="ja-JP"/>
        </w:rPr>
        <w:t xml:space="preserve"> para personero municipal</w:t>
      </w:r>
      <w:r>
        <w:rPr>
          <w:sz w:val="24"/>
          <w:szCs w:val="24"/>
          <w:lang w:val="es-MX" w:eastAsia="ja-JP"/>
        </w:rPr>
        <w:t xml:space="preserve">, a pesar de que la Resolución </w:t>
      </w:r>
      <w:r w:rsidR="00AF1B2B">
        <w:rPr>
          <w:sz w:val="24"/>
          <w:szCs w:val="24"/>
          <w:lang w:val="es-MX" w:eastAsia="ja-JP"/>
        </w:rPr>
        <w:t xml:space="preserve">001-19 </w:t>
      </w:r>
      <w:r w:rsidR="0037191D">
        <w:rPr>
          <w:sz w:val="24"/>
          <w:szCs w:val="24"/>
          <w:lang w:val="es-MX" w:eastAsia="ja-JP"/>
        </w:rPr>
        <w:t>de</w:t>
      </w:r>
      <w:r w:rsidR="00AF1B2B">
        <w:rPr>
          <w:sz w:val="24"/>
          <w:szCs w:val="24"/>
          <w:lang w:val="es-MX" w:eastAsia="ja-JP"/>
        </w:rPr>
        <w:t xml:space="preserve"> C</w:t>
      </w:r>
      <w:r w:rsidR="0037191D">
        <w:rPr>
          <w:sz w:val="24"/>
          <w:szCs w:val="24"/>
          <w:lang w:val="es-MX" w:eastAsia="ja-JP"/>
        </w:rPr>
        <w:t>onvocatoria que fijó las reglas generales, los criterios de selección y evaluación y el cronograma para el concurso, fue proferida</w:t>
      </w:r>
      <w:r w:rsidR="00AF1B2B">
        <w:rPr>
          <w:sz w:val="24"/>
          <w:szCs w:val="24"/>
          <w:lang w:val="es-MX" w:eastAsia="ja-JP"/>
        </w:rPr>
        <w:t xml:space="preserve"> de manera posterior,</w:t>
      </w:r>
      <w:r w:rsidR="0037191D">
        <w:rPr>
          <w:sz w:val="24"/>
          <w:szCs w:val="24"/>
          <w:lang w:val="es-MX" w:eastAsia="ja-JP"/>
        </w:rPr>
        <w:t xml:space="preserve"> el </w:t>
      </w:r>
      <w:r w:rsidR="007D62E0">
        <w:rPr>
          <w:sz w:val="24"/>
          <w:szCs w:val="24"/>
          <w:lang w:val="es-MX" w:eastAsia="ja-JP"/>
        </w:rPr>
        <w:t>20 de noviembre de 2019</w:t>
      </w:r>
      <w:r w:rsidR="0037191D">
        <w:rPr>
          <w:sz w:val="24"/>
          <w:szCs w:val="24"/>
          <w:lang w:val="es-MX" w:eastAsia="ja-JP"/>
        </w:rPr>
        <w:t>.</w:t>
      </w:r>
      <w:r w:rsidR="0060611B">
        <w:rPr>
          <w:sz w:val="24"/>
          <w:szCs w:val="24"/>
          <w:lang w:val="es-MX" w:eastAsia="ja-JP"/>
        </w:rPr>
        <w:t xml:space="preserve"> Además, porque el plazo previsto de 2 días para la inscripción al respectivo concurso fue inferior a los 5 días de que trata el Decreto 1083 de 2015. </w:t>
      </w:r>
    </w:p>
    <w:p w14:paraId="119F1960" w14:textId="77777777" w:rsidR="00AF1B2B" w:rsidRDefault="00AF1B2B" w:rsidP="00811793">
      <w:pPr>
        <w:autoSpaceDE w:val="0"/>
        <w:autoSpaceDN w:val="0"/>
        <w:adjustRightInd w:val="0"/>
        <w:rPr>
          <w:sz w:val="24"/>
          <w:szCs w:val="24"/>
          <w:lang w:val="es-MX" w:eastAsia="ja-JP"/>
        </w:rPr>
      </w:pPr>
    </w:p>
    <w:p w14:paraId="3F968A62" w14:textId="666F5670" w:rsidR="0039267B" w:rsidRDefault="00A938C4" w:rsidP="00811793">
      <w:pPr>
        <w:autoSpaceDE w:val="0"/>
        <w:autoSpaceDN w:val="0"/>
        <w:adjustRightInd w:val="0"/>
        <w:rPr>
          <w:sz w:val="24"/>
          <w:szCs w:val="24"/>
          <w:lang w:val="es-MX" w:eastAsia="ja-JP"/>
        </w:rPr>
      </w:pPr>
      <w:r>
        <w:rPr>
          <w:sz w:val="24"/>
          <w:szCs w:val="24"/>
          <w:lang w:val="es-MX" w:eastAsia="ja-JP"/>
        </w:rPr>
        <w:t xml:space="preserve">La decisión que </w:t>
      </w:r>
      <w:r w:rsidR="006F4AF5">
        <w:rPr>
          <w:sz w:val="24"/>
          <w:szCs w:val="24"/>
          <w:lang w:val="es-MX" w:eastAsia="ja-JP"/>
        </w:rPr>
        <w:t>accedió a la medida cautelar fue apelada por la Corporación demandada</w:t>
      </w:r>
      <w:r w:rsidR="00AF1B2B">
        <w:rPr>
          <w:sz w:val="24"/>
          <w:szCs w:val="24"/>
          <w:lang w:val="es-MX" w:eastAsia="ja-JP"/>
        </w:rPr>
        <w:t xml:space="preserve"> y el señor Arteta Castro</w:t>
      </w:r>
      <w:r w:rsidR="00A46C1C">
        <w:rPr>
          <w:sz w:val="24"/>
          <w:szCs w:val="24"/>
          <w:lang w:val="es-MX" w:eastAsia="ja-JP"/>
        </w:rPr>
        <w:t>. El re</w:t>
      </w:r>
      <w:r w:rsidR="006F4AF5">
        <w:rPr>
          <w:sz w:val="24"/>
          <w:szCs w:val="24"/>
          <w:lang w:val="es-MX" w:eastAsia="ja-JP"/>
        </w:rPr>
        <w:t>curso</w:t>
      </w:r>
      <w:r w:rsidR="00A46C1C">
        <w:rPr>
          <w:sz w:val="24"/>
          <w:szCs w:val="24"/>
          <w:lang w:val="es-MX" w:eastAsia="ja-JP"/>
        </w:rPr>
        <w:t xml:space="preserve"> fue</w:t>
      </w:r>
      <w:r w:rsidR="003D57B7">
        <w:rPr>
          <w:sz w:val="24"/>
          <w:szCs w:val="24"/>
          <w:lang w:val="es-MX" w:eastAsia="ja-JP"/>
        </w:rPr>
        <w:t xml:space="preserve"> concedido</w:t>
      </w:r>
      <w:r w:rsidR="003619A6">
        <w:rPr>
          <w:sz w:val="24"/>
          <w:szCs w:val="24"/>
          <w:lang w:val="es-MX" w:eastAsia="ja-JP"/>
        </w:rPr>
        <w:t xml:space="preserve"> en el efecto devolutivo. </w:t>
      </w:r>
      <w:r w:rsidR="00927557">
        <w:rPr>
          <w:sz w:val="24"/>
          <w:szCs w:val="24"/>
          <w:lang w:val="es-MX" w:eastAsia="ja-JP"/>
        </w:rPr>
        <w:t>En segunda instancia, el Tribunal Administrativo del Atlántico revocó la providencia, en auto del 26 de noviembre de 2020.</w:t>
      </w:r>
    </w:p>
    <w:p w14:paraId="26557B0B" w14:textId="385E247F" w:rsidR="00110C16" w:rsidRDefault="00110C16" w:rsidP="00811793">
      <w:pPr>
        <w:autoSpaceDE w:val="0"/>
        <w:autoSpaceDN w:val="0"/>
        <w:adjustRightInd w:val="0"/>
        <w:rPr>
          <w:sz w:val="24"/>
          <w:szCs w:val="24"/>
          <w:lang w:val="es-MX" w:eastAsia="ja-JP"/>
        </w:rPr>
      </w:pPr>
    </w:p>
    <w:p w14:paraId="00AC5FC7" w14:textId="09E81DF1" w:rsidR="003D57B7" w:rsidRDefault="006F4AF5" w:rsidP="00811793">
      <w:pPr>
        <w:autoSpaceDE w:val="0"/>
        <w:autoSpaceDN w:val="0"/>
        <w:adjustRightInd w:val="0"/>
        <w:rPr>
          <w:sz w:val="24"/>
          <w:szCs w:val="24"/>
          <w:lang w:val="es-MX" w:eastAsia="ja-JP"/>
        </w:rPr>
      </w:pPr>
      <w:r>
        <w:rPr>
          <w:sz w:val="24"/>
          <w:szCs w:val="24"/>
          <w:lang w:val="es-MX" w:eastAsia="ja-JP"/>
        </w:rPr>
        <w:t xml:space="preserve">1.2.3. </w:t>
      </w:r>
      <w:r w:rsidR="003D57B7">
        <w:rPr>
          <w:sz w:val="24"/>
          <w:szCs w:val="24"/>
          <w:lang w:val="es-MX" w:eastAsia="ja-JP"/>
        </w:rPr>
        <w:t xml:space="preserve">Notificado el auto admisorio, </w:t>
      </w:r>
      <w:r w:rsidR="0041442C">
        <w:rPr>
          <w:sz w:val="24"/>
          <w:szCs w:val="24"/>
          <w:lang w:val="es-MX" w:eastAsia="ja-JP"/>
        </w:rPr>
        <w:t xml:space="preserve">la parte demandada contestó </w:t>
      </w:r>
      <w:r w:rsidR="008D2A07">
        <w:rPr>
          <w:sz w:val="24"/>
          <w:szCs w:val="24"/>
          <w:lang w:val="es-MX" w:eastAsia="ja-JP"/>
        </w:rPr>
        <w:t xml:space="preserve">que se configuró una </w:t>
      </w:r>
      <w:r w:rsidR="003D57B7">
        <w:rPr>
          <w:sz w:val="24"/>
          <w:szCs w:val="24"/>
          <w:lang w:val="es-MX" w:eastAsia="ja-JP"/>
        </w:rPr>
        <w:t>ineptitud sustantiva</w:t>
      </w:r>
      <w:r w:rsidR="008D2A07">
        <w:rPr>
          <w:sz w:val="24"/>
          <w:szCs w:val="24"/>
          <w:lang w:val="es-MX" w:eastAsia="ja-JP"/>
        </w:rPr>
        <w:t xml:space="preserve"> del líbelo introductorio</w:t>
      </w:r>
      <w:r w:rsidR="0041442C">
        <w:rPr>
          <w:sz w:val="24"/>
          <w:szCs w:val="24"/>
          <w:lang w:val="es-MX" w:eastAsia="ja-JP"/>
        </w:rPr>
        <w:t>, en razón a que consideraron</w:t>
      </w:r>
      <w:r w:rsidR="003D57B7">
        <w:rPr>
          <w:sz w:val="24"/>
          <w:szCs w:val="24"/>
          <w:lang w:val="es-MX" w:eastAsia="ja-JP"/>
        </w:rPr>
        <w:t xml:space="preserve">, por un lado, </w:t>
      </w:r>
      <w:r w:rsidR="0041442C">
        <w:rPr>
          <w:sz w:val="24"/>
          <w:szCs w:val="24"/>
          <w:lang w:val="es-MX" w:eastAsia="ja-JP"/>
        </w:rPr>
        <w:t xml:space="preserve">que </w:t>
      </w:r>
      <w:r w:rsidR="003D57B7">
        <w:rPr>
          <w:sz w:val="24"/>
          <w:szCs w:val="24"/>
          <w:lang w:val="es-MX" w:eastAsia="ja-JP"/>
        </w:rPr>
        <w:t>algunos actos administrativos cuestionados eran de trámite o preparatorios y por lo tanto no eran objeto control judicial;</w:t>
      </w:r>
      <w:r w:rsidR="008D2A07">
        <w:rPr>
          <w:sz w:val="24"/>
          <w:szCs w:val="24"/>
          <w:lang w:val="es-MX" w:eastAsia="ja-JP"/>
        </w:rPr>
        <w:t xml:space="preserve"> y,</w:t>
      </w:r>
      <w:r w:rsidR="003D57B7">
        <w:rPr>
          <w:sz w:val="24"/>
          <w:szCs w:val="24"/>
          <w:lang w:val="es-MX" w:eastAsia="ja-JP"/>
        </w:rPr>
        <w:t xml:space="preserve"> por otro lado,</w:t>
      </w:r>
      <w:r w:rsidR="008D2A07">
        <w:rPr>
          <w:sz w:val="24"/>
          <w:szCs w:val="24"/>
          <w:lang w:val="es-MX" w:eastAsia="ja-JP"/>
        </w:rPr>
        <w:t xml:space="preserve"> </w:t>
      </w:r>
      <w:r w:rsidR="0041442C">
        <w:rPr>
          <w:sz w:val="24"/>
          <w:szCs w:val="24"/>
          <w:lang w:val="es-MX" w:eastAsia="ja-JP"/>
        </w:rPr>
        <w:t xml:space="preserve">que </w:t>
      </w:r>
      <w:r w:rsidR="008D2A07">
        <w:rPr>
          <w:sz w:val="24"/>
          <w:szCs w:val="24"/>
          <w:lang w:val="es-MX" w:eastAsia="ja-JP"/>
        </w:rPr>
        <w:t xml:space="preserve">la Procuraduría expresó inconformidades pero no </w:t>
      </w:r>
      <w:r w:rsidR="0041442C">
        <w:rPr>
          <w:sz w:val="24"/>
          <w:szCs w:val="24"/>
          <w:lang w:val="es-MX" w:eastAsia="ja-JP"/>
        </w:rPr>
        <w:t>expuso</w:t>
      </w:r>
      <w:r w:rsidR="008D2A07">
        <w:rPr>
          <w:sz w:val="24"/>
          <w:szCs w:val="24"/>
          <w:lang w:val="es-MX" w:eastAsia="ja-JP"/>
        </w:rPr>
        <w:t xml:space="preserve"> las normas violadas y el concepto de violación. </w:t>
      </w:r>
    </w:p>
    <w:p w14:paraId="62361869" w14:textId="77777777" w:rsidR="008D2A07" w:rsidRDefault="008D2A07" w:rsidP="00811793">
      <w:pPr>
        <w:autoSpaceDE w:val="0"/>
        <w:autoSpaceDN w:val="0"/>
        <w:adjustRightInd w:val="0"/>
        <w:rPr>
          <w:sz w:val="24"/>
          <w:szCs w:val="24"/>
          <w:lang w:val="es-MX" w:eastAsia="ja-JP"/>
        </w:rPr>
      </w:pPr>
    </w:p>
    <w:p w14:paraId="4AAD32E6" w14:textId="49FA49C5" w:rsidR="003D57B7" w:rsidRDefault="008D2A07" w:rsidP="00811793">
      <w:pPr>
        <w:autoSpaceDE w:val="0"/>
        <w:autoSpaceDN w:val="0"/>
        <w:adjustRightInd w:val="0"/>
        <w:rPr>
          <w:sz w:val="24"/>
          <w:szCs w:val="24"/>
          <w:lang w:val="es-MX" w:eastAsia="ja-JP"/>
        </w:rPr>
      </w:pPr>
      <w:r>
        <w:rPr>
          <w:sz w:val="24"/>
          <w:szCs w:val="24"/>
          <w:lang w:val="es-MX" w:eastAsia="ja-JP"/>
        </w:rPr>
        <w:t>Al respecto,</w:t>
      </w:r>
      <w:r w:rsidR="003D57B7">
        <w:rPr>
          <w:sz w:val="24"/>
          <w:szCs w:val="24"/>
          <w:lang w:val="es-MX" w:eastAsia="ja-JP"/>
        </w:rPr>
        <w:t xml:space="preserve"> el </w:t>
      </w:r>
      <w:r w:rsidR="0041442C">
        <w:rPr>
          <w:sz w:val="24"/>
          <w:szCs w:val="24"/>
          <w:lang w:val="es-MX" w:eastAsia="ja-JP"/>
        </w:rPr>
        <w:t>J</w:t>
      </w:r>
      <w:r w:rsidR="003D57B7">
        <w:rPr>
          <w:sz w:val="24"/>
          <w:szCs w:val="24"/>
          <w:lang w:val="es-MX" w:eastAsia="ja-JP"/>
        </w:rPr>
        <w:t xml:space="preserve">uzgado profirió </w:t>
      </w:r>
      <w:r w:rsidR="003D57B7" w:rsidRPr="0041442C">
        <w:rPr>
          <w:sz w:val="24"/>
          <w:szCs w:val="24"/>
          <w:lang w:val="es-MX" w:eastAsia="ja-JP"/>
        </w:rPr>
        <w:t>auto</w:t>
      </w:r>
      <w:r w:rsidR="0041442C">
        <w:rPr>
          <w:sz w:val="24"/>
          <w:szCs w:val="24"/>
          <w:lang w:val="es-MX" w:eastAsia="ja-JP"/>
        </w:rPr>
        <w:t>,</w:t>
      </w:r>
      <w:r w:rsidR="003D57B7" w:rsidRPr="000462FC">
        <w:rPr>
          <w:b/>
          <w:bCs/>
          <w:sz w:val="24"/>
          <w:szCs w:val="24"/>
          <w:lang w:val="es-MX" w:eastAsia="ja-JP"/>
        </w:rPr>
        <w:t xml:space="preserve"> el 11 de septiembre de 2020</w:t>
      </w:r>
      <w:r w:rsidR="0041442C" w:rsidRPr="00541EA7">
        <w:rPr>
          <w:rStyle w:val="Refdenotaalpie"/>
          <w:sz w:val="24"/>
          <w:szCs w:val="24"/>
          <w:lang w:val="es-MX" w:eastAsia="ja-JP"/>
        </w:rPr>
        <w:footnoteReference w:id="6"/>
      </w:r>
      <w:r w:rsidR="003D57B7">
        <w:rPr>
          <w:sz w:val="24"/>
          <w:szCs w:val="24"/>
          <w:lang w:val="es-MX" w:eastAsia="ja-JP"/>
        </w:rPr>
        <w:t>, en el que resolvió la excepción previa</w:t>
      </w:r>
      <w:r w:rsidR="00F668EA">
        <w:rPr>
          <w:sz w:val="24"/>
          <w:szCs w:val="24"/>
          <w:lang w:val="es-MX" w:eastAsia="ja-JP"/>
        </w:rPr>
        <w:t xml:space="preserve"> que invocaron los demandados. A</w:t>
      </w:r>
      <w:r w:rsidR="003D57B7">
        <w:rPr>
          <w:sz w:val="24"/>
          <w:szCs w:val="24"/>
          <w:lang w:val="es-MX" w:eastAsia="ja-JP"/>
        </w:rPr>
        <w:t xml:space="preserve">firmó que la Procuraduría General de la Nación cumplió con el requisito de indicar las normas violadas y el concepto de violación, pues expuso </w:t>
      </w:r>
      <w:r w:rsidR="00F668EA">
        <w:rPr>
          <w:sz w:val="24"/>
          <w:szCs w:val="24"/>
          <w:lang w:val="es-MX" w:eastAsia="ja-JP"/>
        </w:rPr>
        <w:t xml:space="preserve">tres cargos concretos en contra de los actos controvertidos. De otra parte, sostuvo que no era posible realizar un control estricto del mencionado requisito, </w:t>
      </w:r>
      <w:r w:rsidR="00F668EA" w:rsidRPr="00F668EA">
        <w:rPr>
          <w:i/>
          <w:iCs/>
          <w:sz w:val="24"/>
          <w:szCs w:val="24"/>
          <w:lang w:val="es-MX" w:eastAsia="ja-JP"/>
        </w:rPr>
        <w:t>so pena</w:t>
      </w:r>
      <w:r w:rsidR="00F668EA">
        <w:rPr>
          <w:sz w:val="24"/>
          <w:szCs w:val="24"/>
          <w:lang w:val="es-MX" w:eastAsia="ja-JP"/>
        </w:rPr>
        <w:t xml:space="preserve"> de vulnerar el derecho fundamental de acceso a la administración de justicia.</w:t>
      </w:r>
    </w:p>
    <w:p w14:paraId="4DEB325D" w14:textId="77777777" w:rsidR="003D57B7" w:rsidRDefault="003D57B7" w:rsidP="00811793">
      <w:pPr>
        <w:autoSpaceDE w:val="0"/>
        <w:autoSpaceDN w:val="0"/>
        <w:adjustRightInd w:val="0"/>
        <w:rPr>
          <w:sz w:val="24"/>
          <w:szCs w:val="24"/>
          <w:lang w:val="es-MX" w:eastAsia="ja-JP"/>
        </w:rPr>
      </w:pPr>
    </w:p>
    <w:p w14:paraId="40EF736F" w14:textId="6D141FB5" w:rsidR="00D76885" w:rsidRDefault="00F668EA" w:rsidP="00811793">
      <w:pPr>
        <w:autoSpaceDE w:val="0"/>
        <w:autoSpaceDN w:val="0"/>
        <w:adjustRightInd w:val="0"/>
        <w:rPr>
          <w:sz w:val="24"/>
          <w:szCs w:val="24"/>
          <w:lang w:val="es-MX" w:eastAsia="ja-JP"/>
        </w:rPr>
      </w:pPr>
      <w:r>
        <w:rPr>
          <w:sz w:val="24"/>
          <w:szCs w:val="24"/>
          <w:lang w:val="es-MX" w:eastAsia="ja-JP"/>
        </w:rPr>
        <w:t>1.2.4. Continuado el trámite, e</w:t>
      </w:r>
      <w:r w:rsidR="00110C16">
        <w:rPr>
          <w:sz w:val="24"/>
          <w:szCs w:val="24"/>
          <w:lang w:val="es-MX" w:eastAsia="ja-JP"/>
        </w:rPr>
        <w:t xml:space="preserve">l </w:t>
      </w:r>
      <w:r w:rsidR="00110C16" w:rsidRPr="000462FC">
        <w:rPr>
          <w:b/>
          <w:bCs/>
          <w:sz w:val="24"/>
          <w:szCs w:val="24"/>
          <w:lang w:val="es-MX" w:eastAsia="ja-JP"/>
        </w:rPr>
        <w:t>23 de noviembre de 2020</w:t>
      </w:r>
      <w:r w:rsidR="0041442C" w:rsidRPr="00541EA7">
        <w:rPr>
          <w:rStyle w:val="Refdenotaalpie"/>
          <w:sz w:val="24"/>
          <w:szCs w:val="24"/>
          <w:lang w:val="es-MX" w:eastAsia="ja-JP"/>
        </w:rPr>
        <w:footnoteReference w:id="7"/>
      </w:r>
      <w:r w:rsidR="00110C16">
        <w:rPr>
          <w:sz w:val="24"/>
          <w:szCs w:val="24"/>
          <w:lang w:val="es-MX" w:eastAsia="ja-JP"/>
        </w:rPr>
        <w:t xml:space="preserve"> se llevó a </w:t>
      </w:r>
      <w:r w:rsidR="00110C16" w:rsidRPr="0041442C">
        <w:rPr>
          <w:sz w:val="24"/>
          <w:szCs w:val="24"/>
          <w:lang w:val="es-MX" w:eastAsia="ja-JP"/>
        </w:rPr>
        <w:t>cabo audiencia inicial dentro del proceso adelantado por la Procuraduría General de l</w:t>
      </w:r>
      <w:r w:rsidR="00110C16">
        <w:rPr>
          <w:sz w:val="24"/>
          <w:szCs w:val="24"/>
          <w:lang w:val="es-MX" w:eastAsia="ja-JP"/>
        </w:rPr>
        <w:t xml:space="preserve">a Nación, diligencia en la que se fijó el litigio en los siguientes términos: </w:t>
      </w:r>
    </w:p>
    <w:p w14:paraId="381158C4" w14:textId="77777777" w:rsidR="003C1864" w:rsidRDefault="003C1864" w:rsidP="00811793">
      <w:pPr>
        <w:autoSpaceDE w:val="0"/>
        <w:autoSpaceDN w:val="0"/>
        <w:adjustRightInd w:val="0"/>
        <w:rPr>
          <w:sz w:val="24"/>
          <w:szCs w:val="24"/>
          <w:lang w:val="es-MX" w:eastAsia="ja-JP"/>
        </w:rPr>
      </w:pPr>
    </w:p>
    <w:p w14:paraId="5FDA19CC" w14:textId="16D6DBEA" w:rsidR="00110C16" w:rsidRPr="00D76885" w:rsidRDefault="00110C16" w:rsidP="00D76885">
      <w:pPr>
        <w:autoSpaceDE w:val="0"/>
        <w:autoSpaceDN w:val="0"/>
        <w:adjustRightInd w:val="0"/>
        <w:ind w:left="706"/>
        <w:rPr>
          <w:sz w:val="22"/>
          <w:szCs w:val="22"/>
          <w:lang w:val="es-MX" w:eastAsia="ja-JP"/>
        </w:rPr>
      </w:pPr>
      <w:r w:rsidRPr="00D76885">
        <w:rPr>
          <w:sz w:val="22"/>
          <w:szCs w:val="22"/>
          <w:lang w:val="es-MX" w:eastAsia="ja-JP"/>
        </w:rPr>
        <w:t>“</w:t>
      </w:r>
      <w:r w:rsidR="00D76885" w:rsidRPr="00D76885">
        <w:rPr>
          <w:sz w:val="22"/>
          <w:szCs w:val="22"/>
          <w:lang w:val="es-MX" w:eastAsia="ja-JP"/>
        </w:rPr>
        <w:t>[E]</w:t>
      </w:r>
      <w:r w:rsidRPr="00D76885">
        <w:rPr>
          <w:sz w:val="22"/>
          <w:szCs w:val="22"/>
          <w:lang w:val="es-MX" w:eastAsia="ja-JP"/>
        </w:rPr>
        <w:t>s procedente declarar la nulidad del acto administrativo por medio del cual el Concejo del Municipio de Juan de Acosta eligió a EVARISTO ARTETA CASTRO como Personero</w:t>
      </w:r>
      <w:r w:rsidR="00D76885" w:rsidRPr="00D76885">
        <w:rPr>
          <w:sz w:val="22"/>
          <w:szCs w:val="22"/>
          <w:lang w:val="es-MX" w:eastAsia="ja-JP"/>
        </w:rPr>
        <w:t xml:space="preserve"> de ese Municipio para el periodo 2020 a 2024, acto contenido en el Acta de Sesión plenaria ordinaria de fecha 10 de enero de 2020 y protocolizado mediante Resolución No. 002 de esa misma fecha, y como consecuencia a ello se inaplique la convocatoria a concurso de méritos para elegir Personero Municipal de Juan de Acosta para el periodo 2020 a 2024, contenida en la Resolución No. 001-19 del 20 de noviembre de 2019, del Concejo Municipal de Juan de Acosta, por los vicios en que incurre, o si por el contrario, no hay lugar a acceder a las pretensiones de la demanda, por cuanto la Convocatoria adelantada por el Municipio de Juan de Acosta – Concejo Municipal de Juan de Acosta, para la escogencia del Personero Municipal para los años 2020 a 2024, cumplió con todas las exigencias constitucionales y legales, con que deben desarrollarse estas convocatorias, encontrándose revestido de legalidad los actos administrativos expedidos, además por no haberse integrado en debida forma las pretensiones de la demanda, conforme a los actos administrativos impetrados”</w:t>
      </w:r>
      <w:r w:rsidR="003129B7">
        <w:rPr>
          <w:rStyle w:val="Refdenotaalpie"/>
          <w:sz w:val="22"/>
          <w:szCs w:val="22"/>
          <w:lang w:val="es-MX" w:eastAsia="ja-JP"/>
        </w:rPr>
        <w:footnoteReference w:id="8"/>
      </w:r>
      <w:r w:rsidR="00D76885" w:rsidRPr="00D76885">
        <w:rPr>
          <w:sz w:val="22"/>
          <w:szCs w:val="22"/>
          <w:lang w:val="es-MX" w:eastAsia="ja-JP"/>
        </w:rPr>
        <w:t>.</w:t>
      </w:r>
    </w:p>
    <w:p w14:paraId="5B466808" w14:textId="77777777" w:rsidR="00110C16" w:rsidRDefault="00110C16" w:rsidP="00811793">
      <w:pPr>
        <w:autoSpaceDE w:val="0"/>
        <w:autoSpaceDN w:val="0"/>
        <w:adjustRightInd w:val="0"/>
        <w:rPr>
          <w:sz w:val="24"/>
          <w:szCs w:val="24"/>
          <w:lang w:val="es-MX" w:eastAsia="ja-JP"/>
        </w:rPr>
      </w:pPr>
    </w:p>
    <w:p w14:paraId="3AD29F7A" w14:textId="2918B60A" w:rsidR="006F4AF5" w:rsidRDefault="00F668EA" w:rsidP="00811793">
      <w:pPr>
        <w:autoSpaceDE w:val="0"/>
        <w:autoSpaceDN w:val="0"/>
        <w:adjustRightInd w:val="0"/>
        <w:rPr>
          <w:sz w:val="24"/>
          <w:szCs w:val="24"/>
          <w:lang w:val="es-MX" w:eastAsia="ja-JP"/>
        </w:rPr>
      </w:pPr>
      <w:r>
        <w:rPr>
          <w:sz w:val="24"/>
          <w:szCs w:val="24"/>
          <w:lang w:val="es-MX" w:eastAsia="ja-JP"/>
        </w:rPr>
        <w:t xml:space="preserve">1.2.5. </w:t>
      </w:r>
      <w:r w:rsidR="00C63371">
        <w:rPr>
          <w:sz w:val="24"/>
          <w:szCs w:val="24"/>
          <w:lang w:val="es-MX" w:eastAsia="ja-JP"/>
        </w:rPr>
        <w:t xml:space="preserve">Luego, el Juzgado Octavo Administrativo de Barranquilla emitió </w:t>
      </w:r>
      <w:r w:rsidR="00C63371" w:rsidRPr="000462FC">
        <w:rPr>
          <w:b/>
          <w:bCs/>
          <w:sz w:val="24"/>
          <w:szCs w:val="24"/>
          <w:lang w:val="es-MX" w:eastAsia="ja-JP"/>
        </w:rPr>
        <w:t>sentencia de primera instancia</w:t>
      </w:r>
      <w:r w:rsidR="00C63371">
        <w:rPr>
          <w:sz w:val="24"/>
          <w:szCs w:val="24"/>
          <w:lang w:val="es-MX" w:eastAsia="ja-JP"/>
        </w:rPr>
        <w:t xml:space="preserve">, el </w:t>
      </w:r>
      <w:r w:rsidR="00C63371" w:rsidRPr="002F45A9">
        <w:rPr>
          <w:b/>
          <w:bCs/>
          <w:sz w:val="24"/>
          <w:szCs w:val="24"/>
          <w:lang w:val="es-MX" w:eastAsia="ja-JP"/>
        </w:rPr>
        <w:t>11 de mayo de 2021</w:t>
      </w:r>
      <w:r w:rsidR="003129B7" w:rsidRPr="00541EA7">
        <w:rPr>
          <w:rStyle w:val="Refdenotaalpie"/>
          <w:sz w:val="24"/>
          <w:szCs w:val="24"/>
          <w:lang w:val="es-MX" w:eastAsia="ja-JP"/>
        </w:rPr>
        <w:footnoteReference w:id="9"/>
      </w:r>
      <w:r w:rsidR="00C63371">
        <w:rPr>
          <w:sz w:val="24"/>
          <w:szCs w:val="24"/>
          <w:lang w:val="es-MX" w:eastAsia="ja-JP"/>
        </w:rPr>
        <w:t xml:space="preserve">, en la que declaró la nulidad </w:t>
      </w:r>
      <w:r w:rsidR="00211DB6">
        <w:rPr>
          <w:sz w:val="24"/>
          <w:szCs w:val="24"/>
          <w:lang w:val="es-MX" w:eastAsia="ja-JP"/>
        </w:rPr>
        <w:t xml:space="preserve">de la elección de Evaristo Arteta Castro como personero </w:t>
      </w:r>
      <w:r w:rsidR="00A93D0D">
        <w:rPr>
          <w:sz w:val="24"/>
          <w:szCs w:val="24"/>
          <w:lang w:val="es-MX" w:eastAsia="ja-JP"/>
        </w:rPr>
        <w:t>de Juan de Acosta</w:t>
      </w:r>
      <w:r w:rsidR="00211DB6">
        <w:rPr>
          <w:sz w:val="24"/>
          <w:szCs w:val="24"/>
          <w:lang w:val="es-MX" w:eastAsia="ja-JP"/>
        </w:rPr>
        <w:t xml:space="preserve">, </w:t>
      </w:r>
      <w:r w:rsidR="00A93D0D">
        <w:rPr>
          <w:sz w:val="24"/>
          <w:szCs w:val="24"/>
          <w:lang w:val="es-MX" w:eastAsia="ja-JP"/>
        </w:rPr>
        <w:t xml:space="preserve">contenida </w:t>
      </w:r>
      <w:r w:rsidR="00211DB6">
        <w:rPr>
          <w:sz w:val="24"/>
          <w:szCs w:val="24"/>
          <w:lang w:val="es-MX" w:eastAsia="ja-JP"/>
        </w:rPr>
        <w:t>en la Resolución núm. 002 del 10 de enero de 2020</w:t>
      </w:r>
      <w:r w:rsidR="00CA26F9">
        <w:rPr>
          <w:sz w:val="24"/>
          <w:szCs w:val="24"/>
          <w:lang w:val="es-MX" w:eastAsia="ja-JP"/>
        </w:rPr>
        <w:t>.</w:t>
      </w:r>
      <w:r w:rsidR="00A93D0D">
        <w:rPr>
          <w:sz w:val="24"/>
          <w:szCs w:val="24"/>
          <w:lang w:val="es-MX" w:eastAsia="ja-JP"/>
        </w:rPr>
        <w:t xml:space="preserve"> También, ordenó al Concejo municipal que realice un nuevo concurso público de mérito para la elección de personero</w:t>
      </w:r>
      <w:r w:rsidR="00AE3A82">
        <w:rPr>
          <w:sz w:val="24"/>
          <w:szCs w:val="24"/>
          <w:lang w:val="es-MX" w:eastAsia="ja-JP"/>
        </w:rPr>
        <w:t>, por el periodo constitucional que ha</w:t>
      </w:r>
      <w:r w:rsidR="00EB0579">
        <w:rPr>
          <w:sz w:val="24"/>
          <w:szCs w:val="24"/>
          <w:lang w:val="es-MX" w:eastAsia="ja-JP"/>
        </w:rPr>
        <w:t>ga</w:t>
      </w:r>
      <w:r w:rsidR="00AE3A82">
        <w:rPr>
          <w:sz w:val="24"/>
          <w:szCs w:val="24"/>
          <w:lang w:val="es-MX" w:eastAsia="ja-JP"/>
        </w:rPr>
        <w:t xml:space="preserve"> falta, en atención a lo dispuesto en la sentencia C-105 de 2003 y en el Decreto 1083 de 2015. </w:t>
      </w:r>
      <w:r w:rsidR="000F412E">
        <w:rPr>
          <w:sz w:val="24"/>
          <w:szCs w:val="24"/>
          <w:lang w:val="es-MX" w:eastAsia="ja-JP"/>
        </w:rPr>
        <w:t xml:space="preserve">Como fundamento de su decisión, presentó las </w:t>
      </w:r>
      <w:r w:rsidR="00EB0579">
        <w:rPr>
          <w:sz w:val="24"/>
          <w:szCs w:val="24"/>
          <w:lang w:val="es-MX" w:eastAsia="ja-JP"/>
        </w:rPr>
        <w:t xml:space="preserve">siguientes </w:t>
      </w:r>
      <w:r w:rsidR="000F412E">
        <w:rPr>
          <w:sz w:val="24"/>
          <w:szCs w:val="24"/>
          <w:lang w:val="es-MX" w:eastAsia="ja-JP"/>
        </w:rPr>
        <w:t xml:space="preserve">razones por las que, en su concepto, el proceso de selección estuvo viciado: </w:t>
      </w:r>
    </w:p>
    <w:p w14:paraId="5C13AF43" w14:textId="7A377D78" w:rsidR="00D95F88" w:rsidRDefault="00D95F88" w:rsidP="00811793">
      <w:pPr>
        <w:autoSpaceDE w:val="0"/>
        <w:autoSpaceDN w:val="0"/>
        <w:adjustRightInd w:val="0"/>
        <w:rPr>
          <w:sz w:val="24"/>
          <w:szCs w:val="24"/>
          <w:lang w:val="es-MX" w:eastAsia="ja-JP"/>
        </w:rPr>
      </w:pPr>
    </w:p>
    <w:p w14:paraId="3DD56685" w14:textId="6A1CB1AE" w:rsidR="00D95F88" w:rsidRDefault="00EB0579" w:rsidP="00811793">
      <w:pPr>
        <w:autoSpaceDE w:val="0"/>
        <w:autoSpaceDN w:val="0"/>
        <w:adjustRightInd w:val="0"/>
        <w:rPr>
          <w:sz w:val="24"/>
          <w:szCs w:val="24"/>
          <w:lang w:val="es-MX" w:eastAsia="ja-JP"/>
        </w:rPr>
      </w:pPr>
      <w:r>
        <w:rPr>
          <w:sz w:val="24"/>
          <w:szCs w:val="24"/>
          <w:lang w:val="es-MX" w:eastAsia="ja-JP"/>
        </w:rPr>
        <w:t>A</w:t>
      </w:r>
      <w:r w:rsidR="00A12070">
        <w:rPr>
          <w:sz w:val="24"/>
          <w:szCs w:val="24"/>
          <w:lang w:val="es-MX" w:eastAsia="ja-JP"/>
        </w:rPr>
        <w:t>nalizó en lo relacionado con el tema las Leyes 136 de 1994, 1031 de 2006 y 1551 de 2012</w:t>
      </w:r>
      <w:r w:rsidR="00533FAE">
        <w:rPr>
          <w:sz w:val="24"/>
          <w:szCs w:val="24"/>
          <w:lang w:val="es-MX" w:eastAsia="ja-JP"/>
        </w:rPr>
        <w:t xml:space="preserve">, la sentencia C-105 de 2013, </w:t>
      </w:r>
      <w:r w:rsidR="004F3A41">
        <w:rPr>
          <w:sz w:val="24"/>
          <w:szCs w:val="24"/>
          <w:lang w:val="es-MX" w:eastAsia="ja-JP"/>
        </w:rPr>
        <w:t xml:space="preserve">y </w:t>
      </w:r>
      <w:r w:rsidR="00533FAE">
        <w:rPr>
          <w:sz w:val="24"/>
          <w:szCs w:val="24"/>
          <w:lang w:val="es-MX" w:eastAsia="ja-JP"/>
        </w:rPr>
        <w:t>los Decretos 2485 de 2014 y 1083 de 2015, este último que reglamentó los estándares mínimos para la elección de personeros municipales</w:t>
      </w:r>
      <w:r>
        <w:rPr>
          <w:sz w:val="24"/>
          <w:szCs w:val="24"/>
          <w:lang w:val="es-MX" w:eastAsia="ja-JP"/>
        </w:rPr>
        <w:t xml:space="preserve"> y</w:t>
      </w:r>
      <w:r w:rsidR="004F3A41">
        <w:rPr>
          <w:sz w:val="24"/>
          <w:szCs w:val="24"/>
          <w:lang w:val="es-MX" w:eastAsia="ja-JP"/>
        </w:rPr>
        <w:t xml:space="preserve"> </w:t>
      </w:r>
      <w:r w:rsidR="00533FAE">
        <w:rPr>
          <w:sz w:val="24"/>
          <w:szCs w:val="24"/>
          <w:lang w:val="es-MX" w:eastAsia="ja-JP"/>
        </w:rPr>
        <w:t>las etapas, los criterios y principios que rigen su concurso</w:t>
      </w:r>
      <w:r w:rsidR="004F3A41">
        <w:rPr>
          <w:sz w:val="24"/>
          <w:szCs w:val="24"/>
          <w:lang w:val="es-MX" w:eastAsia="ja-JP"/>
        </w:rPr>
        <w:t>.</w:t>
      </w:r>
    </w:p>
    <w:p w14:paraId="622C6A51" w14:textId="5CF795AB" w:rsidR="004F3A41" w:rsidRDefault="004F3A41" w:rsidP="00811793">
      <w:pPr>
        <w:autoSpaceDE w:val="0"/>
        <w:autoSpaceDN w:val="0"/>
        <w:adjustRightInd w:val="0"/>
        <w:rPr>
          <w:sz w:val="24"/>
          <w:szCs w:val="24"/>
          <w:lang w:val="es-MX" w:eastAsia="ja-JP"/>
        </w:rPr>
      </w:pPr>
    </w:p>
    <w:p w14:paraId="21359EB5" w14:textId="69D9626F" w:rsidR="004F3A41" w:rsidRDefault="00BE379B" w:rsidP="00811793">
      <w:pPr>
        <w:autoSpaceDE w:val="0"/>
        <w:autoSpaceDN w:val="0"/>
        <w:adjustRightInd w:val="0"/>
        <w:rPr>
          <w:sz w:val="24"/>
          <w:szCs w:val="24"/>
          <w:lang w:val="es-MX" w:eastAsia="ja-JP"/>
        </w:rPr>
      </w:pPr>
      <w:r>
        <w:rPr>
          <w:sz w:val="24"/>
          <w:szCs w:val="24"/>
          <w:lang w:val="es-MX" w:eastAsia="ja-JP"/>
        </w:rPr>
        <w:t>En particular, indicó que el</w:t>
      </w:r>
      <w:r w:rsidR="002F73DA" w:rsidRPr="002F73DA">
        <w:rPr>
          <w:sz w:val="24"/>
          <w:szCs w:val="24"/>
          <w:lang w:val="es-MX" w:eastAsia="ja-JP"/>
        </w:rPr>
        <w:t xml:space="preserve"> </w:t>
      </w:r>
      <w:r w:rsidR="002F73DA">
        <w:rPr>
          <w:sz w:val="24"/>
          <w:szCs w:val="24"/>
          <w:lang w:val="es-MX" w:eastAsia="ja-JP"/>
        </w:rPr>
        <w:t>parágrafo del artículo 2.2.6.7. del</w:t>
      </w:r>
      <w:r>
        <w:rPr>
          <w:sz w:val="24"/>
          <w:szCs w:val="24"/>
          <w:lang w:val="es-MX" w:eastAsia="ja-JP"/>
        </w:rPr>
        <w:t xml:space="preserve"> Decreto 1083 de 2015, estipuló </w:t>
      </w:r>
      <w:r w:rsidR="002F73DA">
        <w:rPr>
          <w:sz w:val="24"/>
          <w:szCs w:val="24"/>
          <w:lang w:val="es-MX" w:eastAsia="ja-JP"/>
        </w:rPr>
        <w:t>que</w:t>
      </w:r>
      <w:r>
        <w:rPr>
          <w:sz w:val="24"/>
          <w:szCs w:val="24"/>
          <w:lang w:val="es-MX" w:eastAsia="ja-JP"/>
        </w:rPr>
        <w:t xml:space="preserve"> el término de inscripción al respectivo concurso no podía ser inferior a 5 días, y que en el caso bajo estudio, el Concejo municipal solo concedió los días 2 y 3 de diciembre de 2019 para tal fin, es decir</w:t>
      </w:r>
      <w:r w:rsidR="00EB0579">
        <w:rPr>
          <w:sz w:val="24"/>
          <w:szCs w:val="24"/>
          <w:lang w:val="es-MX" w:eastAsia="ja-JP"/>
        </w:rPr>
        <w:t>,</w:t>
      </w:r>
      <w:r>
        <w:rPr>
          <w:sz w:val="24"/>
          <w:szCs w:val="24"/>
          <w:lang w:val="es-MX" w:eastAsia="ja-JP"/>
        </w:rPr>
        <w:t xml:space="preserve"> un plazo inferior al previsto en la norm</w:t>
      </w:r>
      <w:r w:rsidR="002F73DA">
        <w:rPr>
          <w:sz w:val="24"/>
          <w:szCs w:val="24"/>
          <w:lang w:val="es-MX" w:eastAsia="ja-JP"/>
        </w:rPr>
        <w:t>a, lo que constituyó una violación a la transparencia en la actuación del Estado y a la participación de todas las personas, conforme a la dicho por la Corte Constitucional en la sentencia C-105 de 2013</w:t>
      </w:r>
      <w:r w:rsidR="00125114">
        <w:rPr>
          <w:sz w:val="24"/>
          <w:szCs w:val="24"/>
          <w:lang w:val="es-MX" w:eastAsia="ja-JP"/>
        </w:rPr>
        <w:t>.</w:t>
      </w:r>
    </w:p>
    <w:p w14:paraId="13888347" w14:textId="19CDB3DD" w:rsidR="00125114" w:rsidRDefault="00125114" w:rsidP="00811793">
      <w:pPr>
        <w:autoSpaceDE w:val="0"/>
        <w:autoSpaceDN w:val="0"/>
        <w:adjustRightInd w:val="0"/>
        <w:rPr>
          <w:sz w:val="24"/>
          <w:szCs w:val="24"/>
          <w:lang w:val="es-MX" w:eastAsia="ja-JP"/>
        </w:rPr>
      </w:pPr>
    </w:p>
    <w:p w14:paraId="0379E2BB" w14:textId="53A230B0" w:rsidR="00125114" w:rsidRDefault="00125114" w:rsidP="00811793">
      <w:pPr>
        <w:autoSpaceDE w:val="0"/>
        <w:autoSpaceDN w:val="0"/>
        <w:adjustRightInd w:val="0"/>
        <w:rPr>
          <w:sz w:val="24"/>
          <w:szCs w:val="24"/>
          <w:lang w:val="es-MX" w:eastAsia="ja-JP"/>
        </w:rPr>
      </w:pPr>
      <w:r>
        <w:rPr>
          <w:sz w:val="24"/>
          <w:szCs w:val="24"/>
          <w:lang w:val="es-MX" w:eastAsia="ja-JP"/>
        </w:rPr>
        <w:t xml:space="preserve">En cuanto al segundo cargo, manifestó que, de una interpretación sistemática de los principios de publicidad y participación de los concursos </w:t>
      </w:r>
      <w:r w:rsidR="00565D27">
        <w:rPr>
          <w:sz w:val="24"/>
          <w:szCs w:val="24"/>
          <w:lang w:val="es-MX" w:eastAsia="ja-JP"/>
        </w:rPr>
        <w:t xml:space="preserve">públicos </w:t>
      </w:r>
      <w:r>
        <w:rPr>
          <w:sz w:val="24"/>
          <w:szCs w:val="24"/>
          <w:lang w:val="es-MX" w:eastAsia="ja-JP"/>
        </w:rPr>
        <w:t xml:space="preserve">con las normas sobre el uso de la tecnología de la información y las comunicaciones contenida en la Ley 1437 de 2011, </w:t>
      </w:r>
      <w:r w:rsidR="00565D27">
        <w:rPr>
          <w:sz w:val="24"/>
          <w:szCs w:val="24"/>
          <w:lang w:val="es-MX" w:eastAsia="ja-JP"/>
        </w:rPr>
        <w:t xml:space="preserve">encontró que el Concejo municipal limitó el acceso a la convocatoria de quienes no residían en el municipio de Juan de Acosta, dado que exigió que la inscripción de candidatos fuera de manera personal en las instalaciones de su Secretaría General, a pesar de que era posible recibir hojas de vida </w:t>
      </w:r>
      <w:r w:rsidR="00137222">
        <w:rPr>
          <w:sz w:val="24"/>
          <w:szCs w:val="24"/>
          <w:lang w:val="es-MX" w:eastAsia="ja-JP"/>
        </w:rPr>
        <w:t>por medio electrónico</w:t>
      </w:r>
      <w:r w:rsidR="00565D27">
        <w:rPr>
          <w:sz w:val="24"/>
          <w:szCs w:val="24"/>
          <w:lang w:val="es-MX" w:eastAsia="ja-JP"/>
        </w:rPr>
        <w:t xml:space="preserve">. </w:t>
      </w:r>
    </w:p>
    <w:p w14:paraId="2838AE78" w14:textId="218A0584" w:rsidR="00DE0F49" w:rsidRDefault="00DE0F49" w:rsidP="00811793">
      <w:pPr>
        <w:autoSpaceDE w:val="0"/>
        <w:autoSpaceDN w:val="0"/>
        <w:adjustRightInd w:val="0"/>
        <w:rPr>
          <w:sz w:val="24"/>
          <w:szCs w:val="24"/>
          <w:lang w:val="es-MX" w:eastAsia="ja-JP"/>
        </w:rPr>
      </w:pPr>
    </w:p>
    <w:p w14:paraId="48813065" w14:textId="690E05A5" w:rsidR="00C64F74" w:rsidRDefault="00DE0F49" w:rsidP="00811793">
      <w:pPr>
        <w:autoSpaceDE w:val="0"/>
        <w:autoSpaceDN w:val="0"/>
        <w:adjustRightInd w:val="0"/>
        <w:rPr>
          <w:sz w:val="24"/>
          <w:szCs w:val="24"/>
          <w:lang w:val="es-MX" w:eastAsia="ja-JP"/>
        </w:rPr>
      </w:pPr>
      <w:r>
        <w:rPr>
          <w:sz w:val="24"/>
          <w:szCs w:val="24"/>
          <w:lang w:val="es-MX" w:eastAsia="ja-JP"/>
        </w:rPr>
        <w:t>Finalmente, el Juzgado Octavo Administrativo de Barranquilla consideró qu</w:t>
      </w:r>
      <w:r w:rsidR="00C64F74">
        <w:rPr>
          <w:sz w:val="24"/>
          <w:szCs w:val="24"/>
          <w:lang w:val="es-MX" w:eastAsia="ja-JP"/>
        </w:rPr>
        <w:t>e</w:t>
      </w:r>
      <w:r>
        <w:rPr>
          <w:sz w:val="24"/>
          <w:szCs w:val="24"/>
          <w:lang w:val="es-MX" w:eastAsia="ja-JP"/>
        </w:rPr>
        <w:t xml:space="preserve"> la Universidad de la Cost</w:t>
      </w:r>
      <w:r w:rsidR="00760384">
        <w:rPr>
          <w:sz w:val="24"/>
          <w:szCs w:val="24"/>
          <w:lang w:val="es-MX" w:eastAsia="ja-JP"/>
        </w:rPr>
        <w:t>a</w:t>
      </w:r>
      <w:r>
        <w:rPr>
          <w:sz w:val="24"/>
          <w:szCs w:val="24"/>
          <w:lang w:val="es-MX" w:eastAsia="ja-JP"/>
        </w:rPr>
        <w:t xml:space="preserve"> </w:t>
      </w:r>
      <w:r w:rsidR="00760384">
        <w:rPr>
          <w:sz w:val="24"/>
          <w:szCs w:val="24"/>
          <w:lang w:val="es-MX" w:eastAsia="ja-JP"/>
        </w:rPr>
        <w:t>no cumpl</w:t>
      </w:r>
      <w:r w:rsidR="00C64F74">
        <w:rPr>
          <w:sz w:val="24"/>
          <w:szCs w:val="24"/>
          <w:lang w:val="es-MX" w:eastAsia="ja-JP"/>
        </w:rPr>
        <w:t>ió</w:t>
      </w:r>
      <w:r w:rsidR="00760384">
        <w:rPr>
          <w:sz w:val="24"/>
          <w:szCs w:val="24"/>
          <w:lang w:val="es-MX" w:eastAsia="ja-JP"/>
        </w:rPr>
        <w:t xml:space="preserve"> los requisito</w:t>
      </w:r>
      <w:r w:rsidR="00315B13">
        <w:rPr>
          <w:sz w:val="24"/>
          <w:szCs w:val="24"/>
          <w:lang w:val="es-MX" w:eastAsia="ja-JP"/>
        </w:rPr>
        <w:t>s</w:t>
      </w:r>
      <w:r w:rsidR="00760384">
        <w:rPr>
          <w:sz w:val="24"/>
          <w:szCs w:val="24"/>
          <w:lang w:val="es-MX" w:eastAsia="ja-JP"/>
        </w:rPr>
        <w:t xml:space="preserve"> para llevar</w:t>
      </w:r>
      <w:r>
        <w:rPr>
          <w:sz w:val="24"/>
          <w:szCs w:val="24"/>
          <w:lang w:val="es-MX" w:eastAsia="ja-JP"/>
        </w:rPr>
        <w:t xml:space="preserve"> a cabo el concurso de </w:t>
      </w:r>
      <w:r>
        <w:rPr>
          <w:sz w:val="24"/>
          <w:szCs w:val="24"/>
          <w:lang w:val="es-MX" w:eastAsia="ja-JP"/>
        </w:rPr>
        <w:lastRenderedPageBreak/>
        <w:t>mérito en el que fue elegido el señor Arteta Castro como personero municipal</w:t>
      </w:r>
      <w:r w:rsidR="00760384">
        <w:rPr>
          <w:sz w:val="24"/>
          <w:szCs w:val="24"/>
          <w:lang w:val="es-MX" w:eastAsia="ja-JP"/>
        </w:rPr>
        <w:t>, en la medida en que su acreditación es para la formación de profesionales íntegros y no para dirigir procesos de selección de personal</w:t>
      </w:r>
      <w:r w:rsidR="00172CC7">
        <w:rPr>
          <w:sz w:val="24"/>
          <w:szCs w:val="24"/>
          <w:lang w:val="es-MX" w:eastAsia="ja-JP"/>
        </w:rPr>
        <w:t>;</w:t>
      </w:r>
      <w:r w:rsidR="00C64F74">
        <w:rPr>
          <w:sz w:val="24"/>
          <w:szCs w:val="24"/>
          <w:lang w:val="es-MX" w:eastAsia="ja-JP"/>
        </w:rPr>
        <w:t xml:space="preserve"> </w:t>
      </w:r>
      <w:r w:rsidR="00315B13">
        <w:rPr>
          <w:sz w:val="24"/>
          <w:szCs w:val="24"/>
          <w:lang w:val="es-MX" w:eastAsia="ja-JP"/>
        </w:rPr>
        <w:t xml:space="preserve">y en </w:t>
      </w:r>
      <w:r w:rsidR="00C64F74">
        <w:rPr>
          <w:sz w:val="24"/>
          <w:szCs w:val="24"/>
          <w:lang w:val="es-MX" w:eastAsia="ja-JP"/>
        </w:rPr>
        <w:t>que su objeto social no es la realización, apoyo o gestión de dichos procesos</w:t>
      </w:r>
      <w:r w:rsidR="000F412E">
        <w:rPr>
          <w:sz w:val="24"/>
          <w:szCs w:val="24"/>
          <w:lang w:val="es-MX" w:eastAsia="ja-JP"/>
        </w:rPr>
        <w:t xml:space="preserve">, circunstancia que, en todo caso, no podía ser suplida con experiencia. </w:t>
      </w:r>
    </w:p>
    <w:p w14:paraId="053A92BE" w14:textId="24D07090" w:rsidR="000F412E" w:rsidRPr="006F4AF5" w:rsidRDefault="000F412E" w:rsidP="00811793">
      <w:pPr>
        <w:autoSpaceDE w:val="0"/>
        <w:autoSpaceDN w:val="0"/>
        <w:adjustRightInd w:val="0"/>
        <w:rPr>
          <w:sz w:val="24"/>
          <w:szCs w:val="24"/>
          <w:lang w:val="es-MX" w:eastAsia="ja-JP"/>
        </w:rPr>
      </w:pPr>
    </w:p>
    <w:p w14:paraId="355C7F96" w14:textId="3BCE14ED" w:rsidR="00A938C4" w:rsidRDefault="000F412E" w:rsidP="00811793">
      <w:pPr>
        <w:autoSpaceDE w:val="0"/>
        <w:autoSpaceDN w:val="0"/>
        <w:adjustRightInd w:val="0"/>
        <w:rPr>
          <w:sz w:val="24"/>
          <w:szCs w:val="24"/>
          <w:lang w:val="es-MX" w:eastAsia="ja-JP"/>
        </w:rPr>
      </w:pPr>
      <w:r>
        <w:rPr>
          <w:sz w:val="24"/>
          <w:szCs w:val="24"/>
          <w:lang w:val="es-MX" w:eastAsia="ja-JP"/>
        </w:rPr>
        <w:t xml:space="preserve">1.2.6. </w:t>
      </w:r>
      <w:r w:rsidR="003658B9">
        <w:rPr>
          <w:sz w:val="24"/>
          <w:szCs w:val="24"/>
          <w:lang w:val="es-MX" w:eastAsia="ja-JP"/>
        </w:rPr>
        <w:t xml:space="preserve">Evaristo Arteta Castro y el Concejo Municipal de Juan de Acosta presentaron </w:t>
      </w:r>
      <w:r w:rsidR="003658B9" w:rsidRPr="000462FC">
        <w:rPr>
          <w:b/>
          <w:bCs/>
          <w:sz w:val="24"/>
          <w:szCs w:val="24"/>
          <w:lang w:val="es-MX" w:eastAsia="ja-JP"/>
        </w:rPr>
        <w:t>recurso de apelación</w:t>
      </w:r>
      <w:r w:rsidR="003658B9">
        <w:rPr>
          <w:sz w:val="24"/>
          <w:szCs w:val="24"/>
          <w:lang w:val="es-MX" w:eastAsia="ja-JP"/>
        </w:rPr>
        <w:t xml:space="preserve"> en contra de la sentencia del 11 de mayo de 2021</w:t>
      </w:r>
      <w:r w:rsidR="00246C3D">
        <w:rPr>
          <w:sz w:val="24"/>
          <w:szCs w:val="24"/>
          <w:lang w:val="es-MX" w:eastAsia="ja-JP"/>
        </w:rPr>
        <w:t xml:space="preserve">, en el que argumentaron que la mencionada providencia careció de coherencia entre la fijación del litigio, la parte motiva y </w:t>
      </w:r>
      <w:r w:rsidR="000F0416">
        <w:rPr>
          <w:sz w:val="24"/>
          <w:szCs w:val="24"/>
          <w:lang w:val="es-MX" w:eastAsia="ja-JP"/>
        </w:rPr>
        <w:t>la parte</w:t>
      </w:r>
      <w:r w:rsidR="00246C3D">
        <w:rPr>
          <w:sz w:val="24"/>
          <w:szCs w:val="24"/>
          <w:lang w:val="es-MX" w:eastAsia="ja-JP"/>
        </w:rPr>
        <w:t xml:space="preserve"> res</w:t>
      </w:r>
      <w:r w:rsidR="000F0416">
        <w:rPr>
          <w:sz w:val="24"/>
          <w:szCs w:val="24"/>
          <w:lang w:val="es-MX" w:eastAsia="ja-JP"/>
        </w:rPr>
        <w:t>olutiva</w:t>
      </w:r>
      <w:r w:rsidR="00246C3D">
        <w:rPr>
          <w:sz w:val="24"/>
          <w:szCs w:val="24"/>
          <w:lang w:val="es-MX" w:eastAsia="ja-JP"/>
        </w:rPr>
        <w:t xml:space="preserve">, ya que no </w:t>
      </w:r>
      <w:r w:rsidR="000F0416">
        <w:rPr>
          <w:sz w:val="24"/>
          <w:szCs w:val="24"/>
          <w:lang w:val="es-MX" w:eastAsia="ja-JP"/>
        </w:rPr>
        <w:t>decidió</w:t>
      </w:r>
      <w:r w:rsidR="00246C3D">
        <w:rPr>
          <w:sz w:val="24"/>
          <w:szCs w:val="24"/>
          <w:lang w:val="es-MX" w:eastAsia="ja-JP"/>
        </w:rPr>
        <w:t xml:space="preserve"> sobre la ineptitud de la demanda por indebida estructuración de las pretensiones.</w:t>
      </w:r>
    </w:p>
    <w:p w14:paraId="08E08693" w14:textId="28975C38" w:rsidR="00F255D7" w:rsidRDefault="00F255D7" w:rsidP="00811793">
      <w:pPr>
        <w:autoSpaceDE w:val="0"/>
        <w:autoSpaceDN w:val="0"/>
        <w:adjustRightInd w:val="0"/>
        <w:rPr>
          <w:sz w:val="24"/>
          <w:szCs w:val="24"/>
          <w:lang w:val="es-MX" w:eastAsia="ja-JP"/>
        </w:rPr>
      </w:pPr>
    </w:p>
    <w:p w14:paraId="225FF0DE" w14:textId="2DC5D2CA" w:rsidR="00A938C4" w:rsidRDefault="000F0416" w:rsidP="00811793">
      <w:pPr>
        <w:autoSpaceDE w:val="0"/>
        <w:autoSpaceDN w:val="0"/>
        <w:adjustRightInd w:val="0"/>
        <w:rPr>
          <w:sz w:val="24"/>
          <w:szCs w:val="24"/>
          <w:lang w:val="es-MX" w:eastAsia="ja-JP"/>
        </w:rPr>
      </w:pPr>
      <w:r>
        <w:rPr>
          <w:sz w:val="24"/>
          <w:szCs w:val="24"/>
          <w:lang w:val="es-MX" w:eastAsia="ja-JP"/>
        </w:rPr>
        <w:t>Cuestionaron</w:t>
      </w:r>
      <w:r w:rsidR="00F255D7">
        <w:rPr>
          <w:sz w:val="24"/>
          <w:szCs w:val="24"/>
          <w:lang w:val="es-MX" w:eastAsia="ja-JP"/>
        </w:rPr>
        <w:t xml:space="preserve"> que el juzgado solo anuló el nombramiento del personero municipal, por </w:t>
      </w:r>
      <w:r w:rsidR="00A1145D">
        <w:rPr>
          <w:sz w:val="24"/>
          <w:szCs w:val="24"/>
          <w:lang w:val="es-MX" w:eastAsia="ja-JP"/>
        </w:rPr>
        <w:t xml:space="preserve">lo </w:t>
      </w:r>
      <w:r w:rsidR="00F255D7">
        <w:rPr>
          <w:sz w:val="24"/>
          <w:szCs w:val="24"/>
          <w:lang w:val="es-MX" w:eastAsia="ja-JP"/>
        </w:rPr>
        <w:t>que</w:t>
      </w:r>
      <w:r>
        <w:rPr>
          <w:sz w:val="24"/>
          <w:szCs w:val="24"/>
          <w:lang w:val="es-MX" w:eastAsia="ja-JP"/>
        </w:rPr>
        <w:t>, afirmaron,</w:t>
      </w:r>
      <w:r w:rsidR="00F255D7">
        <w:rPr>
          <w:sz w:val="24"/>
          <w:szCs w:val="24"/>
          <w:lang w:val="es-MX" w:eastAsia="ja-JP"/>
        </w:rPr>
        <w:t xml:space="preserve"> las Resoluciones 001 de 2019 y de 2020, </w:t>
      </w:r>
      <w:r w:rsidR="00A1145D">
        <w:rPr>
          <w:sz w:val="24"/>
          <w:szCs w:val="24"/>
          <w:lang w:val="es-MX" w:eastAsia="ja-JP"/>
        </w:rPr>
        <w:t>de</w:t>
      </w:r>
      <w:r w:rsidR="00F255D7">
        <w:rPr>
          <w:sz w:val="24"/>
          <w:szCs w:val="24"/>
          <w:lang w:val="es-MX" w:eastAsia="ja-JP"/>
        </w:rPr>
        <w:t xml:space="preserve"> convocatoria y que conformó la lista de elegibles, respectivamente, quedaron en firme y vigentes. Así, adujo que </w:t>
      </w:r>
      <w:r w:rsidR="00CD23C2">
        <w:rPr>
          <w:sz w:val="24"/>
          <w:szCs w:val="24"/>
          <w:lang w:val="es-MX" w:eastAsia="ja-JP"/>
        </w:rPr>
        <w:t xml:space="preserve">el fallo </w:t>
      </w:r>
      <w:r w:rsidR="00F255D7">
        <w:rPr>
          <w:sz w:val="24"/>
          <w:szCs w:val="24"/>
          <w:lang w:val="es-MX" w:eastAsia="ja-JP"/>
        </w:rPr>
        <w:t xml:space="preserve">solo podía ordenar que se repitiera el acto de </w:t>
      </w:r>
      <w:r w:rsidR="00CD23C2">
        <w:rPr>
          <w:sz w:val="24"/>
          <w:szCs w:val="24"/>
          <w:lang w:val="es-MX" w:eastAsia="ja-JP"/>
        </w:rPr>
        <w:t>elección, que al tener en cuenta el mérito, había lugar a ratificar al señor Arteta</w:t>
      </w:r>
      <w:r>
        <w:rPr>
          <w:sz w:val="24"/>
          <w:szCs w:val="24"/>
          <w:lang w:val="es-MX" w:eastAsia="ja-JP"/>
        </w:rPr>
        <w:t xml:space="preserve"> como personero, pues </w:t>
      </w:r>
      <w:r w:rsidR="00CD23C2">
        <w:rPr>
          <w:sz w:val="24"/>
          <w:szCs w:val="24"/>
          <w:lang w:val="es-MX" w:eastAsia="ja-JP"/>
        </w:rPr>
        <w:t xml:space="preserve">obtuvo el mejor puntaje dentro del concurso. </w:t>
      </w:r>
    </w:p>
    <w:p w14:paraId="044CCF33" w14:textId="11B58AA2" w:rsidR="00CD23C2" w:rsidRDefault="00CD23C2" w:rsidP="00811793">
      <w:pPr>
        <w:autoSpaceDE w:val="0"/>
        <w:autoSpaceDN w:val="0"/>
        <w:adjustRightInd w:val="0"/>
        <w:rPr>
          <w:sz w:val="24"/>
          <w:szCs w:val="24"/>
          <w:lang w:val="es-MX" w:eastAsia="ja-JP"/>
        </w:rPr>
      </w:pPr>
    </w:p>
    <w:p w14:paraId="5B93E6EF" w14:textId="54361ABE" w:rsidR="002F616F" w:rsidRDefault="00CD23C2" w:rsidP="00811793">
      <w:pPr>
        <w:autoSpaceDE w:val="0"/>
        <w:autoSpaceDN w:val="0"/>
        <w:adjustRightInd w:val="0"/>
        <w:rPr>
          <w:sz w:val="24"/>
          <w:szCs w:val="24"/>
          <w:lang w:val="es-MX" w:eastAsia="ja-JP"/>
        </w:rPr>
      </w:pPr>
      <w:r>
        <w:rPr>
          <w:sz w:val="24"/>
          <w:szCs w:val="24"/>
          <w:lang w:val="es-MX" w:eastAsia="ja-JP"/>
        </w:rPr>
        <w:t xml:space="preserve">Por otro lado, </w:t>
      </w:r>
      <w:r w:rsidR="000F0416">
        <w:rPr>
          <w:sz w:val="24"/>
          <w:szCs w:val="24"/>
          <w:lang w:val="es-MX" w:eastAsia="ja-JP"/>
        </w:rPr>
        <w:t>la parte demandada indicó</w:t>
      </w:r>
      <w:r>
        <w:rPr>
          <w:sz w:val="24"/>
          <w:szCs w:val="24"/>
          <w:lang w:val="es-MX" w:eastAsia="ja-JP"/>
        </w:rPr>
        <w:t xml:space="preserve"> que el artículo 53 de la Ley 1437 de 2011 no prevé que sea obligatorio el uso de medios electrónicos, </w:t>
      </w:r>
      <w:r w:rsidR="002F616F">
        <w:rPr>
          <w:sz w:val="24"/>
          <w:szCs w:val="24"/>
          <w:lang w:val="es-MX" w:eastAsia="ja-JP"/>
        </w:rPr>
        <w:t xml:space="preserve">que las normas de la convocatoria no excluyeron </w:t>
      </w:r>
      <w:r w:rsidR="000F0416">
        <w:rPr>
          <w:sz w:val="24"/>
          <w:szCs w:val="24"/>
          <w:lang w:val="es-MX" w:eastAsia="ja-JP"/>
        </w:rPr>
        <w:t xml:space="preserve">de modo expreso </w:t>
      </w:r>
      <w:r w:rsidR="000F5726">
        <w:rPr>
          <w:sz w:val="24"/>
          <w:szCs w:val="24"/>
          <w:lang w:val="es-MX" w:eastAsia="ja-JP"/>
        </w:rPr>
        <w:t xml:space="preserve">el uso de </w:t>
      </w:r>
      <w:r w:rsidR="002F616F">
        <w:rPr>
          <w:sz w:val="24"/>
          <w:szCs w:val="24"/>
          <w:lang w:val="es-MX" w:eastAsia="ja-JP"/>
        </w:rPr>
        <w:t xml:space="preserve">estos medios, y que ningún aspirante discutió ese punto. </w:t>
      </w:r>
    </w:p>
    <w:p w14:paraId="6BB4ED1C" w14:textId="77777777" w:rsidR="002F616F" w:rsidRDefault="002F616F" w:rsidP="00811793">
      <w:pPr>
        <w:autoSpaceDE w:val="0"/>
        <w:autoSpaceDN w:val="0"/>
        <w:adjustRightInd w:val="0"/>
        <w:rPr>
          <w:sz w:val="24"/>
          <w:szCs w:val="24"/>
          <w:lang w:val="es-MX" w:eastAsia="ja-JP"/>
        </w:rPr>
      </w:pPr>
    </w:p>
    <w:p w14:paraId="7C9417AE" w14:textId="3AACC23E" w:rsidR="00CD23C2" w:rsidRDefault="002F616F" w:rsidP="00811793">
      <w:pPr>
        <w:autoSpaceDE w:val="0"/>
        <w:autoSpaceDN w:val="0"/>
        <w:adjustRightInd w:val="0"/>
        <w:rPr>
          <w:sz w:val="24"/>
          <w:szCs w:val="24"/>
          <w:lang w:val="es-MX" w:eastAsia="ja-JP"/>
        </w:rPr>
      </w:pPr>
      <w:r>
        <w:rPr>
          <w:sz w:val="24"/>
          <w:szCs w:val="24"/>
          <w:lang w:val="es-MX" w:eastAsia="ja-JP"/>
        </w:rPr>
        <w:t xml:space="preserve">Por último, </w:t>
      </w:r>
      <w:r w:rsidR="00257017">
        <w:rPr>
          <w:sz w:val="24"/>
          <w:szCs w:val="24"/>
          <w:lang w:val="es-MX" w:eastAsia="ja-JP"/>
        </w:rPr>
        <w:t>acus</w:t>
      </w:r>
      <w:r w:rsidR="000F5726">
        <w:rPr>
          <w:sz w:val="24"/>
          <w:szCs w:val="24"/>
          <w:lang w:val="es-MX" w:eastAsia="ja-JP"/>
        </w:rPr>
        <w:t>aron</w:t>
      </w:r>
      <w:r w:rsidR="00257017">
        <w:rPr>
          <w:sz w:val="24"/>
          <w:szCs w:val="24"/>
          <w:lang w:val="es-MX" w:eastAsia="ja-JP"/>
        </w:rPr>
        <w:t xml:space="preserve"> que la Resolución 001 de 2019 de Convocatoria no podía ser considerado un simple acto de trámite accesorio al de elección, y que debió ser demandado de manera directa, es decir, que no bastaba con pedir su inaplicación sin solicitar su anulación. </w:t>
      </w:r>
    </w:p>
    <w:p w14:paraId="55A72891" w14:textId="08CC26DC" w:rsidR="000462FC" w:rsidRDefault="000462FC" w:rsidP="00811793">
      <w:pPr>
        <w:autoSpaceDE w:val="0"/>
        <w:autoSpaceDN w:val="0"/>
        <w:adjustRightInd w:val="0"/>
        <w:rPr>
          <w:sz w:val="24"/>
          <w:szCs w:val="24"/>
          <w:lang w:val="es-MX" w:eastAsia="ja-JP"/>
        </w:rPr>
      </w:pPr>
    </w:p>
    <w:p w14:paraId="05EEDB2F" w14:textId="655A7946" w:rsidR="0005218C" w:rsidRDefault="000462FC" w:rsidP="00811793">
      <w:pPr>
        <w:autoSpaceDE w:val="0"/>
        <w:autoSpaceDN w:val="0"/>
        <w:adjustRightInd w:val="0"/>
        <w:rPr>
          <w:sz w:val="24"/>
          <w:szCs w:val="24"/>
          <w:lang w:val="es-MX" w:eastAsia="ja-JP"/>
        </w:rPr>
      </w:pPr>
      <w:r>
        <w:rPr>
          <w:sz w:val="24"/>
          <w:szCs w:val="24"/>
          <w:lang w:val="es-MX" w:eastAsia="ja-JP"/>
        </w:rPr>
        <w:t xml:space="preserve">1.2.7. </w:t>
      </w:r>
      <w:r w:rsidR="00395414">
        <w:rPr>
          <w:sz w:val="24"/>
          <w:szCs w:val="24"/>
          <w:lang w:val="es-MX" w:eastAsia="ja-JP"/>
        </w:rPr>
        <w:t>En segunda instancia, la Sección C del Tribunal Administrativo del Atlántico profirió</w:t>
      </w:r>
      <w:r w:rsidR="00395414" w:rsidRPr="001B559F">
        <w:rPr>
          <w:sz w:val="24"/>
          <w:szCs w:val="24"/>
          <w:lang w:val="es-MX" w:eastAsia="ja-JP"/>
        </w:rPr>
        <w:t xml:space="preserve"> sentencia</w:t>
      </w:r>
      <w:r w:rsidR="001B559F" w:rsidRPr="001B559F">
        <w:rPr>
          <w:sz w:val="24"/>
          <w:szCs w:val="24"/>
          <w:lang w:val="es-MX" w:eastAsia="ja-JP"/>
        </w:rPr>
        <w:t>,</w:t>
      </w:r>
      <w:r w:rsidR="00395414">
        <w:rPr>
          <w:sz w:val="24"/>
          <w:szCs w:val="24"/>
          <w:lang w:val="es-MX" w:eastAsia="ja-JP"/>
        </w:rPr>
        <w:t xml:space="preserve"> </w:t>
      </w:r>
      <w:r w:rsidR="00395414" w:rsidRPr="00BF5A37">
        <w:rPr>
          <w:b/>
          <w:bCs/>
          <w:sz w:val="24"/>
          <w:szCs w:val="24"/>
          <w:lang w:val="es-MX" w:eastAsia="ja-JP"/>
        </w:rPr>
        <w:t>el 3 de marzo de 2022</w:t>
      </w:r>
      <w:r w:rsidR="001B559F" w:rsidRPr="00541EA7">
        <w:rPr>
          <w:rStyle w:val="Refdenotaalpie"/>
          <w:sz w:val="24"/>
          <w:szCs w:val="24"/>
          <w:lang w:val="es-MX" w:eastAsia="ja-JP"/>
        </w:rPr>
        <w:footnoteReference w:id="10"/>
      </w:r>
      <w:r w:rsidR="00395414">
        <w:rPr>
          <w:sz w:val="24"/>
          <w:szCs w:val="24"/>
          <w:lang w:val="es-MX" w:eastAsia="ja-JP"/>
        </w:rPr>
        <w:t xml:space="preserve">, en la que confirmó el fallo del 11 de mayo de 2021. El tribunal </w:t>
      </w:r>
      <w:r w:rsidR="0005218C">
        <w:rPr>
          <w:sz w:val="24"/>
          <w:szCs w:val="24"/>
          <w:lang w:val="es-MX" w:eastAsia="ja-JP"/>
        </w:rPr>
        <w:t xml:space="preserve">explicó, como sustento de su providencia, los argumentos que la Sala resume a continuación: </w:t>
      </w:r>
    </w:p>
    <w:p w14:paraId="3C325854" w14:textId="72735146" w:rsidR="0005218C" w:rsidRDefault="0005218C" w:rsidP="00811793">
      <w:pPr>
        <w:autoSpaceDE w:val="0"/>
        <w:autoSpaceDN w:val="0"/>
        <w:adjustRightInd w:val="0"/>
        <w:rPr>
          <w:sz w:val="24"/>
          <w:szCs w:val="24"/>
          <w:lang w:val="es-MX" w:eastAsia="ja-JP"/>
        </w:rPr>
      </w:pPr>
    </w:p>
    <w:p w14:paraId="1AFB73C8" w14:textId="43715A14" w:rsidR="000462FC" w:rsidRDefault="0005218C" w:rsidP="00811793">
      <w:pPr>
        <w:autoSpaceDE w:val="0"/>
        <w:autoSpaceDN w:val="0"/>
        <w:adjustRightInd w:val="0"/>
        <w:rPr>
          <w:sz w:val="24"/>
          <w:szCs w:val="24"/>
          <w:lang w:val="es-MX" w:eastAsia="ja-JP"/>
        </w:rPr>
      </w:pPr>
      <w:r>
        <w:rPr>
          <w:sz w:val="24"/>
          <w:szCs w:val="24"/>
          <w:lang w:val="es-MX" w:eastAsia="ja-JP"/>
        </w:rPr>
        <w:t>E</w:t>
      </w:r>
      <w:r w:rsidR="00395414">
        <w:rPr>
          <w:sz w:val="24"/>
          <w:szCs w:val="24"/>
          <w:lang w:val="es-MX" w:eastAsia="ja-JP"/>
        </w:rPr>
        <w:t>l artículo 139 de la Ley 1437 de 2011 prevé como actos demandables, los de elección por voto popular o cuerpos electorales, los de nombramiento que expidan las autoridades públicas de todo orden</w:t>
      </w:r>
      <w:r>
        <w:rPr>
          <w:sz w:val="24"/>
          <w:szCs w:val="24"/>
          <w:lang w:val="es-MX" w:eastAsia="ja-JP"/>
        </w:rPr>
        <w:t xml:space="preserve">, así como los de llamamiento a proveer vacantes de corporaciones públicas. </w:t>
      </w:r>
    </w:p>
    <w:p w14:paraId="6E998CAD" w14:textId="13B6B9C5" w:rsidR="0005218C" w:rsidRDefault="0005218C" w:rsidP="00811793">
      <w:pPr>
        <w:autoSpaceDE w:val="0"/>
        <w:autoSpaceDN w:val="0"/>
        <w:adjustRightInd w:val="0"/>
        <w:rPr>
          <w:sz w:val="24"/>
          <w:szCs w:val="24"/>
          <w:lang w:val="es-MX" w:eastAsia="ja-JP"/>
        </w:rPr>
      </w:pPr>
    </w:p>
    <w:p w14:paraId="640163DA" w14:textId="6E067765" w:rsidR="0005218C" w:rsidRDefault="00F570F8" w:rsidP="00811793">
      <w:pPr>
        <w:autoSpaceDE w:val="0"/>
        <w:autoSpaceDN w:val="0"/>
        <w:adjustRightInd w:val="0"/>
        <w:rPr>
          <w:sz w:val="24"/>
          <w:szCs w:val="24"/>
          <w:lang w:val="es-MX" w:eastAsia="ja-JP"/>
        </w:rPr>
      </w:pPr>
      <w:r>
        <w:rPr>
          <w:sz w:val="24"/>
          <w:szCs w:val="24"/>
          <w:lang w:val="es-MX" w:eastAsia="ja-JP"/>
        </w:rPr>
        <w:t>L</w:t>
      </w:r>
      <w:r w:rsidR="0005218C">
        <w:rPr>
          <w:sz w:val="24"/>
          <w:szCs w:val="24"/>
          <w:lang w:val="es-MX" w:eastAsia="ja-JP"/>
        </w:rPr>
        <w:t xml:space="preserve">a Corte Constitucional precisó en la sentencia SU-050 de 2018 que son </w:t>
      </w:r>
      <w:r>
        <w:rPr>
          <w:sz w:val="24"/>
          <w:szCs w:val="24"/>
          <w:lang w:val="es-MX" w:eastAsia="ja-JP"/>
        </w:rPr>
        <w:t>cuestionables</w:t>
      </w:r>
      <w:r w:rsidR="0005218C">
        <w:rPr>
          <w:sz w:val="24"/>
          <w:szCs w:val="24"/>
          <w:lang w:val="es-MX" w:eastAsia="ja-JP"/>
        </w:rPr>
        <w:t xml:space="preserve"> mediante el medio de control de nulidad electoral, </w:t>
      </w:r>
      <w:r>
        <w:rPr>
          <w:sz w:val="24"/>
          <w:szCs w:val="24"/>
          <w:lang w:val="es-MX" w:eastAsia="ja-JP"/>
        </w:rPr>
        <w:t>los</w:t>
      </w:r>
      <w:r w:rsidR="0005218C">
        <w:rPr>
          <w:sz w:val="24"/>
          <w:szCs w:val="24"/>
          <w:lang w:val="es-MX" w:eastAsia="ja-JP"/>
        </w:rPr>
        <w:t xml:space="preserve"> </w:t>
      </w:r>
      <w:r>
        <w:rPr>
          <w:sz w:val="24"/>
          <w:szCs w:val="24"/>
          <w:lang w:val="es-MX" w:eastAsia="ja-JP"/>
        </w:rPr>
        <w:t xml:space="preserve">actos </w:t>
      </w:r>
      <w:r w:rsidR="0005218C">
        <w:rPr>
          <w:sz w:val="24"/>
          <w:szCs w:val="24"/>
          <w:lang w:val="es-MX" w:eastAsia="ja-JP"/>
        </w:rPr>
        <w:t xml:space="preserve">definitivos que ponen fin a la elección, </w:t>
      </w:r>
      <w:r>
        <w:rPr>
          <w:sz w:val="24"/>
          <w:szCs w:val="24"/>
          <w:lang w:val="es-MX" w:eastAsia="ja-JP"/>
        </w:rPr>
        <w:t>y que los</w:t>
      </w:r>
      <w:r w:rsidR="0005699F">
        <w:rPr>
          <w:sz w:val="24"/>
          <w:szCs w:val="24"/>
          <w:lang w:val="es-MX" w:eastAsia="ja-JP"/>
        </w:rPr>
        <w:t xml:space="preserve"> </w:t>
      </w:r>
      <w:r>
        <w:rPr>
          <w:sz w:val="24"/>
          <w:szCs w:val="24"/>
          <w:lang w:val="es-MX" w:eastAsia="ja-JP"/>
        </w:rPr>
        <w:t xml:space="preserve">preparatorios o de trámite se discuten de manera unificada con aquel, por lo que no son demandables de forma anticipada o independiente. Así, que la demanda recae sobre el acto de elección </w:t>
      </w:r>
      <w:r w:rsidR="00082F46">
        <w:rPr>
          <w:sz w:val="24"/>
          <w:szCs w:val="24"/>
          <w:lang w:val="es-MX" w:eastAsia="ja-JP"/>
        </w:rPr>
        <w:t>a pesar de que</w:t>
      </w:r>
      <w:r>
        <w:rPr>
          <w:sz w:val="24"/>
          <w:szCs w:val="24"/>
          <w:lang w:val="es-MX" w:eastAsia="ja-JP"/>
        </w:rPr>
        <w:t xml:space="preserve"> la irregularidad se predique de uno intermedio.</w:t>
      </w:r>
    </w:p>
    <w:p w14:paraId="15B27D23" w14:textId="7B776F1E" w:rsidR="00F570F8" w:rsidRDefault="00F570F8" w:rsidP="00811793">
      <w:pPr>
        <w:autoSpaceDE w:val="0"/>
        <w:autoSpaceDN w:val="0"/>
        <w:adjustRightInd w:val="0"/>
        <w:rPr>
          <w:sz w:val="24"/>
          <w:szCs w:val="24"/>
          <w:lang w:val="es-MX" w:eastAsia="ja-JP"/>
        </w:rPr>
      </w:pPr>
    </w:p>
    <w:p w14:paraId="09987831" w14:textId="185D2709" w:rsidR="00F70AAD" w:rsidRDefault="00B4417B" w:rsidP="00811793">
      <w:pPr>
        <w:autoSpaceDE w:val="0"/>
        <w:autoSpaceDN w:val="0"/>
        <w:adjustRightInd w:val="0"/>
        <w:rPr>
          <w:sz w:val="24"/>
          <w:szCs w:val="24"/>
          <w:lang w:val="es-MX" w:eastAsia="ja-JP"/>
        </w:rPr>
      </w:pPr>
      <w:r>
        <w:rPr>
          <w:sz w:val="24"/>
          <w:szCs w:val="24"/>
          <w:lang w:val="es-MX" w:eastAsia="ja-JP"/>
        </w:rPr>
        <w:t>Ahora bien</w:t>
      </w:r>
      <w:r w:rsidR="00F570F8">
        <w:rPr>
          <w:sz w:val="24"/>
          <w:szCs w:val="24"/>
          <w:lang w:val="es-MX" w:eastAsia="ja-JP"/>
        </w:rPr>
        <w:t>, el Consejo de Estado</w:t>
      </w:r>
      <w:r w:rsidR="00082F46">
        <w:rPr>
          <w:sz w:val="24"/>
          <w:szCs w:val="24"/>
          <w:lang w:val="es-MX" w:eastAsia="ja-JP"/>
        </w:rPr>
        <w:t>, en sentencia del 17 de septiembre de 2018,</w:t>
      </w:r>
      <w:r>
        <w:rPr>
          <w:sz w:val="24"/>
          <w:szCs w:val="24"/>
          <w:lang w:val="es-MX" w:eastAsia="ja-JP"/>
        </w:rPr>
        <w:t xml:space="preserve"> </w:t>
      </w:r>
      <w:r w:rsidR="00082F46">
        <w:rPr>
          <w:sz w:val="24"/>
          <w:szCs w:val="24"/>
          <w:lang w:val="es-MX" w:eastAsia="ja-JP"/>
        </w:rPr>
        <w:t xml:space="preserve">definió </w:t>
      </w:r>
      <w:r>
        <w:rPr>
          <w:sz w:val="24"/>
          <w:szCs w:val="24"/>
          <w:lang w:val="es-MX" w:eastAsia="ja-JP"/>
        </w:rPr>
        <w:t xml:space="preserve">el acto electoral como aquel a través del cual la administración declara una elección, hace un nombramiento o una designación, por lo que es el susceptible de ser </w:t>
      </w:r>
      <w:r>
        <w:rPr>
          <w:sz w:val="24"/>
          <w:szCs w:val="24"/>
          <w:lang w:val="es-MX" w:eastAsia="ja-JP"/>
        </w:rPr>
        <w:lastRenderedPageBreak/>
        <w:t xml:space="preserve">demandado </w:t>
      </w:r>
      <w:r w:rsidR="001229E5">
        <w:rPr>
          <w:sz w:val="24"/>
          <w:szCs w:val="24"/>
          <w:lang w:val="es-MX" w:eastAsia="ja-JP"/>
        </w:rPr>
        <w:t>por</w:t>
      </w:r>
      <w:r>
        <w:rPr>
          <w:sz w:val="24"/>
          <w:szCs w:val="24"/>
          <w:lang w:val="es-MX" w:eastAsia="ja-JP"/>
        </w:rPr>
        <w:t xml:space="preserve"> nulidad</w:t>
      </w:r>
      <w:r w:rsidR="00082F46">
        <w:rPr>
          <w:sz w:val="24"/>
          <w:szCs w:val="24"/>
          <w:lang w:val="es-MX" w:eastAsia="ja-JP"/>
        </w:rPr>
        <w:t>;</w:t>
      </w:r>
      <w:r>
        <w:rPr>
          <w:sz w:val="24"/>
          <w:szCs w:val="24"/>
          <w:lang w:val="es-MX" w:eastAsia="ja-JP"/>
        </w:rPr>
        <w:t xml:space="preserve"> y que los preparatorios o de trámite</w:t>
      </w:r>
      <w:r w:rsidR="00345D90">
        <w:rPr>
          <w:sz w:val="24"/>
          <w:szCs w:val="24"/>
          <w:lang w:val="es-MX" w:eastAsia="ja-JP"/>
        </w:rPr>
        <w:t xml:space="preserve"> son</w:t>
      </w:r>
      <w:r w:rsidR="001229E5">
        <w:rPr>
          <w:sz w:val="24"/>
          <w:szCs w:val="24"/>
          <w:lang w:val="es-MX" w:eastAsia="ja-JP"/>
        </w:rPr>
        <w:t xml:space="preserve"> cuestionables</w:t>
      </w:r>
      <w:r w:rsidR="00345D90">
        <w:rPr>
          <w:sz w:val="24"/>
          <w:szCs w:val="24"/>
          <w:lang w:val="es-MX" w:eastAsia="ja-JP"/>
        </w:rPr>
        <w:t>, pero de manera indirecta</w:t>
      </w:r>
      <w:r w:rsidR="001229E5">
        <w:rPr>
          <w:sz w:val="24"/>
          <w:szCs w:val="24"/>
          <w:lang w:val="es-MX" w:eastAsia="ja-JP"/>
        </w:rPr>
        <w:t xml:space="preserve"> al primero</w:t>
      </w:r>
      <w:r w:rsidR="00A249E7">
        <w:rPr>
          <w:rStyle w:val="Refdenotaalpie"/>
          <w:sz w:val="24"/>
          <w:szCs w:val="24"/>
          <w:lang w:val="es-MX" w:eastAsia="ja-JP"/>
        </w:rPr>
        <w:footnoteReference w:id="11"/>
      </w:r>
      <w:r w:rsidR="00345D90">
        <w:rPr>
          <w:sz w:val="24"/>
          <w:szCs w:val="24"/>
          <w:lang w:val="es-MX" w:eastAsia="ja-JP"/>
        </w:rPr>
        <w:t>.</w:t>
      </w:r>
      <w:r w:rsidR="001229E5">
        <w:rPr>
          <w:sz w:val="24"/>
          <w:szCs w:val="24"/>
          <w:lang w:val="es-MX" w:eastAsia="ja-JP"/>
        </w:rPr>
        <w:t xml:space="preserve"> </w:t>
      </w:r>
    </w:p>
    <w:p w14:paraId="068CEA68" w14:textId="77777777" w:rsidR="00A249E7" w:rsidRDefault="00A249E7" w:rsidP="00811793">
      <w:pPr>
        <w:autoSpaceDE w:val="0"/>
        <w:autoSpaceDN w:val="0"/>
        <w:adjustRightInd w:val="0"/>
        <w:rPr>
          <w:sz w:val="24"/>
          <w:szCs w:val="24"/>
          <w:lang w:val="es-MX" w:eastAsia="ja-JP"/>
        </w:rPr>
      </w:pPr>
    </w:p>
    <w:p w14:paraId="7126ECEA" w14:textId="3B91197F" w:rsidR="006B4040" w:rsidRDefault="001229E5" w:rsidP="00811793">
      <w:pPr>
        <w:autoSpaceDE w:val="0"/>
        <w:autoSpaceDN w:val="0"/>
        <w:adjustRightInd w:val="0"/>
        <w:rPr>
          <w:sz w:val="24"/>
          <w:szCs w:val="24"/>
          <w:lang w:val="es-MX" w:eastAsia="ja-JP"/>
        </w:rPr>
      </w:pPr>
      <w:r>
        <w:rPr>
          <w:sz w:val="24"/>
          <w:szCs w:val="24"/>
          <w:lang w:val="es-MX" w:eastAsia="ja-JP"/>
        </w:rPr>
        <w:t>En particular,</w:t>
      </w:r>
      <w:r w:rsidR="00F70AAD">
        <w:rPr>
          <w:sz w:val="24"/>
          <w:szCs w:val="24"/>
          <w:lang w:val="es-MX" w:eastAsia="ja-JP"/>
        </w:rPr>
        <w:t xml:space="preserve"> el Alto Tribunal de lo Contencioso Administrativo</w:t>
      </w:r>
      <w:r>
        <w:rPr>
          <w:sz w:val="24"/>
          <w:szCs w:val="24"/>
          <w:lang w:val="es-MX" w:eastAsia="ja-JP"/>
        </w:rPr>
        <w:t xml:space="preserve"> precisó</w:t>
      </w:r>
      <w:r w:rsidR="00722CF7">
        <w:rPr>
          <w:sz w:val="24"/>
          <w:szCs w:val="24"/>
          <w:lang w:val="es-MX" w:eastAsia="ja-JP"/>
        </w:rPr>
        <w:t xml:space="preserve"> en sentencia del 12 de noviembre de 2019</w:t>
      </w:r>
      <w:r>
        <w:rPr>
          <w:rStyle w:val="Refdenotaalpie"/>
          <w:sz w:val="24"/>
          <w:szCs w:val="24"/>
          <w:lang w:val="es-MX" w:eastAsia="ja-JP"/>
        </w:rPr>
        <w:footnoteReference w:id="12"/>
      </w:r>
      <w:r w:rsidR="00F70AAD">
        <w:rPr>
          <w:sz w:val="24"/>
          <w:szCs w:val="24"/>
          <w:lang w:val="es-MX" w:eastAsia="ja-JP"/>
        </w:rPr>
        <w:t xml:space="preserve"> que </w:t>
      </w:r>
      <w:r w:rsidR="00722CF7">
        <w:rPr>
          <w:sz w:val="24"/>
          <w:szCs w:val="24"/>
          <w:lang w:val="es-MX" w:eastAsia="ja-JP"/>
        </w:rPr>
        <w:t xml:space="preserve">los </w:t>
      </w:r>
      <w:r w:rsidR="00F70AAD">
        <w:rPr>
          <w:sz w:val="24"/>
          <w:szCs w:val="24"/>
          <w:lang w:val="es-MX" w:eastAsia="ja-JP"/>
        </w:rPr>
        <w:t xml:space="preserve">actos de trámite </w:t>
      </w:r>
      <w:r w:rsidR="006B4040">
        <w:rPr>
          <w:sz w:val="24"/>
          <w:szCs w:val="24"/>
          <w:lang w:val="es-MX" w:eastAsia="ja-JP"/>
        </w:rPr>
        <w:t>deben estar sujetos a</w:t>
      </w:r>
      <w:r w:rsidR="00F70AAD">
        <w:rPr>
          <w:sz w:val="24"/>
          <w:szCs w:val="24"/>
          <w:lang w:val="es-MX" w:eastAsia="ja-JP"/>
        </w:rPr>
        <w:t xml:space="preserve"> la legalidad, pues son demandables por nulidad de modo accesorio al acto principal </w:t>
      </w:r>
      <w:r w:rsidR="006B4040">
        <w:rPr>
          <w:sz w:val="24"/>
          <w:szCs w:val="24"/>
          <w:lang w:val="es-MX" w:eastAsia="ja-JP"/>
        </w:rPr>
        <w:t>al que dan lugar, con ocasión de los denominados vicios de forma. Pero que, si algún acto de trámite lesiona derechos legítimos de una persona porque la excluyó del proceso de elección, se torna definitivo para aquella y, por lo tanto, puede demandarlo directamente.</w:t>
      </w:r>
      <w:r w:rsidR="00EE7671">
        <w:rPr>
          <w:sz w:val="24"/>
          <w:szCs w:val="24"/>
          <w:lang w:val="es-MX" w:eastAsia="ja-JP"/>
        </w:rPr>
        <w:t xml:space="preserve"> </w:t>
      </w:r>
      <w:r w:rsidR="006B4040">
        <w:rPr>
          <w:sz w:val="24"/>
          <w:szCs w:val="24"/>
          <w:lang w:val="es-MX" w:eastAsia="ja-JP"/>
        </w:rPr>
        <w:t>Por lo expuesto, el Tribunal Administrativo del Atlántico</w:t>
      </w:r>
      <w:r w:rsidR="00EE7671" w:rsidRPr="00EE7671">
        <w:rPr>
          <w:sz w:val="24"/>
          <w:szCs w:val="24"/>
          <w:lang w:val="es-MX" w:eastAsia="ja-JP"/>
        </w:rPr>
        <w:t xml:space="preserve"> </w:t>
      </w:r>
      <w:r w:rsidR="00EE7671">
        <w:rPr>
          <w:sz w:val="24"/>
          <w:szCs w:val="24"/>
          <w:lang w:val="es-MX" w:eastAsia="ja-JP"/>
        </w:rPr>
        <w:t>indicó</w:t>
      </w:r>
      <w:r w:rsidR="006B4040">
        <w:rPr>
          <w:sz w:val="24"/>
          <w:szCs w:val="24"/>
          <w:lang w:val="es-MX" w:eastAsia="ja-JP"/>
        </w:rPr>
        <w:t xml:space="preserve">: </w:t>
      </w:r>
    </w:p>
    <w:p w14:paraId="1E05D77A" w14:textId="61281A2B" w:rsidR="006B4040" w:rsidRDefault="006B4040" w:rsidP="00811793">
      <w:pPr>
        <w:autoSpaceDE w:val="0"/>
        <w:autoSpaceDN w:val="0"/>
        <w:adjustRightInd w:val="0"/>
        <w:rPr>
          <w:sz w:val="24"/>
          <w:szCs w:val="24"/>
          <w:lang w:val="es-MX" w:eastAsia="ja-JP"/>
        </w:rPr>
      </w:pPr>
    </w:p>
    <w:p w14:paraId="5A80BBF6" w14:textId="5D0E3D27" w:rsidR="006B4040" w:rsidRDefault="00E47503" w:rsidP="00E47503">
      <w:pPr>
        <w:autoSpaceDE w:val="0"/>
        <w:autoSpaceDN w:val="0"/>
        <w:adjustRightInd w:val="0"/>
        <w:ind w:left="706"/>
        <w:rPr>
          <w:sz w:val="22"/>
          <w:szCs w:val="22"/>
        </w:rPr>
      </w:pPr>
      <w:r w:rsidRPr="00E47503">
        <w:rPr>
          <w:sz w:val="22"/>
          <w:szCs w:val="22"/>
          <w:lang w:val="es-MX" w:eastAsia="ja-JP"/>
        </w:rPr>
        <w:t xml:space="preserve">“[…] </w:t>
      </w:r>
      <w:r w:rsidRPr="00E47503">
        <w:rPr>
          <w:sz w:val="22"/>
          <w:szCs w:val="22"/>
        </w:rPr>
        <w:t>por regla general los actos de trámite en un proceso electoral no son susceptibles de control judicial de manera directa por parte de esta jurisdicción, pues están enlazados con el control del acto principal, esto es, con el acto de elección o nombramiento, sin embargo, existe una excepción a esta regla, y es cuando estos consolidan una situación jurídica particular, y lesionan derechos de los aspirantes o participantes”</w:t>
      </w:r>
      <w:r w:rsidR="002716CE">
        <w:rPr>
          <w:rStyle w:val="Refdenotaalpie"/>
          <w:sz w:val="22"/>
          <w:szCs w:val="22"/>
        </w:rPr>
        <w:footnoteReference w:id="13"/>
      </w:r>
      <w:r w:rsidRPr="00E47503">
        <w:rPr>
          <w:sz w:val="22"/>
          <w:szCs w:val="22"/>
        </w:rPr>
        <w:t xml:space="preserve">. </w:t>
      </w:r>
    </w:p>
    <w:p w14:paraId="3BD98EA4" w14:textId="77777777" w:rsidR="00722CF7" w:rsidRPr="00E47503" w:rsidRDefault="00722CF7" w:rsidP="00E47503">
      <w:pPr>
        <w:autoSpaceDE w:val="0"/>
        <w:autoSpaceDN w:val="0"/>
        <w:adjustRightInd w:val="0"/>
        <w:ind w:left="706"/>
        <w:rPr>
          <w:sz w:val="22"/>
          <w:szCs w:val="22"/>
          <w:lang w:val="es-MX" w:eastAsia="ja-JP"/>
        </w:rPr>
      </w:pPr>
    </w:p>
    <w:p w14:paraId="6895F65B" w14:textId="0D1B7F1E" w:rsidR="00E47503" w:rsidRDefault="00EE7671" w:rsidP="00811793">
      <w:pPr>
        <w:autoSpaceDE w:val="0"/>
        <w:autoSpaceDN w:val="0"/>
        <w:adjustRightInd w:val="0"/>
        <w:rPr>
          <w:sz w:val="24"/>
          <w:szCs w:val="24"/>
          <w:lang w:val="es-MX" w:eastAsia="ja-JP"/>
        </w:rPr>
      </w:pPr>
      <w:r>
        <w:rPr>
          <w:sz w:val="24"/>
          <w:szCs w:val="24"/>
          <w:lang w:val="es-MX" w:eastAsia="ja-JP"/>
        </w:rPr>
        <w:t xml:space="preserve">Conforme a lo anterior, las Resoluciones 001 de 2019 y de 2020, de convocatoria y que conformó la lista de elegibles, son actos de contenido electoral pero </w:t>
      </w:r>
      <w:r w:rsidR="00BF5A37">
        <w:rPr>
          <w:sz w:val="24"/>
          <w:szCs w:val="24"/>
          <w:lang w:val="es-MX" w:eastAsia="ja-JP"/>
        </w:rPr>
        <w:t xml:space="preserve">no electorales en estricto sentido, pues el objetivo de estos es impulsar el proceso de selección. Es decir, no son sujetos por si solos de control judicial. Así, consideró el tribunal: </w:t>
      </w:r>
    </w:p>
    <w:p w14:paraId="72E86568" w14:textId="588739DF" w:rsidR="00BF5A37" w:rsidRDefault="00BF5A37" w:rsidP="00811793">
      <w:pPr>
        <w:autoSpaceDE w:val="0"/>
        <w:autoSpaceDN w:val="0"/>
        <w:adjustRightInd w:val="0"/>
        <w:rPr>
          <w:sz w:val="24"/>
          <w:szCs w:val="24"/>
          <w:lang w:val="es-MX" w:eastAsia="ja-JP"/>
        </w:rPr>
      </w:pPr>
    </w:p>
    <w:p w14:paraId="7EDC540B" w14:textId="567F4899" w:rsidR="00BF5A37" w:rsidRPr="00BF5A37" w:rsidRDefault="00BF5A37" w:rsidP="00BF5A37">
      <w:pPr>
        <w:autoSpaceDE w:val="0"/>
        <w:autoSpaceDN w:val="0"/>
        <w:adjustRightInd w:val="0"/>
        <w:ind w:left="706"/>
        <w:rPr>
          <w:sz w:val="22"/>
          <w:szCs w:val="22"/>
          <w:lang w:val="es-MX" w:eastAsia="ja-JP"/>
        </w:rPr>
      </w:pPr>
      <w:r w:rsidRPr="00BF5A37">
        <w:rPr>
          <w:sz w:val="22"/>
          <w:szCs w:val="22"/>
          <w:lang w:val="es-MX" w:eastAsia="ja-JP"/>
        </w:rPr>
        <w:t>“[…] no cabe duda que los actos administrativos de convocatoria para el concurso de méritos ampliamente mencionado, y la lista de elegibles no pueden ser susceptibles de control por parte de esta jurisdicción, puesto que, sólo constituyen el conjunto de actuaciones intermedias que preceden a la formación de la decisión administrativa definitiva. Además, su legalidad fue estudiada en el fondo o mérito de la controversia, pues integran un fundamento de nulidad indirecta”</w:t>
      </w:r>
      <w:r w:rsidR="00696DA3">
        <w:rPr>
          <w:rStyle w:val="Refdenotaalpie"/>
          <w:sz w:val="22"/>
          <w:szCs w:val="22"/>
          <w:lang w:val="es-MX" w:eastAsia="ja-JP"/>
        </w:rPr>
        <w:footnoteReference w:id="14"/>
      </w:r>
      <w:r w:rsidRPr="00BF5A37">
        <w:rPr>
          <w:sz w:val="22"/>
          <w:szCs w:val="22"/>
          <w:lang w:val="es-MX" w:eastAsia="ja-JP"/>
        </w:rPr>
        <w:t>.</w:t>
      </w:r>
    </w:p>
    <w:p w14:paraId="3E2BDBBD" w14:textId="77777777" w:rsidR="0005218C" w:rsidRDefault="0005218C" w:rsidP="00811793">
      <w:pPr>
        <w:autoSpaceDE w:val="0"/>
        <w:autoSpaceDN w:val="0"/>
        <w:adjustRightInd w:val="0"/>
        <w:rPr>
          <w:sz w:val="24"/>
          <w:szCs w:val="24"/>
          <w:lang w:val="es-MX" w:eastAsia="ja-JP"/>
        </w:rPr>
      </w:pPr>
    </w:p>
    <w:p w14:paraId="049D28FF" w14:textId="75B0D9BF" w:rsidR="00DA75BF" w:rsidRDefault="00BF5A37" w:rsidP="00811793">
      <w:pPr>
        <w:autoSpaceDE w:val="0"/>
        <w:autoSpaceDN w:val="0"/>
        <w:adjustRightInd w:val="0"/>
        <w:rPr>
          <w:sz w:val="24"/>
          <w:szCs w:val="24"/>
          <w:lang w:val="es-MX" w:eastAsia="ja-JP"/>
        </w:rPr>
      </w:pPr>
      <w:r>
        <w:rPr>
          <w:sz w:val="24"/>
          <w:szCs w:val="24"/>
          <w:lang w:val="es-MX" w:eastAsia="ja-JP"/>
        </w:rPr>
        <w:t xml:space="preserve">En cuanto al cargo relacionado con </w:t>
      </w:r>
      <w:r w:rsidR="007D69F9">
        <w:rPr>
          <w:sz w:val="24"/>
          <w:szCs w:val="24"/>
          <w:lang w:val="es-MX" w:eastAsia="ja-JP"/>
        </w:rPr>
        <w:t>las tecnologías de la información y las comunicaciones, las normas que regulan la materia no establecen las forma</w:t>
      </w:r>
      <w:r w:rsidR="000D5A3F">
        <w:rPr>
          <w:sz w:val="24"/>
          <w:szCs w:val="24"/>
          <w:lang w:val="es-MX" w:eastAsia="ja-JP"/>
        </w:rPr>
        <w:t>s</w:t>
      </w:r>
      <w:r w:rsidR="007D69F9">
        <w:rPr>
          <w:sz w:val="24"/>
          <w:szCs w:val="24"/>
          <w:lang w:val="es-MX" w:eastAsia="ja-JP"/>
        </w:rPr>
        <w:t xml:space="preserve"> en que debe hacerse la inscripción de aspirantes al cargo, por lo que no</w:t>
      </w:r>
      <w:r w:rsidR="000D5A3F">
        <w:rPr>
          <w:sz w:val="24"/>
          <w:szCs w:val="24"/>
          <w:lang w:val="es-MX" w:eastAsia="ja-JP"/>
        </w:rPr>
        <w:t xml:space="preserve"> es</w:t>
      </w:r>
      <w:r w:rsidR="007D69F9">
        <w:rPr>
          <w:sz w:val="24"/>
          <w:szCs w:val="24"/>
          <w:lang w:val="es-MX" w:eastAsia="ja-JP"/>
        </w:rPr>
        <w:t xml:space="preserve"> exigible para los Concejos municipales que permitan la participación en la convocatoria por medios electrónicos</w:t>
      </w:r>
      <w:r w:rsidR="00DA75BF">
        <w:rPr>
          <w:sz w:val="24"/>
          <w:szCs w:val="24"/>
          <w:lang w:val="es-MX" w:eastAsia="ja-JP"/>
        </w:rPr>
        <w:t xml:space="preserve">, más aún, al tener en cuenta que en el caso concreto ningún aspirante fue rechazado por tal motivo. </w:t>
      </w:r>
    </w:p>
    <w:p w14:paraId="06758266" w14:textId="77777777" w:rsidR="00DA75BF" w:rsidRDefault="00DA75BF" w:rsidP="00811793">
      <w:pPr>
        <w:autoSpaceDE w:val="0"/>
        <w:autoSpaceDN w:val="0"/>
        <w:adjustRightInd w:val="0"/>
        <w:rPr>
          <w:sz w:val="24"/>
          <w:szCs w:val="24"/>
          <w:lang w:val="es-MX" w:eastAsia="ja-JP"/>
        </w:rPr>
      </w:pPr>
    </w:p>
    <w:p w14:paraId="6D2461E9" w14:textId="02B338A6" w:rsidR="00FC7CF1" w:rsidRDefault="00DA75BF" w:rsidP="005C5460">
      <w:pPr>
        <w:autoSpaceDE w:val="0"/>
        <w:autoSpaceDN w:val="0"/>
        <w:adjustRightInd w:val="0"/>
        <w:rPr>
          <w:sz w:val="24"/>
          <w:szCs w:val="24"/>
          <w:lang w:val="es-MX" w:eastAsia="ja-JP"/>
        </w:rPr>
      </w:pPr>
      <w:r>
        <w:rPr>
          <w:sz w:val="24"/>
          <w:szCs w:val="24"/>
          <w:lang w:val="es-MX" w:eastAsia="ja-JP"/>
        </w:rPr>
        <w:t xml:space="preserve">No obstante, a pesar de que el cargo no debió prosperar, </w:t>
      </w:r>
      <w:r w:rsidR="00DF7EB9">
        <w:rPr>
          <w:sz w:val="24"/>
          <w:szCs w:val="24"/>
          <w:lang w:val="es-MX" w:eastAsia="ja-JP"/>
        </w:rPr>
        <w:t xml:space="preserve">ello no era suficiente para revocar la sentencia de primera instancia, en la medida en que </w:t>
      </w:r>
      <w:r w:rsidR="000D5A3F">
        <w:rPr>
          <w:sz w:val="24"/>
          <w:szCs w:val="24"/>
          <w:lang w:val="es-MX" w:eastAsia="ja-JP"/>
        </w:rPr>
        <w:t>el</w:t>
      </w:r>
      <w:r w:rsidR="00DF7EB9">
        <w:rPr>
          <w:sz w:val="24"/>
          <w:szCs w:val="24"/>
          <w:lang w:val="es-MX" w:eastAsia="ja-JP"/>
        </w:rPr>
        <w:t xml:space="preserve"> argumento más relevante relacionado con que la Universidad de la Costa no era idónea para llevar a cabo el concurso de méritos, no fue refutado en el recurso de apelación, por lo que dicho asunto escapó de la órbita funcional del Tribunal Administrativo del Atlántico. </w:t>
      </w:r>
    </w:p>
    <w:p w14:paraId="0817311E" w14:textId="7CC40EF5" w:rsidR="00122E7B" w:rsidRDefault="00122E7B" w:rsidP="005C5460">
      <w:pPr>
        <w:autoSpaceDE w:val="0"/>
        <w:autoSpaceDN w:val="0"/>
        <w:adjustRightInd w:val="0"/>
        <w:rPr>
          <w:sz w:val="24"/>
          <w:szCs w:val="24"/>
          <w:lang w:val="es-MX" w:eastAsia="ja-JP"/>
        </w:rPr>
      </w:pPr>
    </w:p>
    <w:p w14:paraId="4FCC2E2C" w14:textId="79CA0F4A" w:rsidR="001D0B97" w:rsidRDefault="00122E7B" w:rsidP="005C5460">
      <w:pPr>
        <w:autoSpaceDE w:val="0"/>
        <w:autoSpaceDN w:val="0"/>
        <w:adjustRightInd w:val="0"/>
        <w:rPr>
          <w:sz w:val="24"/>
          <w:szCs w:val="24"/>
          <w:lang w:val="es-MX" w:eastAsia="ja-JP"/>
        </w:rPr>
      </w:pPr>
      <w:r>
        <w:rPr>
          <w:sz w:val="24"/>
          <w:szCs w:val="24"/>
          <w:lang w:val="es-MX" w:eastAsia="ja-JP"/>
        </w:rPr>
        <w:t>1.2.8. El apoderado judicial de Evaristo Arteta Castro y el Concejo Municipal de Juan de Acosta presentó solicitud de aclaración de sentencia</w:t>
      </w:r>
      <w:r w:rsidR="00696DA3" w:rsidRPr="00541EA7">
        <w:rPr>
          <w:rStyle w:val="Refdenotaalpie"/>
          <w:sz w:val="24"/>
          <w:szCs w:val="24"/>
          <w:lang w:val="es-MX" w:eastAsia="ja-JP"/>
        </w:rPr>
        <w:footnoteReference w:id="15"/>
      </w:r>
      <w:r>
        <w:rPr>
          <w:sz w:val="24"/>
          <w:szCs w:val="24"/>
          <w:lang w:val="es-MX" w:eastAsia="ja-JP"/>
        </w:rPr>
        <w:t xml:space="preserve">, </w:t>
      </w:r>
      <w:r w:rsidR="00CA22A6">
        <w:rPr>
          <w:sz w:val="24"/>
          <w:szCs w:val="24"/>
          <w:lang w:val="es-MX" w:eastAsia="ja-JP"/>
        </w:rPr>
        <w:t xml:space="preserve">en relación con: i) cuál fue </w:t>
      </w:r>
      <w:r w:rsidR="00CA22A6">
        <w:rPr>
          <w:sz w:val="24"/>
          <w:szCs w:val="24"/>
          <w:lang w:val="es-MX" w:eastAsia="ja-JP"/>
        </w:rPr>
        <w:lastRenderedPageBreak/>
        <w:t xml:space="preserve">el sustento normativo o jurisprudencial para que el Tribunal Administrativo del Atlántico considerara la Resolución 001 de 2019 como </w:t>
      </w:r>
      <w:r w:rsidR="00696DA3">
        <w:rPr>
          <w:sz w:val="24"/>
          <w:szCs w:val="24"/>
          <w:lang w:val="es-MX" w:eastAsia="ja-JP"/>
        </w:rPr>
        <w:t xml:space="preserve">un </w:t>
      </w:r>
      <w:r w:rsidR="00CA22A6">
        <w:rPr>
          <w:sz w:val="24"/>
          <w:szCs w:val="24"/>
          <w:lang w:val="es-MX" w:eastAsia="ja-JP"/>
        </w:rPr>
        <w:t xml:space="preserve">acto de trámite, pese a que el Consejo de Estado </w:t>
      </w:r>
      <w:r w:rsidR="00696DA3">
        <w:rPr>
          <w:sz w:val="24"/>
          <w:szCs w:val="24"/>
          <w:lang w:val="es-MX" w:eastAsia="ja-JP"/>
        </w:rPr>
        <w:t>indicó en sentencia del 8 de marzo de 2012</w:t>
      </w:r>
      <w:r w:rsidR="00696DA3">
        <w:rPr>
          <w:rStyle w:val="Refdenotaalpie"/>
          <w:sz w:val="24"/>
          <w:szCs w:val="24"/>
          <w:lang w:val="es-MX" w:eastAsia="ja-JP"/>
        </w:rPr>
        <w:footnoteReference w:id="16"/>
      </w:r>
      <w:r w:rsidR="00696DA3">
        <w:rPr>
          <w:sz w:val="24"/>
          <w:szCs w:val="24"/>
          <w:lang w:val="es-MX" w:eastAsia="ja-JP"/>
        </w:rPr>
        <w:t>,</w:t>
      </w:r>
      <w:r w:rsidR="00CA22A6">
        <w:rPr>
          <w:sz w:val="24"/>
          <w:szCs w:val="24"/>
          <w:lang w:val="es-MX" w:eastAsia="ja-JP"/>
        </w:rPr>
        <w:t xml:space="preserve"> que es demandable directamente</w:t>
      </w:r>
      <w:r w:rsidR="009F3989">
        <w:rPr>
          <w:sz w:val="24"/>
          <w:szCs w:val="24"/>
          <w:lang w:val="es-MX" w:eastAsia="ja-JP"/>
        </w:rPr>
        <w:t>; ii) cuál fue el acto principal y definitivo que culminó la etapa de estructuración de las reglas del concurso; y, iii) qué efectos tiene la sentencia del 11 de mayo de 2021.</w:t>
      </w:r>
    </w:p>
    <w:p w14:paraId="0A37879D" w14:textId="77777777" w:rsidR="001D0B97" w:rsidRDefault="001D0B97" w:rsidP="005C5460">
      <w:pPr>
        <w:autoSpaceDE w:val="0"/>
        <w:autoSpaceDN w:val="0"/>
        <w:adjustRightInd w:val="0"/>
        <w:rPr>
          <w:sz w:val="24"/>
          <w:szCs w:val="24"/>
          <w:lang w:val="es-MX" w:eastAsia="ja-JP"/>
        </w:rPr>
      </w:pPr>
    </w:p>
    <w:p w14:paraId="55956BF1" w14:textId="4C023972" w:rsidR="001D0B97" w:rsidRDefault="009F3989" w:rsidP="005C5460">
      <w:pPr>
        <w:autoSpaceDE w:val="0"/>
        <w:autoSpaceDN w:val="0"/>
        <w:adjustRightInd w:val="0"/>
        <w:rPr>
          <w:sz w:val="24"/>
          <w:szCs w:val="24"/>
          <w:lang w:val="es-MX" w:eastAsia="ja-JP"/>
        </w:rPr>
      </w:pPr>
      <w:r>
        <w:rPr>
          <w:sz w:val="24"/>
          <w:szCs w:val="24"/>
          <w:lang w:val="es-MX" w:eastAsia="ja-JP"/>
        </w:rPr>
        <w:t>Lo anterior, pese a que el juzgado de primera instancia solo declaró la nulidad de la Resolución núm. 002 de 2020</w:t>
      </w:r>
      <w:r w:rsidR="001D0B97">
        <w:rPr>
          <w:sz w:val="24"/>
          <w:szCs w:val="24"/>
          <w:lang w:val="es-MX" w:eastAsia="ja-JP"/>
        </w:rPr>
        <w:t xml:space="preserve">. </w:t>
      </w:r>
      <w:r w:rsidR="00105FC6">
        <w:rPr>
          <w:sz w:val="24"/>
          <w:szCs w:val="24"/>
          <w:lang w:val="es-MX" w:eastAsia="ja-JP"/>
        </w:rPr>
        <w:t>En tal sentido</w:t>
      </w:r>
      <w:r w:rsidR="001D0B97">
        <w:rPr>
          <w:sz w:val="24"/>
          <w:szCs w:val="24"/>
          <w:lang w:val="es-MX" w:eastAsia="ja-JP"/>
        </w:rPr>
        <w:t xml:space="preserve">, reiteró que las normas que regularon el concurso no fueron anuladas y por lo tanto, no era posible que se ordenara realizar una nueva convocatoria. </w:t>
      </w:r>
    </w:p>
    <w:p w14:paraId="413B1418" w14:textId="127EA793" w:rsidR="001D0B97" w:rsidRDefault="001D0B97" w:rsidP="005C5460">
      <w:pPr>
        <w:autoSpaceDE w:val="0"/>
        <w:autoSpaceDN w:val="0"/>
        <w:adjustRightInd w:val="0"/>
        <w:rPr>
          <w:sz w:val="24"/>
          <w:szCs w:val="24"/>
          <w:lang w:val="es-MX" w:eastAsia="ja-JP"/>
        </w:rPr>
      </w:pPr>
    </w:p>
    <w:p w14:paraId="66268278" w14:textId="2F2913A2" w:rsidR="0043263E" w:rsidRDefault="001D0B97" w:rsidP="005C5460">
      <w:pPr>
        <w:autoSpaceDE w:val="0"/>
        <w:autoSpaceDN w:val="0"/>
        <w:adjustRightInd w:val="0"/>
        <w:rPr>
          <w:sz w:val="24"/>
          <w:szCs w:val="24"/>
          <w:lang w:val="es-MX" w:eastAsia="ja-JP"/>
        </w:rPr>
      </w:pPr>
      <w:r>
        <w:rPr>
          <w:sz w:val="24"/>
          <w:szCs w:val="24"/>
          <w:lang w:val="es-MX" w:eastAsia="ja-JP"/>
        </w:rPr>
        <w:t xml:space="preserve">De otra parte, aseguró que el Tribunal Administrativo del Atlántico, en </w:t>
      </w:r>
      <w:r w:rsidR="004406B7">
        <w:rPr>
          <w:sz w:val="24"/>
          <w:szCs w:val="24"/>
          <w:lang w:val="es-MX" w:eastAsia="ja-JP"/>
        </w:rPr>
        <w:t xml:space="preserve">el </w:t>
      </w:r>
      <w:r>
        <w:rPr>
          <w:sz w:val="24"/>
          <w:szCs w:val="24"/>
          <w:lang w:val="es-MX" w:eastAsia="ja-JP"/>
        </w:rPr>
        <w:t xml:space="preserve">auto del 26 de noviembre de 2020 que revocó la medida de suspensión provisional, </w:t>
      </w:r>
      <w:r w:rsidR="004406B7">
        <w:rPr>
          <w:sz w:val="24"/>
          <w:szCs w:val="24"/>
          <w:lang w:val="es-MX" w:eastAsia="ja-JP"/>
        </w:rPr>
        <w:t>concluyó que el término para las inscripciones de aspirantes al cargo de personero hacía parte de la autonomía de los Concejos municipales</w:t>
      </w:r>
      <w:r w:rsidR="0082502C">
        <w:rPr>
          <w:sz w:val="24"/>
          <w:szCs w:val="24"/>
          <w:lang w:val="es-MX" w:eastAsia="ja-JP"/>
        </w:rPr>
        <w:t>,</w:t>
      </w:r>
      <w:r w:rsidR="004406B7">
        <w:rPr>
          <w:sz w:val="24"/>
          <w:szCs w:val="24"/>
          <w:lang w:val="es-MX" w:eastAsia="ja-JP"/>
        </w:rPr>
        <w:t xml:space="preserve"> así como de su competencia de dirigir y conducir el concurso de méritos,</w:t>
      </w:r>
      <w:r w:rsidR="00244384">
        <w:rPr>
          <w:sz w:val="24"/>
          <w:szCs w:val="24"/>
          <w:lang w:val="es-MX" w:eastAsia="ja-JP"/>
        </w:rPr>
        <w:t xml:space="preserve"> ya sea de manera directa o a través de universidades,</w:t>
      </w:r>
      <w:r w:rsidR="004406B7">
        <w:rPr>
          <w:sz w:val="24"/>
          <w:szCs w:val="24"/>
          <w:lang w:val="es-MX" w:eastAsia="ja-JP"/>
        </w:rPr>
        <w:t xml:space="preserve"> asuntos que, en consecuencia, qued</w:t>
      </w:r>
      <w:r w:rsidR="00A249E7">
        <w:rPr>
          <w:sz w:val="24"/>
          <w:szCs w:val="24"/>
          <w:lang w:val="es-MX" w:eastAsia="ja-JP"/>
        </w:rPr>
        <w:t>aron</w:t>
      </w:r>
      <w:r w:rsidR="004406B7">
        <w:rPr>
          <w:sz w:val="24"/>
          <w:szCs w:val="24"/>
          <w:lang w:val="es-MX" w:eastAsia="ja-JP"/>
        </w:rPr>
        <w:t xml:space="preserve"> zanjado</w:t>
      </w:r>
      <w:r w:rsidR="00A249E7">
        <w:rPr>
          <w:sz w:val="24"/>
          <w:szCs w:val="24"/>
          <w:lang w:val="es-MX" w:eastAsia="ja-JP"/>
        </w:rPr>
        <w:t>s</w:t>
      </w:r>
      <w:r w:rsidR="004406B7">
        <w:rPr>
          <w:sz w:val="24"/>
          <w:szCs w:val="24"/>
          <w:lang w:val="es-MX" w:eastAsia="ja-JP"/>
        </w:rPr>
        <w:t xml:space="preserve"> y no podía</w:t>
      </w:r>
      <w:r w:rsidR="00A249E7">
        <w:rPr>
          <w:sz w:val="24"/>
          <w:szCs w:val="24"/>
          <w:lang w:val="es-MX" w:eastAsia="ja-JP"/>
        </w:rPr>
        <w:t>n</w:t>
      </w:r>
      <w:r w:rsidR="004406B7">
        <w:rPr>
          <w:sz w:val="24"/>
          <w:szCs w:val="24"/>
          <w:lang w:val="es-MX" w:eastAsia="ja-JP"/>
        </w:rPr>
        <w:t xml:space="preserve"> ser abordado</w:t>
      </w:r>
      <w:r w:rsidR="00A249E7">
        <w:rPr>
          <w:sz w:val="24"/>
          <w:szCs w:val="24"/>
          <w:lang w:val="es-MX" w:eastAsia="ja-JP"/>
        </w:rPr>
        <w:t>s</w:t>
      </w:r>
      <w:r w:rsidR="004406B7">
        <w:rPr>
          <w:sz w:val="24"/>
          <w:szCs w:val="24"/>
          <w:lang w:val="es-MX" w:eastAsia="ja-JP"/>
        </w:rPr>
        <w:t xml:space="preserve"> en la sentencia de primera instancia.</w:t>
      </w:r>
      <w:r w:rsidR="0082502C">
        <w:rPr>
          <w:sz w:val="24"/>
          <w:szCs w:val="24"/>
          <w:lang w:val="es-MX" w:eastAsia="ja-JP"/>
        </w:rPr>
        <w:t xml:space="preserve"> </w:t>
      </w:r>
    </w:p>
    <w:p w14:paraId="2E08BEB7" w14:textId="77777777" w:rsidR="0043263E" w:rsidRDefault="0043263E" w:rsidP="005C5460">
      <w:pPr>
        <w:autoSpaceDE w:val="0"/>
        <w:autoSpaceDN w:val="0"/>
        <w:adjustRightInd w:val="0"/>
        <w:rPr>
          <w:sz w:val="24"/>
          <w:szCs w:val="24"/>
          <w:lang w:val="es-MX" w:eastAsia="ja-JP"/>
        </w:rPr>
      </w:pPr>
    </w:p>
    <w:p w14:paraId="1FEF777D" w14:textId="0073BC4A" w:rsidR="001D0B97" w:rsidRDefault="0043263E" w:rsidP="005C5460">
      <w:pPr>
        <w:autoSpaceDE w:val="0"/>
        <w:autoSpaceDN w:val="0"/>
        <w:adjustRightInd w:val="0"/>
        <w:rPr>
          <w:sz w:val="24"/>
          <w:szCs w:val="24"/>
          <w:lang w:val="es-MX" w:eastAsia="ja-JP"/>
        </w:rPr>
      </w:pPr>
      <w:r>
        <w:rPr>
          <w:sz w:val="24"/>
          <w:szCs w:val="24"/>
          <w:lang w:val="es-MX" w:eastAsia="ja-JP"/>
        </w:rPr>
        <w:t>Finalmente, consideró</w:t>
      </w:r>
      <w:r w:rsidR="0082502C">
        <w:rPr>
          <w:sz w:val="24"/>
          <w:szCs w:val="24"/>
          <w:lang w:val="es-MX" w:eastAsia="ja-JP"/>
        </w:rPr>
        <w:t xml:space="preserve">, </w:t>
      </w:r>
      <w:r>
        <w:rPr>
          <w:sz w:val="24"/>
          <w:szCs w:val="24"/>
          <w:lang w:val="es-MX" w:eastAsia="ja-JP"/>
        </w:rPr>
        <w:t xml:space="preserve">entre otros </w:t>
      </w:r>
      <w:r w:rsidR="00A249E7">
        <w:rPr>
          <w:sz w:val="24"/>
          <w:szCs w:val="24"/>
          <w:lang w:val="es-MX" w:eastAsia="ja-JP"/>
        </w:rPr>
        <w:t>temas</w:t>
      </w:r>
      <w:r>
        <w:rPr>
          <w:sz w:val="24"/>
          <w:szCs w:val="24"/>
          <w:lang w:val="es-MX" w:eastAsia="ja-JP"/>
        </w:rPr>
        <w:t xml:space="preserve">, que </w:t>
      </w:r>
      <w:r w:rsidR="0082502C">
        <w:rPr>
          <w:sz w:val="24"/>
          <w:szCs w:val="24"/>
          <w:lang w:val="es-MX" w:eastAsia="ja-JP"/>
        </w:rPr>
        <w:t>el Juzgado Octavo Administrativo de Barranquilla debía obedecer a su superior y no pronunciarse sobre la idoneidad de la entidad de educación superior que apoyó en el proceso de selección</w:t>
      </w:r>
      <w:r>
        <w:rPr>
          <w:sz w:val="24"/>
          <w:szCs w:val="24"/>
          <w:lang w:val="es-MX" w:eastAsia="ja-JP"/>
        </w:rPr>
        <w:t xml:space="preserve">, no obstante, no lo hizo y no explicó las razones de su decisión. </w:t>
      </w:r>
    </w:p>
    <w:p w14:paraId="4973D7AD" w14:textId="7C25E162" w:rsidR="0082502C" w:rsidRDefault="0082502C" w:rsidP="005C5460">
      <w:pPr>
        <w:autoSpaceDE w:val="0"/>
        <w:autoSpaceDN w:val="0"/>
        <w:adjustRightInd w:val="0"/>
        <w:rPr>
          <w:sz w:val="24"/>
          <w:szCs w:val="24"/>
          <w:lang w:val="es-MX" w:eastAsia="ja-JP"/>
        </w:rPr>
      </w:pPr>
    </w:p>
    <w:p w14:paraId="54446F20" w14:textId="19C524D4" w:rsidR="0082502C" w:rsidRDefault="0043263E" w:rsidP="005C5460">
      <w:pPr>
        <w:autoSpaceDE w:val="0"/>
        <w:autoSpaceDN w:val="0"/>
        <w:adjustRightInd w:val="0"/>
        <w:rPr>
          <w:sz w:val="24"/>
          <w:szCs w:val="24"/>
          <w:lang w:val="es-MX" w:eastAsia="ja-JP"/>
        </w:rPr>
      </w:pPr>
      <w:r>
        <w:rPr>
          <w:sz w:val="24"/>
          <w:szCs w:val="24"/>
          <w:lang w:val="es-MX" w:eastAsia="ja-JP"/>
        </w:rPr>
        <w:t>1.2.9. Sobre este punto, la S</w:t>
      </w:r>
      <w:r w:rsidR="00D13C6B">
        <w:rPr>
          <w:sz w:val="24"/>
          <w:szCs w:val="24"/>
          <w:lang w:val="es-MX" w:eastAsia="ja-JP"/>
        </w:rPr>
        <w:t>ección</w:t>
      </w:r>
      <w:r>
        <w:rPr>
          <w:sz w:val="24"/>
          <w:szCs w:val="24"/>
          <w:lang w:val="es-MX" w:eastAsia="ja-JP"/>
        </w:rPr>
        <w:t xml:space="preserve"> C del Tribunal Administrativo del Atlántico profirió auto, </w:t>
      </w:r>
      <w:r w:rsidRPr="0043263E">
        <w:rPr>
          <w:b/>
          <w:bCs/>
          <w:sz w:val="24"/>
          <w:szCs w:val="24"/>
          <w:lang w:val="es-MX" w:eastAsia="ja-JP"/>
        </w:rPr>
        <w:t>el 5 de mayo de 2020</w:t>
      </w:r>
      <w:r w:rsidR="00AD0C8F" w:rsidRPr="00541EA7">
        <w:rPr>
          <w:rStyle w:val="Refdenotaalpie"/>
          <w:sz w:val="24"/>
          <w:szCs w:val="24"/>
          <w:lang w:val="es-MX" w:eastAsia="ja-JP"/>
        </w:rPr>
        <w:footnoteReference w:id="17"/>
      </w:r>
      <w:r>
        <w:rPr>
          <w:sz w:val="24"/>
          <w:szCs w:val="24"/>
          <w:lang w:val="es-MX" w:eastAsia="ja-JP"/>
        </w:rPr>
        <w:t>, en el que indicó que negó la solicitud de aclaración de sentencia, por</w:t>
      </w:r>
      <w:r w:rsidR="004B0740">
        <w:rPr>
          <w:sz w:val="24"/>
          <w:szCs w:val="24"/>
          <w:lang w:val="es-MX" w:eastAsia="ja-JP"/>
        </w:rPr>
        <w:t>que</w:t>
      </w:r>
      <w:r>
        <w:rPr>
          <w:sz w:val="24"/>
          <w:szCs w:val="24"/>
          <w:lang w:val="es-MX" w:eastAsia="ja-JP"/>
        </w:rPr>
        <w:t xml:space="preserve">: “[…] </w:t>
      </w:r>
      <w:r w:rsidRPr="0043263E">
        <w:rPr>
          <w:sz w:val="24"/>
          <w:szCs w:val="24"/>
          <w:lang w:val="es-MX" w:eastAsia="ja-JP"/>
        </w:rPr>
        <w:t>los reproches expuestos por el accionado en la solicitud objeto de estudio escapan de la órbita de la figura procesal previamente referida, pues, sus cuestionamientos sin hesitación alguna atacan los argumentos que motivaron las decisiones proferidas dentro de la litis en cuestión, por tanto, no puede convertirse la aclaración en una instancia más de las que el legislador ha establecido para ello, lo que desnaturaliza el fin perseguido por dicha institución jurídica, como quiera, que el demandado pretende profundizar en puntos que atacan el fondo del asunto</w:t>
      </w:r>
      <w:r>
        <w:rPr>
          <w:sz w:val="24"/>
          <w:szCs w:val="24"/>
          <w:lang w:val="es-MX" w:eastAsia="ja-JP"/>
        </w:rPr>
        <w:t xml:space="preserve">”. </w:t>
      </w:r>
    </w:p>
    <w:p w14:paraId="575AF0DB" w14:textId="77777777" w:rsidR="005C5460" w:rsidRPr="00AD0C8F" w:rsidRDefault="005C5460" w:rsidP="005C5460">
      <w:pPr>
        <w:autoSpaceDE w:val="0"/>
        <w:autoSpaceDN w:val="0"/>
        <w:adjustRightInd w:val="0"/>
        <w:rPr>
          <w:sz w:val="20"/>
          <w:szCs w:val="20"/>
          <w:lang w:val="es-MX" w:eastAsia="ja-JP"/>
        </w:rPr>
      </w:pPr>
    </w:p>
    <w:p w14:paraId="13FA8345" w14:textId="77777777" w:rsidR="00811793" w:rsidRPr="002D7F44" w:rsidRDefault="00811793" w:rsidP="00811793">
      <w:pPr>
        <w:overflowPunct w:val="0"/>
        <w:autoSpaceDE w:val="0"/>
        <w:autoSpaceDN w:val="0"/>
        <w:adjustRightInd w:val="0"/>
        <w:contextualSpacing/>
        <w:rPr>
          <w:rFonts w:eastAsia="Times New Roman"/>
          <w:b/>
          <w:sz w:val="24"/>
          <w:szCs w:val="24"/>
          <w:lang w:eastAsia="es-ES"/>
        </w:rPr>
      </w:pPr>
      <w:r w:rsidRPr="002D7F44">
        <w:rPr>
          <w:rFonts w:eastAsia="Times New Roman"/>
          <w:b/>
          <w:sz w:val="24"/>
          <w:szCs w:val="24"/>
          <w:lang w:eastAsia="es-ES"/>
        </w:rPr>
        <w:t>1.3. Pretensiones de la tutela</w:t>
      </w:r>
    </w:p>
    <w:p w14:paraId="0C8ABB3F" w14:textId="77777777" w:rsidR="00811793" w:rsidRPr="00AD0C8F" w:rsidRDefault="00811793" w:rsidP="00811793">
      <w:pPr>
        <w:overflowPunct w:val="0"/>
        <w:autoSpaceDE w:val="0"/>
        <w:autoSpaceDN w:val="0"/>
        <w:adjustRightInd w:val="0"/>
        <w:contextualSpacing/>
        <w:rPr>
          <w:rFonts w:eastAsia="Times New Roman"/>
          <w:sz w:val="20"/>
          <w:szCs w:val="20"/>
          <w:lang w:eastAsia="es-ES"/>
        </w:rPr>
      </w:pPr>
    </w:p>
    <w:p w14:paraId="56DC2957" w14:textId="4B97CFA3" w:rsidR="00F52E7A" w:rsidRDefault="0063591D" w:rsidP="00700115">
      <w:pPr>
        <w:autoSpaceDE w:val="0"/>
        <w:autoSpaceDN w:val="0"/>
        <w:adjustRightInd w:val="0"/>
        <w:spacing w:after="240"/>
        <w:rPr>
          <w:rFonts w:eastAsia="Times New Roman"/>
          <w:sz w:val="24"/>
          <w:szCs w:val="24"/>
          <w:lang w:eastAsia="es-ES"/>
        </w:rPr>
      </w:pPr>
      <w:r>
        <w:rPr>
          <w:bCs/>
          <w:sz w:val="24"/>
          <w:szCs w:val="24"/>
        </w:rPr>
        <w:t xml:space="preserve">Evaristo Arteta </w:t>
      </w:r>
      <w:r w:rsidR="00122E7B">
        <w:rPr>
          <w:bCs/>
          <w:sz w:val="24"/>
          <w:szCs w:val="24"/>
        </w:rPr>
        <w:t>Castro</w:t>
      </w:r>
      <w:r w:rsidR="00F52E7A">
        <w:rPr>
          <w:bCs/>
          <w:sz w:val="24"/>
          <w:szCs w:val="24"/>
        </w:rPr>
        <w:t xml:space="preserve"> </w:t>
      </w:r>
      <w:r w:rsidR="00811793" w:rsidRPr="002D7F44">
        <w:rPr>
          <w:rFonts w:eastAsia="Times New Roman"/>
          <w:sz w:val="24"/>
          <w:szCs w:val="24"/>
          <w:lang w:eastAsia="es-ES"/>
        </w:rPr>
        <w:t>present</w:t>
      </w:r>
      <w:r w:rsidR="00F37DA2">
        <w:rPr>
          <w:rFonts w:eastAsia="Times New Roman"/>
          <w:sz w:val="24"/>
          <w:szCs w:val="24"/>
          <w:lang w:eastAsia="es-ES"/>
        </w:rPr>
        <w:t>ó escrito de</w:t>
      </w:r>
      <w:r w:rsidR="00811793" w:rsidRPr="002D7F44">
        <w:rPr>
          <w:rFonts w:eastAsia="Times New Roman"/>
          <w:sz w:val="24"/>
          <w:szCs w:val="24"/>
          <w:lang w:eastAsia="es-ES"/>
        </w:rPr>
        <w:t xml:space="preserve"> tutela en </w:t>
      </w:r>
      <w:r w:rsidR="000B1493">
        <w:rPr>
          <w:rFonts w:eastAsia="Times New Roman"/>
          <w:sz w:val="24"/>
          <w:szCs w:val="24"/>
          <w:lang w:eastAsia="es-ES"/>
        </w:rPr>
        <w:t>el</w:t>
      </w:r>
      <w:r w:rsidR="00811793" w:rsidRPr="002D7F44">
        <w:rPr>
          <w:rFonts w:eastAsia="Times New Roman"/>
          <w:sz w:val="24"/>
          <w:szCs w:val="24"/>
          <w:lang w:eastAsia="es-ES"/>
        </w:rPr>
        <w:t xml:space="preserve"> que pidi</w:t>
      </w:r>
      <w:r w:rsidR="00F37DA2">
        <w:rPr>
          <w:rFonts w:eastAsia="Times New Roman"/>
          <w:sz w:val="24"/>
          <w:szCs w:val="24"/>
          <w:lang w:eastAsia="es-ES"/>
        </w:rPr>
        <w:t>ó</w:t>
      </w:r>
      <w:r w:rsidR="00811793" w:rsidRPr="002D7F44">
        <w:rPr>
          <w:rFonts w:eastAsia="Times New Roman"/>
          <w:sz w:val="24"/>
          <w:szCs w:val="24"/>
          <w:lang w:eastAsia="es-ES"/>
        </w:rPr>
        <w:t xml:space="preserve"> al juez constitucional </w:t>
      </w:r>
      <w:r w:rsidR="00F37DA2">
        <w:rPr>
          <w:rFonts w:eastAsia="Times New Roman"/>
          <w:sz w:val="24"/>
          <w:szCs w:val="24"/>
          <w:lang w:eastAsia="es-ES"/>
        </w:rPr>
        <w:t>que</w:t>
      </w:r>
      <w:r w:rsidR="00F52E7A">
        <w:rPr>
          <w:rFonts w:eastAsia="Times New Roman"/>
          <w:sz w:val="24"/>
          <w:szCs w:val="24"/>
          <w:lang w:eastAsia="es-ES"/>
        </w:rPr>
        <w:t xml:space="preserve"> ampare sus </w:t>
      </w:r>
      <w:r>
        <w:rPr>
          <w:sz w:val="24"/>
          <w:szCs w:val="24"/>
        </w:rPr>
        <w:t>derechos fundamentales al debido proceso, a la seguridad jurídica, al trabajo, a ser elegido, a la congruencia en las sentencias y al acceso a cargos públicos</w:t>
      </w:r>
      <w:r w:rsidR="00F52E7A">
        <w:rPr>
          <w:rFonts w:eastAsia="Times New Roman"/>
          <w:sz w:val="24"/>
          <w:szCs w:val="24"/>
          <w:lang w:eastAsia="es-ES"/>
        </w:rPr>
        <w:t xml:space="preserve">; </w:t>
      </w:r>
      <w:r>
        <w:rPr>
          <w:rFonts w:eastAsia="Times New Roman"/>
          <w:sz w:val="24"/>
          <w:szCs w:val="24"/>
          <w:lang w:eastAsia="es-ES"/>
        </w:rPr>
        <w:t>que deje sin efecto las sentencias del 11 de mayo de 2021 y del 3 de marzo de 2022</w:t>
      </w:r>
      <w:r w:rsidR="004E066B">
        <w:rPr>
          <w:rFonts w:eastAsia="Times New Roman"/>
          <w:sz w:val="24"/>
          <w:szCs w:val="24"/>
          <w:lang w:eastAsia="es-ES"/>
        </w:rPr>
        <w:t xml:space="preserve"> proferidas dentro del proceso de nulidad electoral con radicado núm. </w:t>
      </w:r>
      <w:r w:rsidR="004E066B">
        <w:rPr>
          <w:sz w:val="24"/>
          <w:szCs w:val="24"/>
        </w:rPr>
        <w:t xml:space="preserve">08-00133-33-008-2020-00059-01; y, en consecuencia, que ordene al Tribunal Administrativo del Atlántico que dicte </w:t>
      </w:r>
      <w:r w:rsidR="00A57A00">
        <w:rPr>
          <w:sz w:val="24"/>
          <w:szCs w:val="24"/>
        </w:rPr>
        <w:t>otro fallo</w:t>
      </w:r>
      <w:r w:rsidR="004E066B">
        <w:rPr>
          <w:sz w:val="24"/>
          <w:szCs w:val="24"/>
        </w:rPr>
        <w:t xml:space="preserve"> en la que declare la excepción de ineptitud de la demanda formulada por la Procuraduría General de la Nación.</w:t>
      </w:r>
    </w:p>
    <w:p w14:paraId="77E770DC" w14:textId="77777777" w:rsidR="00811793" w:rsidRPr="002D7F44" w:rsidRDefault="00811793" w:rsidP="00700115">
      <w:pPr>
        <w:overflowPunct w:val="0"/>
        <w:autoSpaceDE w:val="0"/>
        <w:autoSpaceDN w:val="0"/>
        <w:adjustRightInd w:val="0"/>
        <w:spacing w:before="240"/>
        <w:contextualSpacing/>
        <w:rPr>
          <w:rFonts w:eastAsia="Times New Roman"/>
          <w:b/>
          <w:sz w:val="24"/>
          <w:szCs w:val="24"/>
          <w:lang w:eastAsia="es-ES"/>
        </w:rPr>
      </w:pPr>
      <w:r w:rsidRPr="002D7F44">
        <w:rPr>
          <w:rFonts w:eastAsia="Times New Roman"/>
          <w:b/>
          <w:sz w:val="24"/>
          <w:szCs w:val="24"/>
          <w:lang w:eastAsia="es-ES"/>
        </w:rPr>
        <w:t>1.4. Argumentos de la solicitud de tutela</w:t>
      </w:r>
    </w:p>
    <w:p w14:paraId="04255FC7" w14:textId="77777777" w:rsidR="00AD0C8F" w:rsidRPr="00AD0C8F" w:rsidRDefault="00AD0C8F" w:rsidP="00811793">
      <w:pPr>
        <w:overflowPunct w:val="0"/>
        <w:autoSpaceDE w:val="0"/>
        <w:autoSpaceDN w:val="0"/>
        <w:adjustRightInd w:val="0"/>
        <w:contextualSpacing/>
        <w:rPr>
          <w:sz w:val="20"/>
          <w:szCs w:val="20"/>
          <w:lang w:val="es-MX" w:eastAsia="ja-JP"/>
        </w:rPr>
      </w:pPr>
    </w:p>
    <w:p w14:paraId="413E44B8" w14:textId="3355F85A" w:rsidR="00CF1EC5" w:rsidRDefault="00D33B78" w:rsidP="00811793">
      <w:pPr>
        <w:overflowPunct w:val="0"/>
        <w:autoSpaceDE w:val="0"/>
        <w:autoSpaceDN w:val="0"/>
        <w:adjustRightInd w:val="0"/>
        <w:contextualSpacing/>
        <w:rPr>
          <w:rFonts w:eastAsia="Times New Roman"/>
          <w:sz w:val="24"/>
          <w:szCs w:val="24"/>
          <w:lang w:eastAsia="es-ES"/>
        </w:rPr>
      </w:pPr>
      <w:r>
        <w:rPr>
          <w:sz w:val="24"/>
          <w:szCs w:val="24"/>
          <w:lang w:val="es-MX" w:eastAsia="ja-JP"/>
        </w:rPr>
        <w:t>La parte accionante</w:t>
      </w:r>
      <w:r w:rsidR="00811793" w:rsidRPr="002D7F44">
        <w:rPr>
          <w:rFonts w:eastAsia="Times New Roman"/>
          <w:sz w:val="24"/>
          <w:szCs w:val="24"/>
          <w:lang w:eastAsia="es-ES"/>
        </w:rPr>
        <w:t xml:space="preserve"> </w:t>
      </w:r>
      <w:r w:rsidR="00CF1EC5">
        <w:rPr>
          <w:rFonts w:eastAsia="Times New Roman"/>
          <w:sz w:val="24"/>
          <w:szCs w:val="24"/>
          <w:lang w:eastAsia="es-ES"/>
        </w:rPr>
        <w:t>radicó escrito de tutela en el que transcribió</w:t>
      </w:r>
      <w:r w:rsidR="00244384">
        <w:rPr>
          <w:rFonts w:eastAsia="Times New Roman"/>
          <w:sz w:val="24"/>
          <w:szCs w:val="24"/>
          <w:lang w:eastAsia="es-ES"/>
        </w:rPr>
        <w:t>,</w:t>
      </w:r>
      <w:r w:rsidR="00CF1EC5">
        <w:rPr>
          <w:rFonts w:eastAsia="Times New Roman"/>
          <w:sz w:val="24"/>
          <w:szCs w:val="24"/>
          <w:lang w:eastAsia="es-ES"/>
        </w:rPr>
        <w:t xml:space="preserve"> de forma literal</w:t>
      </w:r>
      <w:r w:rsidR="00244384">
        <w:rPr>
          <w:rFonts w:eastAsia="Times New Roman"/>
          <w:sz w:val="24"/>
          <w:szCs w:val="24"/>
          <w:lang w:eastAsia="es-ES"/>
        </w:rPr>
        <w:t>,</w:t>
      </w:r>
      <w:r w:rsidR="00CF1EC5">
        <w:rPr>
          <w:rFonts w:eastAsia="Times New Roman"/>
          <w:sz w:val="24"/>
          <w:szCs w:val="24"/>
          <w:lang w:eastAsia="es-ES"/>
        </w:rPr>
        <w:t xml:space="preserve"> los argumentos que, al interior del proceso de nulidad electoral, presentó en la solicitud  </w:t>
      </w:r>
      <w:r w:rsidR="00CF1EC5">
        <w:rPr>
          <w:rFonts w:eastAsia="Times New Roman"/>
          <w:sz w:val="24"/>
          <w:szCs w:val="24"/>
          <w:lang w:eastAsia="es-ES"/>
        </w:rPr>
        <w:lastRenderedPageBreak/>
        <w:t>de aclaración de la sentencia del 3 de marzo de 2022.</w:t>
      </w:r>
      <w:r w:rsidR="00A57A00">
        <w:rPr>
          <w:rFonts w:eastAsia="Times New Roman"/>
          <w:sz w:val="24"/>
          <w:szCs w:val="24"/>
          <w:lang w:eastAsia="es-ES"/>
        </w:rPr>
        <w:t xml:space="preserve"> </w:t>
      </w:r>
      <w:r w:rsidR="000B18F5">
        <w:rPr>
          <w:rFonts w:eastAsia="Times New Roman"/>
          <w:sz w:val="24"/>
          <w:szCs w:val="24"/>
          <w:lang w:eastAsia="es-ES"/>
        </w:rPr>
        <w:t>Así, reiter</w:t>
      </w:r>
      <w:r w:rsidR="00244384">
        <w:rPr>
          <w:rFonts w:eastAsia="Times New Roman"/>
          <w:sz w:val="24"/>
          <w:szCs w:val="24"/>
          <w:lang w:eastAsia="es-ES"/>
        </w:rPr>
        <w:t>ó</w:t>
      </w:r>
      <w:r w:rsidR="000B18F5">
        <w:rPr>
          <w:rFonts w:eastAsia="Times New Roman"/>
          <w:sz w:val="24"/>
          <w:szCs w:val="24"/>
          <w:lang w:eastAsia="es-ES"/>
        </w:rPr>
        <w:t xml:space="preserve"> que los jueces accionados omitieron resolver sobre la excepción de ineptitud sustantiva de la demanda, </w:t>
      </w:r>
      <w:r w:rsidR="00244384">
        <w:rPr>
          <w:rFonts w:eastAsia="Times New Roman"/>
          <w:sz w:val="24"/>
          <w:szCs w:val="24"/>
          <w:lang w:eastAsia="es-ES"/>
        </w:rPr>
        <w:t xml:space="preserve">y </w:t>
      </w:r>
      <w:r w:rsidR="000B18F5">
        <w:rPr>
          <w:rFonts w:eastAsia="Times New Roman"/>
          <w:sz w:val="24"/>
          <w:szCs w:val="24"/>
          <w:lang w:eastAsia="es-ES"/>
        </w:rPr>
        <w:t>que el Tribunal Administrativo del Atlántico denominó acto administrativo de trámite a la Resolución 001 de 2019</w:t>
      </w:r>
      <w:r w:rsidR="00244384">
        <w:rPr>
          <w:rFonts w:eastAsia="Times New Roman"/>
          <w:sz w:val="24"/>
          <w:szCs w:val="24"/>
          <w:lang w:eastAsia="es-ES"/>
        </w:rPr>
        <w:t xml:space="preserve"> </w:t>
      </w:r>
      <w:r w:rsidR="000B18F5">
        <w:rPr>
          <w:rFonts w:eastAsia="Times New Roman"/>
          <w:sz w:val="24"/>
          <w:szCs w:val="24"/>
          <w:lang w:eastAsia="es-ES"/>
        </w:rPr>
        <w:t>contrariando el precedente jurisprudencial del Consejo de Estado</w:t>
      </w:r>
      <w:r w:rsidR="00A57A00">
        <w:rPr>
          <w:rFonts w:eastAsia="Times New Roman"/>
          <w:sz w:val="24"/>
          <w:szCs w:val="24"/>
          <w:lang w:eastAsia="es-ES"/>
        </w:rPr>
        <w:t xml:space="preserve"> que</w:t>
      </w:r>
      <w:r w:rsidR="000B18F5">
        <w:rPr>
          <w:rFonts w:eastAsia="Times New Roman"/>
          <w:sz w:val="24"/>
          <w:szCs w:val="24"/>
          <w:lang w:eastAsia="es-ES"/>
        </w:rPr>
        <w:t xml:space="preserve"> definió</w:t>
      </w:r>
      <w:r w:rsidR="000A3E61">
        <w:rPr>
          <w:rFonts w:eastAsia="Times New Roman"/>
          <w:sz w:val="24"/>
          <w:szCs w:val="24"/>
          <w:lang w:eastAsia="es-ES"/>
        </w:rPr>
        <w:t xml:space="preserve"> en la sentencia del 8 de marzo de 2012,</w:t>
      </w:r>
      <w:r w:rsidR="000B18F5">
        <w:rPr>
          <w:rFonts w:eastAsia="Times New Roman"/>
          <w:sz w:val="24"/>
          <w:szCs w:val="24"/>
          <w:lang w:eastAsia="es-ES"/>
        </w:rPr>
        <w:t xml:space="preserve"> </w:t>
      </w:r>
      <w:r w:rsidR="00A57A00">
        <w:rPr>
          <w:rFonts w:eastAsia="Times New Roman"/>
          <w:sz w:val="24"/>
          <w:szCs w:val="24"/>
          <w:lang w:eastAsia="es-ES"/>
        </w:rPr>
        <w:t xml:space="preserve">que </w:t>
      </w:r>
      <w:r w:rsidR="000B18F5">
        <w:rPr>
          <w:rFonts w:eastAsia="Times New Roman"/>
          <w:sz w:val="24"/>
          <w:szCs w:val="24"/>
          <w:lang w:eastAsia="es-ES"/>
        </w:rPr>
        <w:t xml:space="preserve">la convocatoria a concurso de méritos </w:t>
      </w:r>
      <w:r w:rsidR="00A57A00">
        <w:rPr>
          <w:rFonts w:eastAsia="Times New Roman"/>
          <w:sz w:val="24"/>
          <w:szCs w:val="24"/>
          <w:lang w:eastAsia="es-ES"/>
        </w:rPr>
        <w:t>era</w:t>
      </w:r>
      <w:r w:rsidR="000B18F5">
        <w:rPr>
          <w:rFonts w:eastAsia="Times New Roman"/>
          <w:sz w:val="24"/>
          <w:szCs w:val="24"/>
          <w:lang w:eastAsia="es-ES"/>
        </w:rPr>
        <w:t xml:space="preserve"> susceptible de control judicial.</w:t>
      </w:r>
    </w:p>
    <w:p w14:paraId="06B9EE19" w14:textId="6E4583A4" w:rsidR="0074558F" w:rsidRDefault="0074558F" w:rsidP="00811793">
      <w:pPr>
        <w:overflowPunct w:val="0"/>
        <w:autoSpaceDE w:val="0"/>
        <w:autoSpaceDN w:val="0"/>
        <w:adjustRightInd w:val="0"/>
        <w:contextualSpacing/>
        <w:rPr>
          <w:rFonts w:eastAsia="Times New Roman"/>
          <w:sz w:val="24"/>
          <w:szCs w:val="24"/>
          <w:lang w:eastAsia="es-ES"/>
        </w:rPr>
      </w:pPr>
    </w:p>
    <w:p w14:paraId="19A488B4" w14:textId="3DD21792" w:rsidR="000E15BA" w:rsidRDefault="00244384" w:rsidP="00811793">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Sostuvo que</w:t>
      </w:r>
      <w:r w:rsidR="000E15BA">
        <w:rPr>
          <w:rFonts w:eastAsia="Times New Roman"/>
          <w:sz w:val="24"/>
          <w:szCs w:val="24"/>
          <w:lang w:eastAsia="es-ES"/>
        </w:rPr>
        <w:t xml:space="preserve"> todos los cargos de la demanda de nulidad electoral</w:t>
      </w:r>
      <w:r w:rsidR="00184D70">
        <w:rPr>
          <w:rFonts w:eastAsia="Times New Roman"/>
          <w:sz w:val="24"/>
          <w:szCs w:val="24"/>
          <w:lang w:eastAsia="es-ES"/>
        </w:rPr>
        <w:t xml:space="preserve"> fueron desestimados en su totalidad</w:t>
      </w:r>
      <w:r w:rsidR="000E15BA">
        <w:rPr>
          <w:rFonts w:eastAsia="Times New Roman"/>
          <w:sz w:val="24"/>
          <w:szCs w:val="24"/>
          <w:lang w:eastAsia="es-ES"/>
        </w:rPr>
        <w:t xml:space="preserve">, </w:t>
      </w:r>
      <w:r>
        <w:rPr>
          <w:rFonts w:eastAsia="Times New Roman"/>
          <w:sz w:val="24"/>
          <w:szCs w:val="24"/>
          <w:lang w:eastAsia="es-ES"/>
        </w:rPr>
        <w:t>al tener en cuenta</w:t>
      </w:r>
      <w:r w:rsidR="000E15BA">
        <w:rPr>
          <w:rFonts w:eastAsia="Times New Roman"/>
          <w:sz w:val="24"/>
          <w:szCs w:val="24"/>
          <w:lang w:eastAsia="es-ES"/>
        </w:rPr>
        <w:t xml:space="preserve"> que: i) de acuerdo a lo previsto en</w:t>
      </w:r>
      <w:r>
        <w:rPr>
          <w:rFonts w:eastAsia="Times New Roman"/>
          <w:sz w:val="24"/>
          <w:szCs w:val="24"/>
          <w:lang w:eastAsia="es-ES"/>
        </w:rPr>
        <w:t xml:space="preserve"> el auto del 26 de noviembre de 2020</w:t>
      </w:r>
      <w:r w:rsidR="000E15BA">
        <w:rPr>
          <w:rFonts w:eastAsia="Times New Roman"/>
          <w:sz w:val="24"/>
          <w:szCs w:val="24"/>
          <w:lang w:eastAsia="es-ES"/>
        </w:rPr>
        <w:t xml:space="preserve">, </w:t>
      </w:r>
      <w:r w:rsidR="008F4DD2">
        <w:rPr>
          <w:rFonts w:eastAsia="Times New Roman"/>
          <w:sz w:val="24"/>
          <w:szCs w:val="24"/>
          <w:lang w:eastAsia="es-ES"/>
        </w:rPr>
        <w:t xml:space="preserve">estipular </w:t>
      </w:r>
      <w:r w:rsidR="000E15BA">
        <w:rPr>
          <w:rFonts w:eastAsia="Times New Roman"/>
          <w:sz w:val="24"/>
          <w:szCs w:val="24"/>
          <w:lang w:eastAsia="es-ES"/>
        </w:rPr>
        <w:t xml:space="preserve">el término para la inscripción de candidatos </w:t>
      </w:r>
      <w:r w:rsidR="008F4DD2">
        <w:rPr>
          <w:rFonts w:eastAsia="Times New Roman"/>
          <w:sz w:val="24"/>
          <w:szCs w:val="24"/>
          <w:lang w:eastAsia="es-ES"/>
        </w:rPr>
        <w:t>en el concurso y realizar el proceso de selección a través de una universidad, hace parte de las facultades y la autonomía de los Concejos municipales; y, ii) conforme a la sentencia del 3 de marzo de 2022</w:t>
      </w:r>
      <w:r w:rsidR="000A3E61">
        <w:rPr>
          <w:rFonts w:eastAsia="Times New Roman"/>
          <w:sz w:val="24"/>
          <w:szCs w:val="24"/>
          <w:lang w:eastAsia="es-ES"/>
        </w:rPr>
        <w:t xml:space="preserve">, no era obligación de la mencionada Corporación pública prever los medios electrónicos en la convocatoria. </w:t>
      </w:r>
    </w:p>
    <w:p w14:paraId="7E8E9511" w14:textId="77777777" w:rsidR="0074558F" w:rsidRDefault="0074558F" w:rsidP="00811793">
      <w:pPr>
        <w:overflowPunct w:val="0"/>
        <w:autoSpaceDE w:val="0"/>
        <w:autoSpaceDN w:val="0"/>
        <w:adjustRightInd w:val="0"/>
        <w:contextualSpacing/>
        <w:rPr>
          <w:rFonts w:eastAsia="Times New Roman"/>
          <w:sz w:val="24"/>
          <w:szCs w:val="24"/>
          <w:lang w:eastAsia="es-ES"/>
        </w:rPr>
      </w:pPr>
    </w:p>
    <w:p w14:paraId="7367A407" w14:textId="424EBDE0" w:rsidR="000B18F5" w:rsidRDefault="00184D70" w:rsidP="00811793">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 xml:space="preserve">Finalmente, </w:t>
      </w:r>
      <w:r w:rsidR="00D97C3B">
        <w:rPr>
          <w:rFonts w:eastAsia="Times New Roman"/>
          <w:sz w:val="24"/>
          <w:szCs w:val="24"/>
          <w:lang w:eastAsia="es-ES"/>
        </w:rPr>
        <w:t xml:space="preserve">afirmó que </w:t>
      </w:r>
      <w:r w:rsidR="00DA0FED">
        <w:rPr>
          <w:rFonts w:eastAsia="Times New Roman"/>
          <w:sz w:val="24"/>
          <w:szCs w:val="24"/>
          <w:lang w:eastAsia="es-ES"/>
        </w:rPr>
        <w:t>había</w:t>
      </w:r>
      <w:r w:rsidR="0013019F" w:rsidRPr="0013019F">
        <w:rPr>
          <w:rFonts w:eastAsia="Times New Roman"/>
          <w:sz w:val="24"/>
          <w:szCs w:val="24"/>
          <w:lang w:eastAsia="es-ES"/>
        </w:rPr>
        <w:t xml:space="preserve"> </w:t>
      </w:r>
      <w:r w:rsidR="00DA0FED">
        <w:rPr>
          <w:rFonts w:eastAsia="Times New Roman"/>
          <w:sz w:val="24"/>
          <w:szCs w:val="24"/>
          <w:lang w:eastAsia="es-ES"/>
        </w:rPr>
        <w:t xml:space="preserve">incongruencia interna y externa, </w:t>
      </w:r>
      <w:r w:rsidR="006011A8">
        <w:rPr>
          <w:rFonts w:eastAsia="Times New Roman"/>
          <w:sz w:val="24"/>
          <w:szCs w:val="24"/>
          <w:lang w:eastAsia="es-ES"/>
        </w:rPr>
        <w:t xml:space="preserve">entre </w:t>
      </w:r>
      <w:r w:rsidR="0013019F">
        <w:rPr>
          <w:rFonts w:eastAsia="Times New Roman"/>
          <w:sz w:val="24"/>
          <w:szCs w:val="24"/>
          <w:lang w:eastAsia="es-ES"/>
        </w:rPr>
        <w:t>la sentencia del 11 de mayo de 2021 proferida por el Juzgado Octavo Administrativo de Barranquilla y del 3 de marzo de 2022</w:t>
      </w:r>
      <w:r w:rsidR="00287120">
        <w:rPr>
          <w:rFonts w:eastAsia="Times New Roman"/>
          <w:sz w:val="24"/>
          <w:szCs w:val="24"/>
          <w:lang w:eastAsia="es-ES"/>
        </w:rPr>
        <w:t xml:space="preserve"> emitida por el Tribunal Administrativo del Atlántico, con lo decidido en el auto del 26 de noviembre de 2020 que revocó la medida de suspensión provisional</w:t>
      </w:r>
      <w:r w:rsidR="00171E8E">
        <w:rPr>
          <w:rFonts w:eastAsia="Times New Roman"/>
          <w:sz w:val="24"/>
          <w:szCs w:val="24"/>
          <w:lang w:eastAsia="es-ES"/>
        </w:rPr>
        <w:t>, porque</w:t>
      </w:r>
      <w:r w:rsidR="008D588F">
        <w:rPr>
          <w:rFonts w:eastAsia="Times New Roman"/>
          <w:sz w:val="24"/>
          <w:szCs w:val="24"/>
          <w:lang w:eastAsia="es-ES"/>
        </w:rPr>
        <w:t xml:space="preserve"> dichas providencias</w:t>
      </w:r>
      <w:r w:rsidR="00171E8E">
        <w:rPr>
          <w:rFonts w:eastAsia="Times New Roman"/>
          <w:sz w:val="24"/>
          <w:szCs w:val="24"/>
          <w:lang w:eastAsia="es-ES"/>
        </w:rPr>
        <w:t xml:space="preserve"> revivieron los cargos zanjados en el mencionado auto, relacionados con el plazo para la inscripción de candidatos al concurso y sobre la idoneidad de la Universidad de la Costa para realizar el proceso de selección. </w:t>
      </w:r>
    </w:p>
    <w:p w14:paraId="72EB29E6" w14:textId="77777777" w:rsidR="00811793" w:rsidRPr="002D7F44" w:rsidRDefault="00811793" w:rsidP="00811793">
      <w:pPr>
        <w:overflowPunct w:val="0"/>
        <w:autoSpaceDE w:val="0"/>
        <w:autoSpaceDN w:val="0"/>
        <w:adjustRightInd w:val="0"/>
        <w:contextualSpacing/>
        <w:rPr>
          <w:sz w:val="24"/>
          <w:szCs w:val="24"/>
        </w:rPr>
      </w:pPr>
    </w:p>
    <w:p w14:paraId="42B3635A" w14:textId="77777777" w:rsidR="00811793" w:rsidRPr="002D7F44" w:rsidRDefault="00811793" w:rsidP="00811793">
      <w:pPr>
        <w:overflowPunct w:val="0"/>
        <w:autoSpaceDE w:val="0"/>
        <w:autoSpaceDN w:val="0"/>
        <w:adjustRightInd w:val="0"/>
        <w:contextualSpacing/>
        <w:rPr>
          <w:b/>
          <w:sz w:val="24"/>
          <w:szCs w:val="24"/>
        </w:rPr>
      </w:pPr>
      <w:r w:rsidRPr="002D7F44">
        <w:rPr>
          <w:b/>
          <w:sz w:val="24"/>
          <w:szCs w:val="24"/>
        </w:rPr>
        <w:t xml:space="preserve">1.5. Trámite de tutela e intervenciones </w:t>
      </w:r>
    </w:p>
    <w:p w14:paraId="76F744D7" w14:textId="77777777" w:rsidR="00811793" w:rsidRPr="002D7F44" w:rsidRDefault="00811793" w:rsidP="00811793">
      <w:pPr>
        <w:overflowPunct w:val="0"/>
        <w:autoSpaceDE w:val="0"/>
        <w:autoSpaceDN w:val="0"/>
        <w:adjustRightInd w:val="0"/>
        <w:contextualSpacing/>
        <w:rPr>
          <w:sz w:val="24"/>
          <w:szCs w:val="24"/>
        </w:rPr>
      </w:pPr>
      <w:r w:rsidRPr="002D7F44">
        <w:rPr>
          <w:sz w:val="24"/>
          <w:szCs w:val="24"/>
        </w:rPr>
        <w:t xml:space="preserve"> </w:t>
      </w:r>
    </w:p>
    <w:p w14:paraId="05949D36" w14:textId="6FE6E52B" w:rsidR="005228D3" w:rsidRDefault="00811793" w:rsidP="00811793">
      <w:pPr>
        <w:overflowPunct w:val="0"/>
        <w:autoSpaceDE w:val="0"/>
        <w:autoSpaceDN w:val="0"/>
        <w:adjustRightInd w:val="0"/>
        <w:contextualSpacing/>
        <w:rPr>
          <w:sz w:val="24"/>
          <w:szCs w:val="24"/>
        </w:rPr>
      </w:pPr>
      <w:r w:rsidRPr="00F66EF2">
        <w:rPr>
          <w:sz w:val="24"/>
          <w:szCs w:val="24"/>
          <w:lang w:val="es-MX" w:eastAsia="ja-JP"/>
        </w:rPr>
        <w:t>1.5.1.</w:t>
      </w:r>
      <w:r w:rsidRPr="002D7F44">
        <w:rPr>
          <w:sz w:val="24"/>
          <w:szCs w:val="24"/>
          <w:lang w:val="es-MX" w:eastAsia="ja-JP"/>
        </w:rPr>
        <w:t xml:space="preserve"> </w:t>
      </w:r>
      <w:r w:rsidRPr="002D7F44">
        <w:rPr>
          <w:rFonts w:eastAsia="Times New Roman"/>
          <w:bCs/>
          <w:sz w:val="24"/>
          <w:szCs w:val="24"/>
          <w:lang w:eastAsia="es-ES"/>
        </w:rPr>
        <w:t xml:space="preserve">El Despacho del magistrado ponente, con auto del </w:t>
      </w:r>
      <w:r w:rsidR="005228D3">
        <w:rPr>
          <w:rFonts w:eastAsia="Times New Roman"/>
          <w:b/>
          <w:bCs/>
          <w:sz w:val="24"/>
          <w:szCs w:val="24"/>
          <w:lang w:eastAsia="es-ES"/>
        </w:rPr>
        <w:t>1</w:t>
      </w:r>
      <w:r w:rsidR="00C163ED">
        <w:rPr>
          <w:rFonts w:eastAsia="Times New Roman"/>
          <w:b/>
          <w:bCs/>
          <w:sz w:val="24"/>
          <w:szCs w:val="24"/>
          <w:lang w:eastAsia="es-ES"/>
        </w:rPr>
        <w:t>6</w:t>
      </w:r>
      <w:r w:rsidRPr="002D7F44">
        <w:rPr>
          <w:rFonts w:eastAsia="Times New Roman"/>
          <w:b/>
          <w:bCs/>
          <w:sz w:val="24"/>
          <w:szCs w:val="24"/>
          <w:lang w:eastAsia="es-ES"/>
        </w:rPr>
        <w:t xml:space="preserve"> de </w:t>
      </w:r>
      <w:r w:rsidR="00C163ED">
        <w:rPr>
          <w:rFonts w:eastAsia="Times New Roman"/>
          <w:b/>
          <w:bCs/>
          <w:sz w:val="24"/>
          <w:szCs w:val="24"/>
          <w:lang w:eastAsia="es-ES"/>
        </w:rPr>
        <w:t xml:space="preserve">mayo </w:t>
      </w:r>
      <w:r w:rsidRPr="002D7F44">
        <w:rPr>
          <w:rFonts w:eastAsia="Times New Roman"/>
          <w:b/>
          <w:bCs/>
          <w:sz w:val="24"/>
          <w:szCs w:val="24"/>
          <w:lang w:eastAsia="es-ES"/>
        </w:rPr>
        <w:t>de 202</w:t>
      </w:r>
      <w:r w:rsidR="005228D3">
        <w:rPr>
          <w:rFonts w:eastAsia="Times New Roman"/>
          <w:b/>
          <w:bCs/>
          <w:sz w:val="24"/>
          <w:szCs w:val="24"/>
          <w:lang w:eastAsia="es-ES"/>
        </w:rPr>
        <w:t>2</w:t>
      </w:r>
      <w:r w:rsidR="00847890" w:rsidRPr="002D7F44">
        <w:rPr>
          <w:rStyle w:val="Refdenotaalpie"/>
          <w:rFonts w:eastAsia="Times New Roman"/>
          <w:bCs/>
          <w:sz w:val="24"/>
          <w:szCs w:val="24"/>
          <w:lang w:eastAsia="es-ES"/>
        </w:rPr>
        <w:footnoteReference w:id="18"/>
      </w:r>
      <w:r w:rsidRPr="002D7F44">
        <w:rPr>
          <w:rFonts w:eastAsia="Times New Roman"/>
          <w:bCs/>
          <w:sz w:val="24"/>
          <w:szCs w:val="24"/>
          <w:lang w:eastAsia="es-ES"/>
        </w:rPr>
        <w:t xml:space="preserve">, admitió la acción; </w:t>
      </w:r>
      <w:r w:rsidR="00A57A00">
        <w:rPr>
          <w:rFonts w:eastAsia="Times New Roman"/>
          <w:bCs/>
          <w:sz w:val="24"/>
          <w:szCs w:val="24"/>
          <w:lang w:eastAsia="es-ES"/>
        </w:rPr>
        <w:t xml:space="preserve">vinculó </w:t>
      </w:r>
      <w:r w:rsidR="00C163ED">
        <w:rPr>
          <w:bCs/>
          <w:sz w:val="24"/>
          <w:szCs w:val="24"/>
        </w:rPr>
        <w:t xml:space="preserve">a la Procuraduría General de la Nación, al municipio de Juan de Acosta, Atlántico, al Concejo Municipal de Juan de Acosta y a todas las personas que participaron como demandantes, demandados y vinculados en el proceso con radicado núm. </w:t>
      </w:r>
      <w:r w:rsidR="00C163ED" w:rsidRPr="000E777F">
        <w:rPr>
          <w:sz w:val="24"/>
          <w:szCs w:val="24"/>
        </w:rPr>
        <w:t>08-00133-33-008-2020-00059-01</w:t>
      </w:r>
      <w:r w:rsidR="005228D3">
        <w:rPr>
          <w:sz w:val="24"/>
          <w:szCs w:val="24"/>
        </w:rPr>
        <w:t>;</w:t>
      </w:r>
      <w:r w:rsidR="00C163ED">
        <w:rPr>
          <w:sz w:val="24"/>
          <w:szCs w:val="24"/>
        </w:rPr>
        <w:t xml:space="preserve"> ordenó notificar a los sujetos procesales</w:t>
      </w:r>
      <w:r w:rsidR="005228D3">
        <w:rPr>
          <w:sz w:val="24"/>
          <w:szCs w:val="24"/>
        </w:rPr>
        <w:t xml:space="preserve"> y suspendió </w:t>
      </w:r>
      <w:r w:rsidR="00914F6F">
        <w:rPr>
          <w:sz w:val="24"/>
          <w:szCs w:val="24"/>
        </w:rPr>
        <w:t xml:space="preserve">los términos del trámite constitucional. </w:t>
      </w:r>
    </w:p>
    <w:p w14:paraId="1F1F31C0" w14:textId="0AC44482" w:rsidR="00914F6F" w:rsidRDefault="00914F6F" w:rsidP="00811793">
      <w:pPr>
        <w:overflowPunct w:val="0"/>
        <w:autoSpaceDE w:val="0"/>
        <w:autoSpaceDN w:val="0"/>
        <w:adjustRightInd w:val="0"/>
        <w:contextualSpacing/>
        <w:rPr>
          <w:sz w:val="24"/>
          <w:szCs w:val="24"/>
        </w:rPr>
      </w:pPr>
    </w:p>
    <w:p w14:paraId="066F36F8" w14:textId="5303D8CC" w:rsidR="007019DA" w:rsidRPr="007019DA" w:rsidRDefault="00811793" w:rsidP="009B03AA">
      <w:pPr>
        <w:autoSpaceDE w:val="0"/>
        <w:autoSpaceDN w:val="0"/>
        <w:adjustRightInd w:val="0"/>
        <w:rPr>
          <w:sz w:val="24"/>
          <w:szCs w:val="24"/>
        </w:rPr>
      </w:pPr>
      <w:r w:rsidRPr="00F66EF2">
        <w:rPr>
          <w:sz w:val="24"/>
          <w:szCs w:val="24"/>
          <w:lang w:val="es-MX" w:eastAsia="ja-JP"/>
        </w:rPr>
        <w:t>1.5.2.</w:t>
      </w:r>
      <w:r w:rsidRPr="002D7F44">
        <w:rPr>
          <w:sz w:val="24"/>
          <w:szCs w:val="24"/>
        </w:rPr>
        <w:t xml:space="preserve"> </w:t>
      </w:r>
      <w:r w:rsidR="009B03AA">
        <w:rPr>
          <w:sz w:val="24"/>
          <w:szCs w:val="24"/>
        </w:rPr>
        <w:t xml:space="preserve">El </w:t>
      </w:r>
      <w:r w:rsidR="007019DA">
        <w:rPr>
          <w:b/>
          <w:bCs/>
          <w:sz w:val="24"/>
          <w:szCs w:val="24"/>
        </w:rPr>
        <w:t>Tribunal Administrativo del Atlántico</w:t>
      </w:r>
      <w:r w:rsidR="007019DA">
        <w:rPr>
          <w:sz w:val="24"/>
          <w:szCs w:val="24"/>
        </w:rPr>
        <w:t xml:space="preserve"> contestó que el escrito de tutela no superó los requisitos de procedibilidad y </w:t>
      </w:r>
      <w:r w:rsidR="00A57A00">
        <w:rPr>
          <w:sz w:val="24"/>
          <w:szCs w:val="24"/>
        </w:rPr>
        <w:t xml:space="preserve">no expuso alguna </w:t>
      </w:r>
      <w:r w:rsidR="007019DA">
        <w:rPr>
          <w:sz w:val="24"/>
          <w:szCs w:val="24"/>
        </w:rPr>
        <w:t>causal específica de procedencia. Además, que la providencia que emitió objeto de control constitucional,</w:t>
      </w:r>
      <w:r w:rsidR="00751CC6">
        <w:rPr>
          <w:sz w:val="24"/>
          <w:szCs w:val="24"/>
        </w:rPr>
        <w:t xml:space="preserve"> fue acorde con las pruebas allegadas al proceso ordinario y a la jurisprudencia </w:t>
      </w:r>
      <w:r w:rsidR="00A57A00">
        <w:rPr>
          <w:sz w:val="24"/>
          <w:szCs w:val="24"/>
        </w:rPr>
        <w:t xml:space="preserve">vigente </w:t>
      </w:r>
      <w:r w:rsidR="00751CC6">
        <w:rPr>
          <w:sz w:val="24"/>
          <w:szCs w:val="24"/>
        </w:rPr>
        <w:t>del Consejo de Estado sobre la materia</w:t>
      </w:r>
      <w:r w:rsidR="00751CC6" w:rsidRPr="002D7F44">
        <w:rPr>
          <w:rStyle w:val="Refdenotaalpie"/>
          <w:rFonts w:eastAsia="Times New Roman"/>
          <w:bCs/>
          <w:sz w:val="24"/>
          <w:szCs w:val="24"/>
          <w:lang w:eastAsia="es-ES"/>
        </w:rPr>
        <w:footnoteReference w:id="19"/>
      </w:r>
      <w:r w:rsidR="00751CC6">
        <w:rPr>
          <w:sz w:val="24"/>
          <w:szCs w:val="24"/>
        </w:rPr>
        <w:t xml:space="preserve">. </w:t>
      </w:r>
    </w:p>
    <w:p w14:paraId="6CDF8DD9" w14:textId="38FCBE94" w:rsidR="00914F6F" w:rsidRDefault="00914F6F" w:rsidP="009B03AA">
      <w:pPr>
        <w:autoSpaceDE w:val="0"/>
        <w:autoSpaceDN w:val="0"/>
        <w:adjustRightInd w:val="0"/>
        <w:rPr>
          <w:b/>
          <w:bCs/>
          <w:sz w:val="24"/>
          <w:szCs w:val="24"/>
        </w:rPr>
      </w:pPr>
    </w:p>
    <w:p w14:paraId="731F4DB2" w14:textId="59532A27" w:rsidR="00792DAB" w:rsidRPr="00792DAB" w:rsidRDefault="004C5C0C" w:rsidP="009B03AA">
      <w:pPr>
        <w:autoSpaceDE w:val="0"/>
        <w:autoSpaceDN w:val="0"/>
        <w:adjustRightInd w:val="0"/>
        <w:rPr>
          <w:sz w:val="24"/>
          <w:szCs w:val="24"/>
        </w:rPr>
      </w:pPr>
      <w:r w:rsidRPr="00F66EF2">
        <w:rPr>
          <w:bCs/>
          <w:sz w:val="24"/>
          <w:szCs w:val="24"/>
        </w:rPr>
        <w:t>1.5.3.</w:t>
      </w:r>
      <w:r>
        <w:rPr>
          <w:b/>
          <w:bCs/>
          <w:sz w:val="24"/>
          <w:szCs w:val="24"/>
        </w:rPr>
        <w:t xml:space="preserve"> </w:t>
      </w:r>
      <w:r>
        <w:rPr>
          <w:sz w:val="24"/>
          <w:szCs w:val="24"/>
        </w:rPr>
        <w:t xml:space="preserve">El </w:t>
      </w:r>
      <w:r w:rsidR="00095D56">
        <w:rPr>
          <w:b/>
          <w:bCs/>
          <w:sz w:val="24"/>
          <w:szCs w:val="24"/>
        </w:rPr>
        <w:t xml:space="preserve">Juzgado Octavo Administrativo de Barranquilla </w:t>
      </w:r>
      <w:r w:rsidR="00095D56">
        <w:rPr>
          <w:sz w:val="24"/>
          <w:szCs w:val="24"/>
        </w:rPr>
        <w:t>resumió las actuaciones surtidas al interior del proceso de nulidad electoral con radicado núm. 2020-00059-01, y manifestó que no vulneró los derechos fundamentales invocados en la tutela</w:t>
      </w:r>
      <w:r w:rsidR="000D6026">
        <w:rPr>
          <w:sz w:val="24"/>
          <w:szCs w:val="24"/>
        </w:rPr>
        <w:t xml:space="preserve"> y que la acción pretende agotar una tercera instancia judicial. De otra parte, afirmó que el señor Arteta Castro tiene a su alcance el recurso extraordinario de revisión para discutir sus inconformidades. Solicitó que se negara la solicitud de amparo</w:t>
      </w:r>
      <w:r w:rsidR="007B117F" w:rsidRPr="002D7F44">
        <w:rPr>
          <w:rStyle w:val="Refdenotaalpie"/>
          <w:rFonts w:eastAsia="Times New Roman"/>
          <w:bCs/>
          <w:sz w:val="24"/>
          <w:szCs w:val="24"/>
          <w:lang w:eastAsia="es-ES"/>
        </w:rPr>
        <w:footnoteReference w:id="20"/>
      </w:r>
      <w:r w:rsidR="007B117F">
        <w:rPr>
          <w:sz w:val="24"/>
          <w:szCs w:val="24"/>
        </w:rPr>
        <w:t xml:space="preserve">. </w:t>
      </w:r>
    </w:p>
    <w:p w14:paraId="75008771" w14:textId="77777777" w:rsidR="00811793" w:rsidRPr="002D7F44" w:rsidRDefault="00811793" w:rsidP="00811793">
      <w:pPr>
        <w:overflowPunct w:val="0"/>
        <w:autoSpaceDE w:val="0"/>
        <w:autoSpaceDN w:val="0"/>
        <w:adjustRightInd w:val="0"/>
        <w:contextualSpacing/>
        <w:rPr>
          <w:sz w:val="24"/>
          <w:szCs w:val="24"/>
        </w:rPr>
      </w:pPr>
    </w:p>
    <w:p w14:paraId="3058FB61" w14:textId="77777777" w:rsidR="00811793" w:rsidRPr="002D7F44" w:rsidRDefault="00811793" w:rsidP="00811793">
      <w:pPr>
        <w:pStyle w:val="Ttulo1"/>
        <w:spacing w:before="0" w:after="0" w:line="240" w:lineRule="auto"/>
        <w:rPr>
          <w:rFonts w:cs="Arial"/>
          <w:szCs w:val="24"/>
          <w:lang w:val="es-ES_tradnl"/>
        </w:rPr>
      </w:pPr>
      <w:r w:rsidRPr="002D7F44">
        <w:rPr>
          <w:rFonts w:cs="Arial"/>
          <w:szCs w:val="24"/>
          <w:lang w:val="es-ES_tradnl"/>
        </w:rPr>
        <w:lastRenderedPageBreak/>
        <w:t>CONSIDERACIONES</w:t>
      </w:r>
    </w:p>
    <w:p w14:paraId="60B07F7E" w14:textId="77777777" w:rsidR="00811793" w:rsidRPr="002D7F44" w:rsidRDefault="00811793" w:rsidP="00811793">
      <w:pPr>
        <w:rPr>
          <w:sz w:val="24"/>
          <w:szCs w:val="24"/>
          <w:lang w:val="es-ES_tradnl"/>
        </w:rPr>
      </w:pPr>
    </w:p>
    <w:p w14:paraId="6E17FB02" w14:textId="77777777" w:rsidR="00811793" w:rsidRPr="002D7F44" w:rsidRDefault="00811793" w:rsidP="00811793">
      <w:pPr>
        <w:tabs>
          <w:tab w:val="left" w:pos="426"/>
        </w:tabs>
        <w:contextualSpacing/>
        <w:rPr>
          <w:b/>
          <w:sz w:val="24"/>
          <w:szCs w:val="24"/>
          <w:lang w:val="es-ES_tradnl"/>
        </w:rPr>
      </w:pPr>
      <w:r w:rsidRPr="002D7F44">
        <w:rPr>
          <w:b/>
          <w:sz w:val="24"/>
          <w:szCs w:val="24"/>
          <w:lang w:val="es-ES_tradnl"/>
        </w:rPr>
        <w:t>2.1. Competencia</w:t>
      </w:r>
    </w:p>
    <w:p w14:paraId="29056DB2" w14:textId="77777777" w:rsidR="00811793" w:rsidRPr="00811793" w:rsidRDefault="00811793" w:rsidP="00811793">
      <w:pPr>
        <w:tabs>
          <w:tab w:val="left" w:pos="426"/>
        </w:tabs>
        <w:contextualSpacing/>
        <w:rPr>
          <w:b/>
          <w:sz w:val="24"/>
          <w:szCs w:val="24"/>
          <w:lang w:val="es-ES_tradnl"/>
        </w:rPr>
      </w:pPr>
    </w:p>
    <w:p w14:paraId="34E77A9D" w14:textId="784363BE" w:rsidR="00811793" w:rsidRPr="00811793" w:rsidRDefault="00811793" w:rsidP="00766A9D">
      <w:pPr>
        <w:pStyle w:val="Prrafodelista"/>
        <w:ind w:left="0"/>
        <w:rPr>
          <w:sz w:val="24"/>
          <w:szCs w:val="24"/>
        </w:rPr>
      </w:pPr>
      <w:r w:rsidRPr="00811793">
        <w:rPr>
          <w:sz w:val="24"/>
          <w:szCs w:val="24"/>
        </w:rPr>
        <w:t xml:space="preserve">La Sala tiene competencia para decidir la presente acción de tutela, en virtud de lo dispuesto en los artículos 86 de la Constitución Política y 37 del Decreto 2591 de 1991, y lo previsto en el reglamento interno de la Corporación. </w:t>
      </w:r>
    </w:p>
    <w:p w14:paraId="2F57B619" w14:textId="77777777" w:rsidR="00811793" w:rsidRPr="00811793" w:rsidRDefault="00811793" w:rsidP="00811793">
      <w:pPr>
        <w:overflowPunct w:val="0"/>
        <w:autoSpaceDE w:val="0"/>
        <w:autoSpaceDN w:val="0"/>
        <w:adjustRightInd w:val="0"/>
        <w:contextualSpacing/>
        <w:rPr>
          <w:rFonts w:eastAsia="Times New Roman"/>
          <w:sz w:val="24"/>
          <w:szCs w:val="24"/>
          <w:lang w:val="es-MX" w:eastAsia="es-ES"/>
        </w:rPr>
      </w:pPr>
    </w:p>
    <w:p w14:paraId="52F1A77C" w14:textId="276094C9" w:rsidR="00811793" w:rsidRPr="002D7F44" w:rsidRDefault="00811793" w:rsidP="00811793">
      <w:pPr>
        <w:autoSpaceDE w:val="0"/>
        <w:autoSpaceDN w:val="0"/>
        <w:adjustRightInd w:val="0"/>
        <w:rPr>
          <w:sz w:val="24"/>
          <w:szCs w:val="24"/>
          <w:lang w:val="es-ES_tradnl"/>
        </w:rPr>
      </w:pPr>
      <w:r w:rsidRPr="002D7F44">
        <w:rPr>
          <w:rFonts w:eastAsia="Verdana"/>
          <w:b/>
          <w:sz w:val="24"/>
          <w:szCs w:val="24"/>
          <w:lang w:val="es-ES_tradnl"/>
        </w:rPr>
        <w:t xml:space="preserve">2.2. </w:t>
      </w:r>
      <w:r w:rsidRPr="002D7F44">
        <w:rPr>
          <w:rFonts w:eastAsia="Verdana"/>
          <w:sz w:val="24"/>
          <w:szCs w:val="24"/>
          <w:lang w:val="es-ES_tradnl"/>
        </w:rPr>
        <w:t xml:space="preserve">La </w:t>
      </w:r>
      <w:r w:rsidRPr="002D7F44">
        <w:rPr>
          <w:b/>
          <w:sz w:val="24"/>
          <w:szCs w:val="24"/>
          <w:lang w:val="es-ES_tradnl"/>
        </w:rPr>
        <w:t>legitimación</w:t>
      </w:r>
      <w:r w:rsidRPr="002D7F44">
        <w:rPr>
          <w:sz w:val="24"/>
          <w:szCs w:val="24"/>
          <w:lang w:val="es-ES_tradnl"/>
        </w:rPr>
        <w:t xml:space="preserve"> </w:t>
      </w:r>
      <w:r w:rsidRPr="002D7F44">
        <w:rPr>
          <w:b/>
          <w:sz w:val="24"/>
          <w:szCs w:val="24"/>
          <w:lang w:val="es-ES_tradnl"/>
        </w:rPr>
        <w:t>en la causa</w:t>
      </w:r>
      <w:r w:rsidRPr="002D7F44">
        <w:rPr>
          <w:sz w:val="24"/>
          <w:szCs w:val="24"/>
          <w:lang w:val="es-ES_tradnl"/>
        </w:rPr>
        <w:t xml:space="preserve"> </w:t>
      </w:r>
      <w:r w:rsidRPr="002D7F44">
        <w:rPr>
          <w:b/>
          <w:sz w:val="24"/>
          <w:szCs w:val="24"/>
          <w:lang w:val="es-ES_tradnl"/>
        </w:rPr>
        <w:t>por</w:t>
      </w:r>
      <w:r w:rsidRPr="002D7F44">
        <w:rPr>
          <w:sz w:val="24"/>
          <w:szCs w:val="24"/>
          <w:lang w:val="es-ES_tradnl"/>
        </w:rPr>
        <w:t xml:space="preserve"> </w:t>
      </w:r>
      <w:r w:rsidRPr="00685F98">
        <w:rPr>
          <w:b/>
          <w:sz w:val="24"/>
          <w:szCs w:val="24"/>
          <w:lang w:val="es-ES_tradnl"/>
        </w:rPr>
        <w:t>activa</w:t>
      </w:r>
      <w:r w:rsidRPr="00685F98">
        <w:rPr>
          <w:sz w:val="24"/>
          <w:szCs w:val="24"/>
          <w:lang w:val="es-ES_tradnl"/>
        </w:rPr>
        <w:t xml:space="preserve"> de </w:t>
      </w:r>
      <w:r w:rsidR="00883B86">
        <w:rPr>
          <w:bCs/>
          <w:sz w:val="24"/>
          <w:szCs w:val="24"/>
        </w:rPr>
        <w:t>Evaristo Arteta Castro</w:t>
      </w:r>
      <w:r w:rsidR="003D687E" w:rsidRPr="002D7F44">
        <w:rPr>
          <w:sz w:val="24"/>
          <w:szCs w:val="24"/>
          <w:lang w:val="es-ES_tradnl"/>
        </w:rPr>
        <w:t xml:space="preserve"> </w:t>
      </w:r>
      <w:r w:rsidRPr="002D7F44">
        <w:rPr>
          <w:sz w:val="24"/>
          <w:szCs w:val="24"/>
          <w:lang w:val="es-ES_tradnl"/>
        </w:rPr>
        <w:t xml:space="preserve">se encuentra acreditada, puesto que </w:t>
      </w:r>
      <w:r w:rsidR="00931B18">
        <w:rPr>
          <w:sz w:val="24"/>
          <w:szCs w:val="24"/>
          <w:lang w:val="es-ES_tradnl"/>
        </w:rPr>
        <w:t>fue parte</w:t>
      </w:r>
      <w:r w:rsidRPr="002D7F44">
        <w:rPr>
          <w:sz w:val="24"/>
          <w:szCs w:val="24"/>
          <w:lang w:val="es-ES_tradnl"/>
        </w:rPr>
        <w:t xml:space="preserve"> demand</w:t>
      </w:r>
      <w:r w:rsidR="00931B18">
        <w:rPr>
          <w:sz w:val="24"/>
          <w:szCs w:val="24"/>
          <w:lang w:val="es-ES_tradnl"/>
        </w:rPr>
        <w:t>ada</w:t>
      </w:r>
      <w:r w:rsidRPr="002D7F44">
        <w:rPr>
          <w:sz w:val="24"/>
          <w:szCs w:val="24"/>
          <w:lang w:val="es-ES_tradnl"/>
        </w:rPr>
        <w:t xml:space="preserve"> dentro </w:t>
      </w:r>
      <w:r w:rsidRPr="002D7F44">
        <w:rPr>
          <w:sz w:val="24"/>
          <w:szCs w:val="24"/>
        </w:rPr>
        <w:t xml:space="preserve">del proceso </w:t>
      </w:r>
      <w:r w:rsidR="0068321F">
        <w:rPr>
          <w:sz w:val="24"/>
          <w:szCs w:val="24"/>
        </w:rPr>
        <w:t>que dio curso</w:t>
      </w:r>
      <w:r w:rsidR="003D687E">
        <w:rPr>
          <w:sz w:val="24"/>
          <w:szCs w:val="24"/>
        </w:rPr>
        <w:t xml:space="preserve"> al medio de control de nulidad </w:t>
      </w:r>
      <w:r w:rsidR="00931B18">
        <w:rPr>
          <w:sz w:val="24"/>
          <w:szCs w:val="24"/>
        </w:rPr>
        <w:t>electoral</w:t>
      </w:r>
      <w:r w:rsidR="0068321F">
        <w:rPr>
          <w:sz w:val="24"/>
          <w:szCs w:val="24"/>
        </w:rPr>
        <w:t xml:space="preserve"> </w:t>
      </w:r>
      <w:r w:rsidRPr="002D7F44">
        <w:rPr>
          <w:sz w:val="24"/>
          <w:szCs w:val="24"/>
        </w:rPr>
        <w:t xml:space="preserve">con radicado núm. </w:t>
      </w:r>
      <w:r w:rsidR="00931B18">
        <w:rPr>
          <w:sz w:val="24"/>
          <w:szCs w:val="24"/>
        </w:rPr>
        <w:t>08-00133-33-008-2020-00059-01</w:t>
      </w:r>
      <w:r w:rsidR="0068321F">
        <w:rPr>
          <w:bCs/>
          <w:sz w:val="24"/>
          <w:szCs w:val="24"/>
        </w:rPr>
        <w:t xml:space="preserve"> en el que se emiti</w:t>
      </w:r>
      <w:r w:rsidR="00A50A9A">
        <w:rPr>
          <w:bCs/>
          <w:sz w:val="24"/>
          <w:szCs w:val="24"/>
        </w:rPr>
        <w:t>eron</w:t>
      </w:r>
      <w:r w:rsidR="0068321F">
        <w:rPr>
          <w:bCs/>
          <w:sz w:val="24"/>
          <w:szCs w:val="24"/>
        </w:rPr>
        <w:t xml:space="preserve"> la</w:t>
      </w:r>
      <w:r w:rsidR="00A50A9A">
        <w:rPr>
          <w:bCs/>
          <w:sz w:val="24"/>
          <w:szCs w:val="24"/>
        </w:rPr>
        <w:t>s</w:t>
      </w:r>
      <w:r w:rsidR="0068321F">
        <w:rPr>
          <w:bCs/>
          <w:sz w:val="24"/>
          <w:szCs w:val="24"/>
        </w:rPr>
        <w:t xml:space="preserve"> sentencia</w:t>
      </w:r>
      <w:r w:rsidR="00A50A9A">
        <w:rPr>
          <w:bCs/>
          <w:sz w:val="24"/>
          <w:szCs w:val="24"/>
        </w:rPr>
        <w:t>s del 11 de mayo de 2021 y</w:t>
      </w:r>
      <w:r w:rsidR="0068321F">
        <w:rPr>
          <w:bCs/>
          <w:sz w:val="24"/>
          <w:szCs w:val="24"/>
        </w:rPr>
        <w:t xml:space="preserve"> del </w:t>
      </w:r>
      <w:r w:rsidR="00931B18">
        <w:rPr>
          <w:bCs/>
          <w:sz w:val="24"/>
          <w:szCs w:val="24"/>
        </w:rPr>
        <w:t>3</w:t>
      </w:r>
      <w:r w:rsidR="003D687E">
        <w:rPr>
          <w:bCs/>
          <w:sz w:val="24"/>
          <w:szCs w:val="24"/>
        </w:rPr>
        <w:t xml:space="preserve"> </w:t>
      </w:r>
      <w:r w:rsidR="0068321F">
        <w:rPr>
          <w:bCs/>
          <w:sz w:val="24"/>
          <w:szCs w:val="24"/>
        </w:rPr>
        <w:t xml:space="preserve">de </w:t>
      </w:r>
      <w:r w:rsidR="00931B18">
        <w:rPr>
          <w:bCs/>
          <w:sz w:val="24"/>
          <w:szCs w:val="24"/>
        </w:rPr>
        <w:t>marzo</w:t>
      </w:r>
      <w:r w:rsidR="003D687E">
        <w:rPr>
          <w:bCs/>
          <w:sz w:val="24"/>
          <w:szCs w:val="24"/>
        </w:rPr>
        <w:t xml:space="preserve"> de</w:t>
      </w:r>
      <w:r w:rsidR="0068321F">
        <w:rPr>
          <w:bCs/>
          <w:sz w:val="24"/>
          <w:szCs w:val="24"/>
        </w:rPr>
        <w:t xml:space="preserve"> 202</w:t>
      </w:r>
      <w:r w:rsidR="00931B18">
        <w:rPr>
          <w:bCs/>
          <w:sz w:val="24"/>
          <w:szCs w:val="24"/>
        </w:rPr>
        <w:t xml:space="preserve">2, </w:t>
      </w:r>
      <w:r w:rsidR="0068321F">
        <w:rPr>
          <w:bCs/>
          <w:sz w:val="24"/>
          <w:szCs w:val="24"/>
        </w:rPr>
        <w:t>que acusó de</w:t>
      </w:r>
      <w:r w:rsidR="00931B18">
        <w:rPr>
          <w:bCs/>
          <w:sz w:val="24"/>
          <w:szCs w:val="24"/>
        </w:rPr>
        <w:t xml:space="preserve"> incurrir en incongruencia</w:t>
      </w:r>
      <w:r w:rsidRPr="002D7F44">
        <w:rPr>
          <w:sz w:val="24"/>
          <w:szCs w:val="24"/>
          <w:lang w:val="es-ES_tradnl"/>
        </w:rPr>
        <w:t xml:space="preserve">, y </w:t>
      </w:r>
      <w:r w:rsidR="0068321F">
        <w:rPr>
          <w:sz w:val="24"/>
          <w:szCs w:val="24"/>
          <w:lang w:val="es-ES_tradnl"/>
        </w:rPr>
        <w:t xml:space="preserve">por ende </w:t>
      </w:r>
      <w:r w:rsidR="0068321F" w:rsidRPr="00685F98">
        <w:rPr>
          <w:sz w:val="24"/>
          <w:szCs w:val="24"/>
          <w:lang w:val="es-ES_tradnl"/>
        </w:rPr>
        <w:t>es</w:t>
      </w:r>
      <w:r w:rsidRPr="00685F98">
        <w:rPr>
          <w:sz w:val="24"/>
          <w:szCs w:val="24"/>
          <w:lang w:val="es-ES_tradnl"/>
        </w:rPr>
        <w:t xml:space="preserve"> </w:t>
      </w:r>
      <w:r w:rsidR="00685F98">
        <w:rPr>
          <w:sz w:val="24"/>
          <w:szCs w:val="24"/>
          <w:lang w:val="es-ES_tradnl"/>
        </w:rPr>
        <w:t>el</w:t>
      </w:r>
      <w:r w:rsidRPr="00685F98">
        <w:rPr>
          <w:sz w:val="24"/>
          <w:szCs w:val="24"/>
          <w:lang w:val="es-ES_tradnl"/>
        </w:rPr>
        <w:t xml:space="preserve"> titular</w:t>
      </w:r>
      <w:r w:rsidRPr="002D7F44">
        <w:rPr>
          <w:sz w:val="24"/>
          <w:szCs w:val="24"/>
          <w:lang w:val="es-ES_tradnl"/>
        </w:rPr>
        <w:t xml:space="preserve"> de</w:t>
      </w:r>
      <w:r w:rsidR="003D687E">
        <w:rPr>
          <w:sz w:val="24"/>
          <w:szCs w:val="24"/>
          <w:lang w:val="es-ES_tradnl"/>
        </w:rPr>
        <w:t xml:space="preserve"> </w:t>
      </w:r>
      <w:r w:rsidR="00F1061A">
        <w:rPr>
          <w:sz w:val="24"/>
          <w:szCs w:val="24"/>
          <w:lang w:val="es-ES_tradnl"/>
        </w:rPr>
        <w:t>l</w:t>
      </w:r>
      <w:r w:rsidR="003D687E">
        <w:rPr>
          <w:sz w:val="24"/>
          <w:szCs w:val="24"/>
          <w:lang w:val="es-ES_tradnl"/>
        </w:rPr>
        <w:t>os</w:t>
      </w:r>
      <w:r w:rsidRPr="002D7F44">
        <w:rPr>
          <w:sz w:val="24"/>
          <w:szCs w:val="24"/>
          <w:lang w:val="es-ES_tradnl"/>
        </w:rPr>
        <w:t xml:space="preserve"> derecho</w:t>
      </w:r>
      <w:r w:rsidR="003D687E">
        <w:rPr>
          <w:sz w:val="24"/>
          <w:szCs w:val="24"/>
          <w:lang w:val="es-ES_tradnl"/>
        </w:rPr>
        <w:t>s</w:t>
      </w:r>
      <w:r w:rsidRPr="002D7F44">
        <w:rPr>
          <w:sz w:val="24"/>
          <w:szCs w:val="24"/>
          <w:lang w:val="es-ES_tradnl"/>
        </w:rPr>
        <w:t xml:space="preserve"> fundamental</w:t>
      </w:r>
      <w:r w:rsidR="003D687E">
        <w:rPr>
          <w:sz w:val="24"/>
          <w:szCs w:val="24"/>
          <w:lang w:val="es-ES_tradnl"/>
        </w:rPr>
        <w:t>es</w:t>
      </w:r>
      <w:r w:rsidR="00F1061A">
        <w:rPr>
          <w:sz w:val="24"/>
          <w:szCs w:val="24"/>
          <w:lang w:val="es-ES_tradnl"/>
        </w:rPr>
        <w:t xml:space="preserve"> </w:t>
      </w:r>
      <w:r w:rsidRPr="002D7F44">
        <w:rPr>
          <w:sz w:val="24"/>
          <w:szCs w:val="24"/>
          <w:lang w:val="es-ES_tradnl"/>
        </w:rPr>
        <w:t>cuyo amparo pretende.</w:t>
      </w:r>
    </w:p>
    <w:p w14:paraId="1BB3280D" w14:textId="77777777" w:rsidR="00811793" w:rsidRPr="002D7F44" w:rsidRDefault="00811793" w:rsidP="00811793">
      <w:pPr>
        <w:autoSpaceDE w:val="0"/>
        <w:autoSpaceDN w:val="0"/>
        <w:adjustRightInd w:val="0"/>
        <w:rPr>
          <w:sz w:val="24"/>
          <w:szCs w:val="24"/>
          <w:lang w:val="es-ES_tradnl"/>
        </w:rPr>
      </w:pPr>
    </w:p>
    <w:p w14:paraId="431432B2" w14:textId="57D147FA" w:rsidR="00811793" w:rsidRPr="00FF19EE" w:rsidRDefault="00811793" w:rsidP="00811793">
      <w:pPr>
        <w:rPr>
          <w:sz w:val="24"/>
          <w:szCs w:val="24"/>
        </w:rPr>
      </w:pPr>
      <w:r w:rsidRPr="002D7F44">
        <w:rPr>
          <w:sz w:val="24"/>
          <w:szCs w:val="24"/>
          <w:lang w:val="es-ES_tradnl"/>
        </w:rPr>
        <w:t xml:space="preserve">También está probada </w:t>
      </w:r>
      <w:r w:rsidRPr="002D7F44">
        <w:rPr>
          <w:b/>
          <w:sz w:val="24"/>
          <w:szCs w:val="24"/>
          <w:lang w:val="es-ES_tradnl"/>
        </w:rPr>
        <w:t>la legitimación en la causa por pasiva</w:t>
      </w:r>
      <w:r w:rsidRPr="002D7F44">
        <w:rPr>
          <w:sz w:val="24"/>
          <w:szCs w:val="24"/>
          <w:lang w:val="es-ES_tradnl"/>
        </w:rPr>
        <w:t xml:space="preserve"> </w:t>
      </w:r>
      <w:r w:rsidR="00A50A9A">
        <w:rPr>
          <w:sz w:val="24"/>
          <w:szCs w:val="24"/>
          <w:lang w:val="es-ES_tradnl"/>
        </w:rPr>
        <w:t>del Juzgado Octavo Administrativo de Barranquilla y la Sección C del Tribunal Administrativo del Atlántico</w:t>
      </w:r>
      <w:r w:rsidRPr="002D7F44">
        <w:rPr>
          <w:sz w:val="24"/>
          <w:szCs w:val="24"/>
        </w:rPr>
        <w:t xml:space="preserve">, </w:t>
      </w:r>
      <w:r w:rsidRPr="002D7F44">
        <w:rPr>
          <w:sz w:val="24"/>
          <w:szCs w:val="24"/>
          <w:lang w:val="es-ES_tradnl"/>
        </w:rPr>
        <w:t>en la medida en que fue</w:t>
      </w:r>
      <w:r w:rsidR="00FF19EE">
        <w:rPr>
          <w:sz w:val="24"/>
          <w:szCs w:val="24"/>
          <w:lang w:val="es-ES_tradnl"/>
        </w:rPr>
        <w:t>ron</w:t>
      </w:r>
      <w:r w:rsidRPr="002D7F44">
        <w:rPr>
          <w:sz w:val="24"/>
          <w:szCs w:val="24"/>
          <w:lang w:val="es-ES_tradnl"/>
        </w:rPr>
        <w:t xml:space="preserve"> l</w:t>
      </w:r>
      <w:r w:rsidR="00FF19EE">
        <w:rPr>
          <w:sz w:val="24"/>
          <w:szCs w:val="24"/>
          <w:lang w:val="es-ES_tradnl"/>
        </w:rPr>
        <w:t>as a</w:t>
      </w:r>
      <w:r w:rsidRPr="002D7F44">
        <w:rPr>
          <w:sz w:val="24"/>
          <w:szCs w:val="24"/>
          <w:lang w:val="es-ES_tradnl"/>
        </w:rPr>
        <w:t>utoridad</w:t>
      </w:r>
      <w:r w:rsidR="00FF19EE">
        <w:rPr>
          <w:sz w:val="24"/>
          <w:szCs w:val="24"/>
          <w:lang w:val="es-ES_tradnl"/>
        </w:rPr>
        <w:t>es</w:t>
      </w:r>
      <w:r w:rsidRPr="002D7F44">
        <w:rPr>
          <w:sz w:val="24"/>
          <w:szCs w:val="24"/>
          <w:lang w:val="es-ES_tradnl"/>
        </w:rPr>
        <w:t xml:space="preserve"> que profir</w:t>
      </w:r>
      <w:r w:rsidR="00FF19EE">
        <w:rPr>
          <w:sz w:val="24"/>
          <w:szCs w:val="24"/>
          <w:lang w:val="es-ES_tradnl"/>
        </w:rPr>
        <w:t>ieron</w:t>
      </w:r>
      <w:r w:rsidRPr="002D7F44">
        <w:rPr>
          <w:sz w:val="24"/>
          <w:szCs w:val="24"/>
          <w:lang w:val="es-ES_tradnl"/>
        </w:rPr>
        <w:t xml:space="preserve"> </w:t>
      </w:r>
      <w:r w:rsidR="00A50A9A">
        <w:rPr>
          <w:bCs/>
          <w:sz w:val="24"/>
          <w:szCs w:val="24"/>
        </w:rPr>
        <w:t>las sentencias del 11 de mayo de 2021 y del 3 de marzo de 2022</w:t>
      </w:r>
      <w:r w:rsidR="00895F2C">
        <w:rPr>
          <w:bCs/>
          <w:sz w:val="24"/>
          <w:szCs w:val="24"/>
        </w:rPr>
        <w:t xml:space="preserve"> </w:t>
      </w:r>
      <w:r w:rsidRPr="002D7F44">
        <w:rPr>
          <w:sz w:val="24"/>
          <w:szCs w:val="24"/>
          <w:lang w:val="es-ES_tradnl"/>
        </w:rPr>
        <w:t xml:space="preserve">que, según </w:t>
      </w:r>
      <w:r w:rsidR="005D652D">
        <w:rPr>
          <w:sz w:val="24"/>
          <w:szCs w:val="24"/>
          <w:lang w:val="es-ES_tradnl"/>
        </w:rPr>
        <w:t>el</w:t>
      </w:r>
      <w:r w:rsidRPr="002D7F44">
        <w:rPr>
          <w:sz w:val="24"/>
          <w:szCs w:val="24"/>
          <w:lang w:val="es-ES_tradnl"/>
        </w:rPr>
        <w:t xml:space="preserve"> tutelante, vulner</w:t>
      </w:r>
      <w:r w:rsidR="005D652D">
        <w:rPr>
          <w:sz w:val="24"/>
          <w:szCs w:val="24"/>
          <w:lang w:val="es-ES_tradnl"/>
        </w:rPr>
        <w:t>ó</w:t>
      </w:r>
      <w:r w:rsidRPr="002D7F44">
        <w:rPr>
          <w:sz w:val="24"/>
          <w:szCs w:val="24"/>
          <w:lang w:val="es-ES_tradnl"/>
        </w:rPr>
        <w:t xml:space="preserve"> sus derechos fundamentales.</w:t>
      </w:r>
    </w:p>
    <w:p w14:paraId="78E9A470" w14:textId="77777777" w:rsidR="00811793" w:rsidRPr="002D7F44" w:rsidRDefault="00811793" w:rsidP="00811793">
      <w:pPr>
        <w:overflowPunct w:val="0"/>
        <w:autoSpaceDE w:val="0"/>
        <w:autoSpaceDN w:val="0"/>
        <w:adjustRightInd w:val="0"/>
        <w:contextualSpacing/>
        <w:rPr>
          <w:rFonts w:eastAsia="Times New Roman"/>
          <w:sz w:val="24"/>
          <w:szCs w:val="24"/>
          <w:lang w:val="es-MX" w:eastAsia="es-ES"/>
        </w:rPr>
      </w:pPr>
    </w:p>
    <w:p w14:paraId="36564B5C" w14:textId="77777777" w:rsidR="00811793" w:rsidRPr="002D7F44" w:rsidRDefault="00811793" w:rsidP="00811793">
      <w:pPr>
        <w:keepNext/>
        <w:textAlignment w:val="baseline"/>
        <w:rPr>
          <w:rFonts w:eastAsia="Times New Roman"/>
          <w:b/>
          <w:bCs/>
          <w:sz w:val="24"/>
          <w:szCs w:val="24"/>
          <w:lang w:eastAsia="es-CO"/>
        </w:rPr>
      </w:pPr>
      <w:r w:rsidRPr="002D7F44">
        <w:rPr>
          <w:rFonts w:eastAsia="Times New Roman"/>
          <w:b/>
          <w:bCs/>
          <w:sz w:val="24"/>
          <w:szCs w:val="24"/>
          <w:lang w:eastAsia="es-CO"/>
        </w:rPr>
        <w:t xml:space="preserve">2.3. Procedibilidad de la acción </w:t>
      </w:r>
    </w:p>
    <w:p w14:paraId="2795C6D7" w14:textId="4A77F894" w:rsidR="00811793" w:rsidRDefault="00811793" w:rsidP="00811793">
      <w:pPr>
        <w:keepNext/>
        <w:textAlignment w:val="baseline"/>
        <w:rPr>
          <w:rFonts w:eastAsia="Times New Roman"/>
          <w:b/>
          <w:bCs/>
          <w:sz w:val="24"/>
          <w:szCs w:val="24"/>
          <w:lang w:eastAsia="es-CO"/>
        </w:rPr>
      </w:pPr>
    </w:p>
    <w:p w14:paraId="4FE7B276" w14:textId="6AA77FBA" w:rsidR="0070680B" w:rsidRDefault="0070680B" w:rsidP="0070680B">
      <w:pPr>
        <w:contextualSpacing/>
        <w:rPr>
          <w:rFonts w:eastAsia="Arial"/>
          <w:sz w:val="24"/>
          <w:szCs w:val="24"/>
          <w:lang w:val="es-MX"/>
        </w:rPr>
      </w:pPr>
      <w:r w:rsidRPr="00E42E66">
        <w:rPr>
          <w:rFonts w:eastAsia="Arial"/>
          <w:sz w:val="24"/>
          <w:szCs w:val="24"/>
          <w:lang w:val="es-MX"/>
        </w:rPr>
        <w:t>En los casos en que la solicitud de amparo ataca una providencia judicial, la doctrina constitucional ha indicado que el juez de tutela debe, en forma preliminar, realizar un examen de procedibilidad general de la acción; pues, solo una vez verificada la observancia de los requisitos que la determinan, procede el pronunciamiento de fondo sobre la problemática jurídica que el actor plantea en función de los defectos que reprocha a la actuación acusada y conforme a las causales específicas de procedencia de la acción de tutela contra providencias judiciales</w:t>
      </w:r>
      <w:r w:rsidRPr="00E42E66">
        <w:rPr>
          <w:sz w:val="24"/>
          <w:szCs w:val="24"/>
          <w:vertAlign w:val="superscript"/>
        </w:rPr>
        <w:footnoteReference w:id="21"/>
      </w:r>
      <w:r w:rsidRPr="00E42E66">
        <w:rPr>
          <w:rFonts w:eastAsia="Arial"/>
          <w:sz w:val="24"/>
          <w:szCs w:val="24"/>
          <w:lang w:val="es-MX"/>
        </w:rPr>
        <w:t>.</w:t>
      </w:r>
    </w:p>
    <w:p w14:paraId="5E0CAF06" w14:textId="354D8268" w:rsidR="005620C4" w:rsidRDefault="005620C4" w:rsidP="0070680B">
      <w:pPr>
        <w:contextualSpacing/>
        <w:rPr>
          <w:rFonts w:eastAsia="Arial"/>
          <w:sz w:val="24"/>
          <w:szCs w:val="24"/>
          <w:lang w:val="es-MX"/>
        </w:rPr>
      </w:pPr>
    </w:p>
    <w:p w14:paraId="7ECB4A52" w14:textId="77777777" w:rsidR="00C97F04" w:rsidRDefault="0070680B" w:rsidP="0070680B">
      <w:pPr>
        <w:rPr>
          <w:b/>
          <w:sz w:val="24"/>
          <w:szCs w:val="24"/>
        </w:rPr>
      </w:pPr>
      <w:r w:rsidRPr="00C97F04">
        <w:rPr>
          <w:bCs/>
          <w:sz w:val="24"/>
          <w:szCs w:val="24"/>
        </w:rPr>
        <w:t>2.3.1.</w:t>
      </w:r>
      <w:r w:rsidRPr="00E42E66">
        <w:rPr>
          <w:b/>
          <w:sz w:val="24"/>
          <w:szCs w:val="24"/>
        </w:rPr>
        <w:t xml:space="preserve"> Relevancia constitucional. </w:t>
      </w:r>
    </w:p>
    <w:p w14:paraId="0E23F944" w14:textId="77777777" w:rsidR="00C97F04" w:rsidRDefault="00C97F04" w:rsidP="0070680B">
      <w:pPr>
        <w:rPr>
          <w:b/>
          <w:sz w:val="24"/>
          <w:szCs w:val="24"/>
        </w:rPr>
      </w:pPr>
    </w:p>
    <w:p w14:paraId="06B63B8D" w14:textId="1B28B095" w:rsidR="0070680B" w:rsidRPr="00E42E66" w:rsidRDefault="0070680B" w:rsidP="0070680B">
      <w:pPr>
        <w:rPr>
          <w:rFonts w:eastAsia="Verdana"/>
          <w:sz w:val="24"/>
          <w:szCs w:val="24"/>
        </w:rPr>
      </w:pPr>
      <w:r w:rsidRPr="00E42E66">
        <w:rPr>
          <w:sz w:val="24"/>
          <w:szCs w:val="24"/>
          <w:lang w:val="es-ES"/>
        </w:rPr>
        <w:t xml:space="preserve">En las acciones de tutela contra providencias judiciales, </w:t>
      </w:r>
      <w:r w:rsidRPr="00E42E66">
        <w:rPr>
          <w:rFonts w:eastAsia="Verdana"/>
          <w:sz w:val="24"/>
          <w:szCs w:val="24"/>
        </w:rPr>
        <w:t xml:space="preserve">“la función del juez de tutela no es la de fungir como una instancia adicional del procedimiento judicial que se </w:t>
      </w:r>
      <w:r w:rsidRPr="00E42E66">
        <w:rPr>
          <w:rFonts w:eastAsia="Verdana"/>
          <w:sz w:val="24"/>
          <w:szCs w:val="24"/>
        </w:rPr>
        <w:lastRenderedPageBreak/>
        <w:t>cuestiona</w:t>
      </w:r>
      <w:r w:rsidR="00F66EF2">
        <w:rPr>
          <w:rFonts w:eastAsia="Verdana"/>
          <w:sz w:val="24"/>
          <w:szCs w:val="24"/>
        </w:rPr>
        <w:t xml:space="preserve"> </w:t>
      </w:r>
      <w:r w:rsidRPr="00E42E66">
        <w:rPr>
          <w:rFonts w:eastAsia="Verdana"/>
          <w:sz w:val="24"/>
          <w:szCs w:val="24"/>
        </w:rPr>
        <w:t>pues ello desconocería la competencia y finalidad de administración de justicia por parte de los jueces naturales, así como su autonomía funcional”</w:t>
      </w:r>
      <w:r w:rsidRPr="00E42E66">
        <w:rPr>
          <w:rFonts w:eastAsia="Verdana"/>
          <w:sz w:val="24"/>
          <w:szCs w:val="24"/>
          <w:vertAlign w:val="superscript"/>
        </w:rPr>
        <w:footnoteReference w:id="22"/>
      </w:r>
      <w:r w:rsidRPr="00E42E66">
        <w:rPr>
          <w:rFonts w:eastAsia="Verdana"/>
          <w:sz w:val="24"/>
          <w:szCs w:val="24"/>
        </w:rPr>
        <w:t xml:space="preserve">. </w:t>
      </w:r>
    </w:p>
    <w:p w14:paraId="18174C2B" w14:textId="77777777" w:rsidR="0070680B" w:rsidRPr="00E42E66" w:rsidRDefault="0070680B" w:rsidP="0070680B">
      <w:pPr>
        <w:rPr>
          <w:rFonts w:eastAsia="Verdana"/>
          <w:sz w:val="24"/>
          <w:szCs w:val="24"/>
        </w:rPr>
      </w:pPr>
    </w:p>
    <w:p w14:paraId="09CC1E2B" w14:textId="4B7ED807" w:rsidR="00C97F04" w:rsidRPr="00C97F04" w:rsidRDefault="0070680B" w:rsidP="0070680B">
      <w:pPr>
        <w:rPr>
          <w:rFonts w:eastAsia="Times New Roman"/>
          <w:sz w:val="24"/>
          <w:szCs w:val="24"/>
          <w:lang w:eastAsia="es-ES"/>
        </w:rPr>
      </w:pPr>
      <w:r w:rsidRPr="00E42E66">
        <w:rPr>
          <w:rFonts w:eastAsia="Verdana"/>
          <w:sz w:val="24"/>
          <w:szCs w:val="24"/>
        </w:rPr>
        <w:t>Quien</w:t>
      </w:r>
      <w:r w:rsidRPr="00E42E66">
        <w:rPr>
          <w:sz w:val="24"/>
          <w:szCs w:val="24"/>
          <w:lang w:val="es-ES"/>
        </w:rPr>
        <w:t xml:space="preserve"> solicita el amparo </w:t>
      </w:r>
      <w:r w:rsidRPr="00E42E66">
        <w:rPr>
          <w:rFonts w:eastAsia="Verdana"/>
          <w:sz w:val="24"/>
          <w:szCs w:val="24"/>
        </w:rPr>
        <w:t xml:space="preserve">debe </w:t>
      </w:r>
      <w:r w:rsidRPr="00E42E66">
        <w:rPr>
          <w:rFonts w:eastAsia="Times New Roman"/>
          <w:sz w:val="24"/>
          <w:szCs w:val="24"/>
          <w:lang w:eastAsia="es-ES"/>
        </w:rPr>
        <w:t>cumplir con la carga de exponer las</w:t>
      </w:r>
      <w:r w:rsidRPr="00E42E66">
        <w:rPr>
          <w:sz w:val="24"/>
          <w:szCs w:val="24"/>
        </w:rPr>
        <w:t xml:space="preserve"> razones por las que el reproche a una providencia que ha hecho tránsito a cosa juzgada, trasciende de la controversia litigiosa propia de la causa ordinaria</w:t>
      </w:r>
      <w:r w:rsidRPr="00E42E66">
        <w:rPr>
          <w:iCs/>
          <w:sz w:val="24"/>
          <w:szCs w:val="24"/>
          <w:vertAlign w:val="superscript"/>
        </w:rPr>
        <w:footnoteReference w:id="23"/>
      </w:r>
      <w:r w:rsidRPr="00E42E66">
        <w:rPr>
          <w:sz w:val="24"/>
          <w:szCs w:val="24"/>
        </w:rPr>
        <w:t xml:space="preserve">, a una cuestión con </w:t>
      </w:r>
      <w:r w:rsidRPr="00E42E66">
        <w:rPr>
          <w:b/>
          <w:sz w:val="24"/>
          <w:szCs w:val="24"/>
        </w:rPr>
        <w:t>relevancia constitucional</w:t>
      </w:r>
      <w:r w:rsidRPr="00E42E66">
        <w:rPr>
          <w:sz w:val="24"/>
          <w:szCs w:val="24"/>
        </w:rPr>
        <w:t>, en términos de</w:t>
      </w:r>
      <w:r w:rsidRPr="00E42E66">
        <w:rPr>
          <w:rFonts w:eastAsia="Times New Roman"/>
          <w:sz w:val="24"/>
          <w:szCs w:val="24"/>
          <w:lang w:eastAsia="es-ES"/>
        </w:rPr>
        <w:t xml:space="preserve"> los defectos definidos por la jurisprudencia como únicas causales que habilitan el control constitucional concreto</w:t>
      </w:r>
      <w:r w:rsidRPr="00E42E66">
        <w:rPr>
          <w:rStyle w:val="Refdenotaalpie"/>
          <w:rFonts w:eastAsia="Verdana"/>
          <w:sz w:val="24"/>
          <w:szCs w:val="24"/>
        </w:rPr>
        <w:footnoteReference w:id="24"/>
      </w:r>
      <w:r w:rsidRPr="00E42E66">
        <w:rPr>
          <w:rFonts w:eastAsia="Times New Roman"/>
          <w:sz w:val="24"/>
          <w:szCs w:val="24"/>
          <w:lang w:eastAsia="es-ES"/>
        </w:rPr>
        <w:t xml:space="preserve">. </w:t>
      </w:r>
    </w:p>
    <w:p w14:paraId="1BB59910" w14:textId="77777777" w:rsidR="0070680B" w:rsidRDefault="0070680B" w:rsidP="0070680B">
      <w:pPr>
        <w:ind w:right="-93"/>
        <w:rPr>
          <w:b/>
          <w:sz w:val="24"/>
          <w:szCs w:val="24"/>
        </w:rPr>
      </w:pPr>
    </w:p>
    <w:p w14:paraId="11815C9E" w14:textId="64A80205" w:rsidR="00C97F04" w:rsidRDefault="0070680B" w:rsidP="0070680B">
      <w:pPr>
        <w:ind w:right="-93"/>
        <w:rPr>
          <w:b/>
          <w:sz w:val="24"/>
          <w:szCs w:val="24"/>
        </w:rPr>
      </w:pPr>
      <w:r w:rsidRPr="00C97F04">
        <w:rPr>
          <w:bCs/>
          <w:sz w:val="24"/>
          <w:szCs w:val="24"/>
        </w:rPr>
        <w:t xml:space="preserve">2.3.2. </w:t>
      </w:r>
      <w:r w:rsidR="00C97F04">
        <w:rPr>
          <w:b/>
          <w:sz w:val="24"/>
          <w:szCs w:val="24"/>
        </w:rPr>
        <w:t>Subsidiariedad</w:t>
      </w:r>
    </w:p>
    <w:p w14:paraId="1C626989" w14:textId="06777FF2" w:rsidR="00C97F04" w:rsidRDefault="00C97F04" w:rsidP="0070680B">
      <w:pPr>
        <w:ind w:right="-93"/>
        <w:rPr>
          <w:b/>
          <w:sz w:val="24"/>
          <w:szCs w:val="24"/>
        </w:rPr>
      </w:pPr>
    </w:p>
    <w:p w14:paraId="4BF79917" w14:textId="677982C0" w:rsidR="00C97F04" w:rsidRPr="004D0E1E" w:rsidRDefault="00C97F04" w:rsidP="00C97F04">
      <w:pPr>
        <w:rPr>
          <w:rFonts w:eastAsia="Times New Roman"/>
          <w:sz w:val="24"/>
          <w:szCs w:val="24"/>
          <w:lang w:eastAsia="es-ES"/>
        </w:rPr>
      </w:pPr>
      <w:r>
        <w:rPr>
          <w:rFonts w:eastAsia="Times New Roman"/>
          <w:sz w:val="24"/>
          <w:szCs w:val="24"/>
          <w:lang w:val="es-MX" w:eastAsia="es-ES"/>
        </w:rPr>
        <w:t>Otro de los requisitos de procedibilidad es la</w:t>
      </w:r>
      <w:r w:rsidRPr="004D0E1E">
        <w:rPr>
          <w:rFonts w:eastAsia="Times New Roman"/>
          <w:sz w:val="24"/>
          <w:szCs w:val="24"/>
          <w:lang w:val="es-MX" w:eastAsia="es-ES"/>
        </w:rPr>
        <w:t xml:space="preserve"> </w:t>
      </w:r>
      <w:r w:rsidRPr="004D0E1E">
        <w:rPr>
          <w:rFonts w:eastAsia="Times New Roman"/>
          <w:b/>
          <w:bCs/>
          <w:iCs/>
          <w:sz w:val="24"/>
          <w:szCs w:val="24"/>
          <w:lang w:val="es-MX" w:eastAsia="es-ES"/>
        </w:rPr>
        <w:t>subsidiariedad</w:t>
      </w:r>
      <w:r>
        <w:rPr>
          <w:rFonts w:eastAsia="Times New Roman"/>
          <w:iCs/>
          <w:sz w:val="24"/>
          <w:szCs w:val="24"/>
          <w:lang w:val="es-MX" w:eastAsia="es-ES"/>
        </w:rPr>
        <w:t>, que</w:t>
      </w:r>
      <w:r w:rsidRPr="004D0E1E">
        <w:rPr>
          <w:rFonts w:eastAsia="Times New Roman"/>
          <w:sz w:val="24"/>
          <w:szCs w:val="24"/>
          <w:lang w:val="es-MX" w:eastAsia="es-ES"/>
        </w:rPr>
        <w:t xml:space="preserve"> impide</w:t>
      </w:r>
      <w:r w:rsidRPr="004D0E1E">
        <w:rPr>
          <w:rFonts w:eastAsia="Times New Roman"/>
          <w:sz w:val="24"/>
          <w:szCs w:val="24"/>
          <w:lang w:eastAsia="es-ES"/>
        </w:rPr>
        <w:t xml:space="preserve"> que la acción </w:t>
      </w:r>
      <w:r>
        <w:rPr>
          <w:rFonts w:eastAsia="Times New Roman"/>
          <w:sz w:val="24"/>
          <w:szCs w:val="24"/>
          <w:lang w:eastAsia="es-ES"/>
        </w:rPr>
        <w:t xml:space="preserve">de </w:t>
      </w:r>
      <w:r w:rsidRPr="004D0E1E">
        <w:rPr>
          <w:rFonts w:eastAsia="Times New Roman"/>
          <w:sz w:val="24"/>
          <w:szCs w:val="24"/>
          <w:lang w:eastAsia="es-ES"/>
        </w:rPr>
        <w:t>tutela se use como un mecanismo principal, alternativo o supletorio de los mecanismos ordinarios que el legislador tiene previsto para controvertir las decisiones judiciales, con el fin de: (i) prevenir la intromisión indebida de una autoridad distinta a la que adelanta el proceso ordinario; (ii) que no se alteren o sustituyan de manera fraudulenta los mecanismos de defensa diseñados por el Legislador; y (iii) que los ciudadanos observen un mínimo de diligencia en la gestión de sus asuntos, pues no es esta la forma de enmendar deficiencias, errores o de</w:t>
      </w:r>
      <w:r>
        <w:rPr>
          <w:rFonts w:eastAsia="Times New Roman"/>
          <w:sz w:val="24"/>
          <w:szCs w:val="24"/>
          <w:lang w:eastAsia="es-ES"/>
        </w:rPr>
        <w:t>scuidos</w:t>
      </w:r>
      <w:r w:rsidRPr="004D0E1E">
        <w:rPr>
          <w:rFonts w:eastAsia="Times New Roman"/>
          <w:sz w:val="24"/>
          <w:szCs w:val="24"/>
          <w:lang w:eastAsia="es-ES"/>
        </w:rPr>
        <w:t>, ni de recuperar oportunidades vencidas al interior de un proceso judicial</w:t>
      </w:r>
      <w:r w:rsidRPr="004D0E1E">
        <w:rPr>
          <w:rFonts w:eastAsia="Times New Roman"/>
          <w:sz w:val="24"/>
          <w:szCs w:val="24"/>
          <w:vertAlign w:val="superscript"/>
          <w:lang w:eastAsia="es-ES"/>
        </w:rPr>
        <w:footnoteReference w:id="25"/>
      </w:r>
      <w:r w:rsidRPr="004D0E1E">
        <w:rPr>
          <w:rFonts w:eastAsia="Times New Roman"/>
          <w:sz w:val="24"/>
          <w:szCs w:val="24"/>
          <w:lang w:eastAsia="es-ES"/>
        </w:rPr>
        <w:t xml:space="preserve">.  </w:t>
      </w:r>
    </w:p>
    <w:p w14:paraId="74B8DA99" w14:textId="77777777" w:rsidR="00C97F04" w:rsidRPr="004D0E1E" w:rsidRDefault="00C97F04" w:rsidP="00C97F04">
      <w:pPr>
        <w:rPr>
          <w:rFonts w:eastAsia="Times New Roman"/>
          <w:sz w:val="24"/>
          <w:szCs w:val="24"/>
          <w:lang w:eastAsia="es-ES"/>
        </w:rPr>
      </w:pPr>
    </w:p>
    <w:p w14:paraId="72A71837" w14:textId="77777777" w:rsidR="00C97F04" w:rsidRPr="004D0E1E" w:rsidRDefault="00C97F04" w:rsidP="00C97F04">
      <w:pPr>
        <w:rPr>
          <w:rFonts w:eastAsia="Times New Roman"/>
          <w:sz w:val="24"/>
          <w:szCs w:val="24"/>
          <w:lang w:eastAsia="es-ES"/>
        </w:rPr>
      </w:pPr>
      <w:r>
        <w:rPr>
          <w:rFonts w:eastAsia="Times New Roman"/>
          <w:sz w:val="24"/>
          <w:szCs w:val="24"/>
          <w:lang w:eastAsia="es-ES"/>
        </w:rPr>
        <w:t>En l</w:t>
      </w:r>
      <w:r w:rsidRPr="004D0E1E">
        <w:rPr>
          <w:rFonts w:eastAsia="Times New Roman"/>
          <w:sz w:val="24"/>
          <w:szCs w:val="24"/>
          <w:lang w:eastAsia="es-ES"/>
        </w:rPr>
        <w:t xml:space="preserve">a sentencia T-396 del 2014, la Corte Constitucional delimitó los siguientes tres eventos que hacen improcedente la tutela contra providencia judicial por no superar el requisito de subsidiariedad: </w:t>
      </w:r>
    </w:p>
    <w:p w14:paraId="0F58E0E8" w14:textId="77777777" w:rsidR="00C97F04" w:rsidRPr="009119FE" w:rsidRDefault="00C97F04" w:rsidP="00C97F04">
      <w:pPr>
        <w:rPr>
          <w:rFonts w:eastAsia="Times New Roman"/>
          <w:sz w:val="22"/>
          <w:szCs w:val="22"/>
          <w:lang w:eastAsia="es-ES"/>
        </w:rPr>
      </w:pPr>
    </w:p>
    <w:p w14:paraId="5FB8DF8C" w14:textId="77777777" w:rsidR="00C97F04" w:rsidRPr="009119FE" w:rsidRDefault="00C97F04" w:rsidP="00C97F04">
      <w:pPr>
        <w:ind w:left="708"/>
        <w:rPr>
          <w:rFonts w:eastAsia="Times New Roman"/>
          <w:sz w:val="22"/>
          <w:szCs w:val="22"/>
          <w:lang w:eastAsia="es-ES"/>
        </w:rPr>
      </w:pPr>
      <w:r w:rsidRPr="009119FE">
        <w:rPr>
          <w:rFonts w:eastAsia="Times New Roman"/>
          <w:sz w:val="22"/>
          <w:szCs w:val="22"/>
          <w:lang w:eastAsia="es-ES"/>
        </w:rPr>
        <w:t>“(i) cuando el asunto está en trámite; (ii) en el evento en que no se han agotado los medios de defensa judicial ordinarios y extraordinarios; y (iii) si se usa para revivir etapas procesales en donde se dejaron de emplear los recursos previstos en el ordenamiento jurídico”.</w:t>
      </w:r>
    </w:p>
    <w:p w14:paraId="5264F1B3" w14:textId="77777777" w:rsidR="00C97F04" w:rsidRPr="009119FE" w:rsidRDefault="00C97F04" w:rsidP="00C97F04">
      <w:pPr>
        <w:rPr>
          <w:rFonts w:eastAsia="Times New Roman"/>
          <w:sz w:val="22"/>
          <w:szCs w:val="22"/>
          <w:lang w:eastAsia="es-ES"/>
        </w:rPr>
      </w:pPr>
    </w:p>
    <w:p w14:paraId="059932D4" w14:textId="77777777" w:rsidR="00C97F04" w:rsidRDefault="00C97F04" w:rsidP="00C97F04">
      <w:pPr>
        <w:rPr>
          <w:rFonts w:eastAsia="Times New Roman"/>
          <w:sz w:val="24"/>
          <w:szCs w:val="24"/>
          <w:lang w:eastAsia="es-ES"/>
        </w:rPr>
      </w:pPr>
      <w:r w:rsidRPr="004D0E1E">
        <w:rPr>
          <w:rFonts w:eastAsia="Times New Roman"/>
          <w:sz w:val="24"/>
          <w:szCs w:val="24"/>
          <w:lang w:eastAsia="es-ES"/>
        </w:rPr>
        <w:t>Así, un riguroso estudio de este requisito evita que la tutela sea utilizada</w:t>
      </w:r>
      <w:r>
        <w:rPr>
          <w:rFonts w:eastAsia="Times New Roman"/>
          <w:sz w:val="24"/>
          <w:szCs w:val="24"/>
          <w:lang w:eastAsia="es-ES"/>
        </w:rPr>
        <w:t xml:space="preserve"> </w:t>
      </w:r>
      <w:r w:rsidRPr="004D0E1E">
        <w:rPr>
          <w:rFonts w:eastAsia="Times New Roman"/>
          <w:sz w:val="24"/>
          <w:szCs w:val="24"/>
          <w:lang w:eastAsia="es-ES"/>
        </w:rPr>
        <w:t>para controvertir situaciones jurídicas consolidadas que tuvieron su oportunidad de ser discutidas ante el juez natural.</w:t>
      </w:r>
    </w:p>
    <w:p w14:paraId="3F7BF20F" w14:textId="77777777" w:rsidR="00C97F04" w:rsidRDefault="00C97F04" w:rsidP="0070680B">
      <w:pPr>
        <w:ind w:right="-93"/>
        <w:rPr>
          <w:b/>
          <w:sz w:val="24"/>
          <w:szCs w:val="24"/>
        </w:rPr>
      </w:pPr>
    </w:p>
    <w:p w14:paraId="392D51EE" w14:textId="1B23698D" w:rsidR="00E01F09" w:rsidRDefault="00C97F04" w:rsidP="0070680B">
      <w:pPr>
        <w:ind w:right="-93"/>
        <w:rPr>
          <w:bCs/>
          <w:sz w:val="24"/>
          <w:szCs w:val="24"/>
        </w:rPr>
      </w:pPr>
      <w:r w:rsidRPr="00F66EF2">
        <w:rPr>
          <w:sz w:val="24"/>
          <w:szCs w:val="24"/>
        </w:rPr>
        <w:t>2.3.3.</w:t>
      </w:r>
      <w:r>
        <w:rPr>
          <w:b/>
          <w:sz w:val="24"/>
          <w:szCs w:val="24"/>
        </w:rPr>
        <w:t xml:space="preserve"> </w:t>
      </w:r>
      <w:r w:rsidR="0070680B">
        <w:rPr>
          <w:bCs/>
          <w:sz w:val="24"/>
          <w:szCs w:val="24"/>
        </w:rPr>
        <w:t xml:space="preserve">En el </w:t>
      </w:r>
      <w:r w:rsidR="0070680B" w:rsidRPr="009C0899">
        <w:rPr>
          <w:b/>
          <w:sz w:val="24"/>
          <w:szCs w:val="24"/>
        </w:rPr>
        <w:t>caso bajo estudio</w:t>
      </w:r>
      <w:r w:rsidR="0070680B">
        <w:rPr>
          <w:bCs/>
          <w:sz w:val="24"/>
          <w:szCs w:val="24"/>
        </w:rPr>
        <w:t xml:space="preserve">, </w:t>
      </w:r>
      <w:r w:rsidR="00CD771C">
        <w:rPr>
          <w:bCs/>
          <w:sz w:val="24"/>
          <w:szCs w:val="24"/>
        </w:rPr>
        <w:t>la Procuraduría General de la Nación presentó demanda en ejercicio del medio de control de nulidad electora</w:t>
      </w:r>
      <w:r w:rsidR="005620C4">
        <w:rPr>
          <w:bCs/>
          <w:sz w:val="24"/>
          <w:szCs w:val="24"/>
        </w:rPr>
        <w:t>l</w:t>
      </w:r>
      <w:r w:rsidR="00CD771C">
        <w:rPr>
          <w:bCs/>
          <w:sz w:val="24"/>
          <w:szCs w:val="24"/>
        </w:rPr>
        <w:t xml:space="preserve">, en la que solicitó la nulidad de la Resolución 002 de 2020 en la que se nombró al señor Arteta Castro como personero municipal de Juan de Acosta (Atlántico), y que se inaplicara la Resolución 001 de 2019 que convocó al concurso de méritos, para lo </w:t>
      </w:r>
      <w:r w:rsidR="000E1C69">
        <w:rPr>
          <w:bCs/>
          <w:sz w:val="24"/>
          <w:szCs w:val="24"/>
        </w:rPr>
        <w:t>cual</w:t>
      </w:r>
      <w:r w:rsidR="00CD771C">
        <w:rPr>
          <w:bCs/>
          <w:sz w:val="24"/>
          <w:szCs w:val="24"/>
        </w:rPr>
        <w:t xml:space="preserve"> propuso los cargos relacionados con: i) el incumplimiento del plazo mínimo permitido para la inscripción de candidatos; </w:t>
      </w:r>
      <w:r w:rsidR="000E1C69">
        <w:rPr>
          <w:bCs/>
          <w:sz w:val="24"/>
          <w:szCs w:val="24"/>
        </w:rPr>
        <w:t xml:space="preserve">ii) </w:t>
      </w:r>
      <w:r w:rsidR="00CD771C">
        <w:rPr>
          <w:bCs/>
          <w:sz w:val="24"/>
          <w:szCs w:val="24"/>
        </w:rPr>
        <w:t xml:space="preserve">el uso de los medios electrónicos; y, iii) la idoneidad de la </w:t>
      </w:r>
      <w:r w:rsidR="001F41BF">
        <w:rPr>
          <w:bCs/>
          <w:sz w:val="24"/>
          <w:szCs w:val="24"/>
        </w:rPr>
        <w:t xml:space="preserve">Universidad de la Costa para llevar a cabo el concurso. </w:t>
      </w:r>
    </w:p>
    <w:p w14:paraId="75B363EF" w14:textId="7E0DD0F1" w:rsidR="001F41BF" w:rsidRDefault="001F41BF" w:rsidP="0070680B">
      <w:pPr>
        <w:ind w:right="-93"/>
        <w:rPr>
          <w:bCs/>
          <w:sz w:val="24"/>
          <w:szCs w:val="24"/>
        </w:rPr>
      </w:pPr>
    </w:p>
    <w:p w14:paraId="731596F9" w14:textId="33325ABB" w:rsidR="001F41BF" w:rsidRDefault="001F41BF" w:rsidP="0070680B">
      <w:pPr>
        <w:ind w:right="-93"/>
        <w:rPr>
          <w:bCs/>
          <w:sz w:val="24"/>
          <w:szCs w:val="24"/>
        </w:rPr>
      </w:pPr>
      <w:r>
        <w:rPr>
          <w:bCs/>
          <w:sz w:val="24"/>
          <w:szCs w:val="24"/>
        </w:rPr>
        <w:lastRenderedPageBreak/>
        <w:t>En primera instancia, el Juzgado Octavo Administrativo de Barranquilla emitió auto, el  6 de julio de 2020, en el que admitió la demanda y suspendió los efectos del acto administrativo cuestionado, pues encontró probadas algunas irregularidades concernientes, entre otros asuntos, con el plazo previsto para la inscripción de aspirantes. Esta decisión fue apelada. En segunda instancia, el Tribunal Administrativo del Atlántico profirió auto, el 26 de noviembre de 2020, en el que revocó la suspensión provisional ordena</w:t>
      </w:r>
      <w:r w:rsidR="000E1C69">
        <w:rPr>
          <w:bCs/>
          <w:sz w:val="24"/>
          <w:szCs w:val="24"/>
        </w:rPr>
        <w:t>d</w:t>
      </w:r>
      <w:r>
        <w:rPr>
          <w:bCs/>
          <w:sz w:val="24"/>
          <w:szCs w:val="24"/>
        </w:rPr>
        <w:t xml:space="preserve">a por el </w:t>
      </w:r>
      <w:r>
        <w:rPr>
          <w:bCs/>
          <w:i/>
          <w:iCs/>
          <w:sz w:val="24"/>
          <w:szCs w:val="24"/>
        </w:rPr>
        <w:t>a quo</w:t>
      </w:r>
      <w:r>
        <w:rPr>
          <w:bCs/>
          <w:sz w:val="24"/>
          <w:szCs w:val="24"/>
        </w:rPr>
        <w:t xml:space="preserve">, toda vez que, en su concepto, el plazo para la inscripción y </w:t>
      </w:r>
      <w:r w:rsidR="00FA20BE">
        <w:rPr>
          <w:bCs/>
          <w:sz w:val="24"/>
          <w:szCs w:val="24"/>
        </w:rPr>
        <w:t xml:space="preserve">realizar la selección a través de una universidad, son facultades de los Concejos municipales. </w:t>
      </w:r>
    </w:p>
    <w:p w14:paraId="73113A13" w14:textId="76EDE735" w:rsidR="00FA20BE" w:rsidRDefault="00FA20BE" w:rsidP="0070680B">
      <w:pPr>
        <w:ind w:right="-93"/>
        <w:rPr>
          <w:bCs/>
          <w:sz w:val="24"/>
          <w:szCs w:val="24"/>
        </w:rPr>
      </w:pPr>
    </w:p>
    <w:p w14:paraId="65A95822" w14:textId="49C1085E" w:rsidR="0022252F" w:rsidRDefault="00FA20BE" w:rsidP="0070680B">
      <w:pPr>
        <w:ind w:right="-93"/>
        <w:rPr>
          <w:bCs/>
          <w:sz w:val="24"/>
          <w:szCs w:val="24"/>
        </w:rPr>
      </w:pPr>
      <w:r>
        <w:rPr>
          <w:bCs/>
          <w:sz w:val="24"/>
          <w:szCs w:val="24"/>
        </w:rPr>
        <w:t>Posteriormente, en sentencia de primera instancia</w:t>
      </w:r>
      <w:r w:rsidR="0022252F">
        <w:rPr>
          <w:bCs/>
          <w:sz w:val="24"/>
          <w:szCs w:val="24"/>
        </w:rPr>
        <w:t xml:space="preserve"> del 11 de mayo de 2021</w:t>
      </w:r>
      <w:r>
        <w:rPr>
          <w:bCs/>
          <w:sz w:val="24"/>
          <w:szCs w:val="24"/>
        </w:rPr>
        <w:t>, el juzgado accionado anuló la Resolución 002 de 2020 y ordenó que se llevara a cabo un nuevo concurso de méritos. Explicó que</w:t>
      </w:r>
      <w:r w:rsidR="00785FD9">
        <w:rPr>
          <w:bCs/>
          <w:sz w:val="24"/>
          <w:szCs w:val="24"/>
        </w:rPr>
        <w:t>,</w:t>
      </w:r>
      <w:r>
        <w:rPr>
          <w:bCs/>
          <w:sz w:val="24"/>
          <w:szCs w:val="24"/>
        </w:rPr>
        <w:t xml:space="preserve"> en efecto, las normas sobre el plazo para la inscripción al concurso y sobre el uso de los medios electrónicos fueron desconocidos por el </w:t>
      </w:r>
      <w:r w:rsidR="00237C1E">
        <w:rPr>
          <w:bCs/>
          <w:sz w:val="24"/>
          <w:szCs w:val="24"/>
        </w:rPr>
        <w:t xml:space="preserve">Concejo municipal, y que la Universidad de la Costa no era idónea para ejecutar la convocatoria. </w:t>
      </w:r>
    </w:p>
    <w:p w14:paraId="1DB7A5D7" w14:textId="77777777" w:rsidR="0022252F" w:rsidRDefault="0022252F" w:rsidP="0070680B">
      <w:pPr>
        <w:ind w:right="-93"/>
        <w:rPr>
          <w:bCs/>
          <w:sz w:val="24"/>
          <w:szCs w:val="24"/>
        </w:rPr>
      </w:pPr>
    </w:p>
    <w:p w14:paraId="5A24E65A" w14:textId="44CDB839" w:rsidR="0022252F" w:rsidRDefault="00237C1E" w:rsidP="0070680B">
      <w:pPr>
        <w:ind w:right="-93"/>
        <w:rPr>
          <w:bCs/>
          <w:sz w:val="24"/>
          <w:szCs w:val="24"/>
        </w:rPr>
      </w:pPr>
      <w:r>
        <w:rPr>
          <w:bCs/>
          <w:sz w:val="24"/>
          <w:szCs w:val="24"/>
        </w:rPr>
        <w:t xml:space="preserve">La parte demandada presentó recurso de apelación, con fundamento en que </w:t>
      </w:r>
      <w:r w:rsidR="0022252F">
        <w:rPr>
          <w:bCs/>
          <w:sz w:val="24"/>
          <w:szCs w:val="24"/>
        </w:rPr>
        <w:t>la Procuraduría General de la Nación no demandó las Resoluciones 001 de 2019 y del 2020, actos que, al quedar en firme, solo permitiría realizar un nuevo nombramiento de personero. De otra parte, que las normas de la convocatoria no prohibieron de forma expresa el uso de medios electrónicos.</w:t>
      </w:r>
    </w:p>
    <w:p w14:paraId="232131D5" w14:textId="4B818B06" w:rsidR="0022252F" w:rsidRDefault="0022252F" w:rsidP="0070680B">
      <w:pPr>
        <w:ind w:right="-93"/>
        <w:rPr>
          <w:bCs/>
          <w:sz w:val="24"/>
          <w:szCs w:val="24"/>
        </w:rPr>
      </w:pPr>
    </w:p>
    <w:p w14:paraId="43BF4C6E" w14:textId="085516C8" w:rsidR="0022252F" w:rsidRDefault="0022252F" w:rsidP="0070680B">
      <w:pPr>
        <w:ind w:right="-93"/>
        <w:rPr>
          <w:bCs/>
          <w:sz w:val="24"/>
          <w:szCs w:val="24"/>
        </w:rPr>
      </w:pPr>
      <w:r>
        <w:rPr>
          <w:bCs/>
          <w:sz w:val="24"/>
          <w:szCs w:val="24"/>
        </w:rPr>
        <w:t>Finalmente, el Tribunal Administrativo del Atlántico, en fallo del 3 de marzo de 202</w:t>
      </w:r>
      <w:r w:rsidR="00825161">
        <w:rPr>
          <w:bCs/>
          <w:sz w:val="24"/>
          <w:szCs w:val="24"/>
        </w:rPr>
        <w:t>2</w:t>
      </w:r>
      <w:r>
        <w:rPr>
          <w:bCs/>
          <w:sz w:val="24"/>
          <w:szCs w:val="24"/>
        </w:rPr>
        <w:t>,</w:t>
      </w:r>
      <w:r w:rsidR="00825161">
        <w:rPr>
          <w:bCs/>
          <w:sz w:val="24"/>
          <w:szCs w:val="24"/>
        </w:rPr>
        <w:t xml:space="preserve"> confirmó la decisión apelada, en la medida en que estimó que las normas sobre plazos para la inscripción fueron vulneradas, pero las atinentes al uso de los medios electrónicos no. Asimismo, que como el cargo relacionado con la idoneidad de la Universidad de la Costa no fue controvertido en apelación</w:t>
      </w:r>
      <w:r w:rsidR="00785FD9">
        <w:rPr>
          <w:bCs/>
          <w:sz w:val="24"/>
          <w:szCs w:val="24"/>
        </w:rPr>
        <w:t>, no había lugar a revocar la providencia de primera instancia</w:t>
      </w:r>
      <w:r w:rsidR="00825161">
        <w:rPr>
          <w:bCs/>
          <w:sz w:val="24"/>
          <w:szCs w:val="24"/>
        </w:rPr>
        <w:t xml:space="preserve">. </w:t>
      </w:r>
    </w:p>
    <w:p w14:paraId="6E98A760" w14:textId="7159F74C" w:rsidR="00825161" w:rsidRDefault="00825161" w:rsidP="0070680B">
      <w:pPr>
        <w:ind w:right="-93"/>
        <w:rPr>
          <w:bCs/>
          <w:sz w:val="24"/>
          <w:szCs w:val="24"/>
        </w:rPr>
      </w:pPr>
    </w:p>
    <w:p w14:paraId="23710E54" w14:textId="05E6A60D" w:rsidR="00825161" w:rsidRDefault="00825161" w:rsidP="0070680B">
      <w:pPr>
        <w:ind w:right="-93"/>
        <w:rPr>
          <w:bCs/>
          <w:sz w:val="24"/>
          <w:szCs w:val="24"/>
        </w:rPr>
      </w:pPr>
      <w:r>
        <w:rPr>
          <w:bCs/>
          <w:sz w:val="24"/>
          <w:szCs w:val="24"/>
        </w:rPr>
        <w:t>Pues bien, Evaristo Arteta Castro</w:t>
      </w:r>
      <w:r w:rsidR="00187D66">
        <w:rPr>
          <w:bCs/>
          <w:sz w:val="24"/>
          <w:szCs w:val="24"/>
        </w:rPr>
        <w:t>, al trascribir de manera literal la solicitud de aclaración en el</w:t>
      </w:r>
      <w:r>
        <w:rPr>
          <w:bCs/>
          <w:sz w:val="24"/>
          <w:szCs w:val="24"/>
        </w:rPr>
        <w:t xml:space="preserve"> escrito de tutela, </w:t>
      </w:r>
      <w:r w:rsidR="00187D66">
        <w:rPr>
          <w:bCs/>
          <w:sz w:val="24"/>
          <w:szCs w:val="24"/>
        </w:rPr>
        <w:t xml:space="preserve">afirmó, </w:t>
      </w:r>
      <w:r>
        <w:rPr>
          <w:bCs/>
          <w:sz w:val="24"/>
          <w:szCs w:val="24"/>
        </w:rPr>
        <w:t xml:space="preserve">en concreto, que todos los argumentos de la demanda de nulidad electoral fueron desestimados en el proceso ordinario </w:t>
      </w:r>
      <w:r w:rsidR="002710EC">
        <w:rPr>
          <w:bCs/>
          <w:sz w:val="24"/>
          <w:szCs w:val="24"/>
        </w:rPr>
        <w:t>con</w:t>
      </w:r>
      <w:r>
        <w:rPr>
          <w:bCs/>
          <w:sz w:val="24"/>
          <w:szCs w:val="24"/>
        </w:rPr>
        <w:t xml:space="preserve"> el auto del 26 de noviembre de 2020 y </w:t>
      </w:r>
      <w:r w:rsidR="002710EC">
        <w:rPr>
          <w:bCs/>
          <w:sz w:val="24"/>
          <w:szCs w:val="24"/>
        </w:rPr>
        <w:t>con</w:t>
      </w:r>
      <w:r>
        <w:rPr>
          <w:bCs/>
          <w:sz w:val="24"/>
          <w:szCs w:val="24"/>
        </w:rPr>
        <w:t xml:space="preserve"> la sentencia del </w:t>
      </w:r>
      <w:r w:rsidR="00B069B2">
        <w:rPr>
          <w:bCs/>
          <w:sz w:val="24"/>
          <w:szCs w:val="24"/>
        </w:rPr>
        <w:t>3 de marzo de 2022</w:t>
      </w:r>
      <w:r w:rsidR="0059628D">
        <w:rPr>
          <w:bCs/>
          <w:sz w:val="24"/>
          <w:szCs w:val="24"/>
        </w:rPr>
        <w:t>, y que el Tribunal Administrativo del Atlántico desconoció que, de acuerdo al Consejo de Estado, la Resolución 001 de 2019 de Convocatoria es susceptible de control judicial</w:t>
      </w:r>
      <w:r w:rsidR="000225A0">
        <w:rPr>
          <w:bCs/>
          <w:sz w:val="24"/>
          <w:szCs w:val="24"/>
        </w:rPr>
        <w:t xml:space="preserve"> y, por lo tanto,</w:t>
      </w:r>
      <w:r w:rsidR="0059628D">
        <w:rPr>
          <w:bCs/>
          <w:sz w:val="24"/>
          <w:szCs w:val="24"/>
        </w:rPr>
        <w:t xml:space="preserve"> debió ser demandado </w:t>
      </w:r>
      <w:r w:rsidR="00C5678F">
        <w:rPr>
          <w:bCs/>
          <w:sz w:val="24"/>
          <w:szCs w:val="24"/>
        </w:rPr>
        <w:t>por la Procuraduría General de la Nación</w:t>
      </w:r>
      <w:r w:rsidR="00B069B2">
        <w:rPr>
          <w:bCs/>
          <w:sz w:val="24"/>
          <w:szCs w:val="24"/>
        </w:rPr>
        <w:t xml:space="preserve">. Además, que las autoridades judiciales accionadas incurrieron en incongruencia interna y externa, entre el mencionado auto y las sentencias de primera y segunda instancia emitidas </w:t>
      </w:r>
      <w:r w:rsidR="000225A0">
        <w:rPr>
          <w:bCs/>
          <w:sz w:val="24"/>
          <w:szCs w:val="24"/>
        </w:rPr>
        <w:t>dentro</w:t>
      </w:r>
      <w:r w:rsidR="00B069B2">
        <w:rPr>
          <w:bCs/>
          <w:sz w:val="24"/>
          <w:szCs w:val="24"/>
        </w:rPr>
        <w:t xml:space="preserve"> </w:t>
      </w:r>
      <w:r w:rsidR="000225A0">
        <w:rPr>
          <w:bCs/>
          <w:sz w:val="24"/>
          <w:szCs w:val="24"/>
        </w:rPr>
        <w:t>d</w:t>
      </w:r>
      <w:r w:rsidR="00B069B2">
        <w:rPr>
          <w:bCs/>
          <w:sz w:val="24"/>
          <w:szCs w:val="24"/>
        </w:rPr>
        <w:t>el proceso ordinario.</w:t>
      </w:r>
    </w:p>
    <w:p w14:paraId="2167A836" w14:textId="20ACF32A" w:rsidR="002710EC" w:rsidRDefault="002710EC" w:rsidP="0070680B">
      <w:pPr>
        <w:ind w:right="-93"/>
        <w:rPr>
          <w:bCs/>
          <w:sz w:val="24"/>
          <w:szCs w:val="24"/>
        </w:rPr>
      </w:pPr>
    </w:p>
    <w:p w14:paraId="25F95A0B" w14:textId="4EB6B9B2" w:rsidR="002710EC" w:rsidRDefault="00187D66" w:rsidP="0070680B">
      <w:pPr>
        <w:ind w:right="-93"/>
        <w:rPr>
          <w:bCs/>
          <w:sz w:val="24"/>
          <w:szCs w:val="24"/>
        </w:rPr>
      </w:pPr>
      <w:r>
        <w:rPr>
          <w:bCs/>
          <w:sz w:val="24"/>
          <w:szCs w:val="24"/>
        </w:rPr>
        <w:t>Sobre</w:t>
      </w:r>
      <w:r w:rsidR="002710EC">
        <w:rPr>
          <w:bCs/>
          <w:sz w:val="24"/>
          <w:szCs w:val="24"/>
        </w:rPr>
        <w:t xml:space="preserve"> el primer punto, cabe decir que las protestas de la solicitud de amparo no proponen la configuración de </w:t>
      </w:r>
      <w:r w:rsidR="00083F7F">
        <w:rPr>
          <w:bCs/>
          <w:sz w:val="24"/>
          <w:szCs w:val="24"/>
        </w:rPr>
        <w:t xml:space="preserve">una causal </w:t>
      </w:r>
      <w:r w:rsidR="002710EC">
        <w:rPr>
          <w:bCs/>
          <w:sz w:val="24"/>
          <w:szCs w:val="24"/>
        </w:rPr>
        <w:t>específic</w:t>
      </w:r>
      <w:r w:rsidR="00083F7F">
        <w:rPr>
          <w:bCs/>
          <w:sz w:val="24"/>
          <w:szCs w:val="24"/>
        </w:rPr>
        <w:t>a</w:t>
      </w:r>
      <w:r w:rsidR="002710EC">
        <w:rPr>
          <w:bCs/>
          <w:sz w:val="24"/>
          <w:szCs w:val="24"/>
        </w:rPr>
        <w:t xml:space="preserve"> de procedibilidad, sino que, por el contrario, </w:t>
      </w:r>
      <w:r w:rsidR="00AC769C">
        <w:rPr>
          <w:bCs/>
          <w:sz w:val="24"/>
          <w:szCs w:val="24"/>
        </w:rPr>
        <w:t>continúan</w:t>
      </w:r>
      <w:r w:rsidR="002710EC">
        <w:rPr>
          <w:bCs/>
          <w:sz w:val="24"/>
          <w:szCs w:val="24"/>
        </w:rPr>
        <w:t xml:space="preserve"> con el debate </w:t>
      </w:r>
      <w:r w:rsidR="00083F7F">
        <w:rPr>
          <w:bCs/>
          <w:sz w:val="24"/>
          <w:szCs w:val="24"/>
        </w:rPr>
        <w:t xml:space="preserve">propio </w:t>
      </w:r>
      <w:r w:rsidR="002710EC">
        <w:rPr>
          <w:bCs/>
          <w:sz w:val="24"/>
          <w:szCs w:val="24"/>
        </w:rPr>
        <w:t xml:space="preserve">del proceso ordinario </w:t>
      </w:r>
      <w:r>
        <w:rPr>
          <w:bCs/>
          <w:sz w:val="24"/>
          <w:szCs w:val="24"/>
        </w:rPr>
        <w:t>dirigido a</w:t>
      </w:r>
      <w:r w:rsidR="00247E40">
        <w:rPr>
          <w:bCs/>
          <w:sz w:val="24"/>
          <w:szCs w:val="24"/>
        </w:rPr>
        <w:t xml:space="preserve"> </w:t>
      </w:r>
      <w:r w:rsidR="0043618B">
        <w:rPr>
          <w:bCs/>
          <w:sz w:val="24"/>
          <w:szCs w:val="24"/>
        </w:rPr>
        <w:t>definir la</w:t>
      </w:r>
      <w:r w:rsidR="00247E40">
        <w:rPr>
          <w:bCs/>
          <w:sz w:val="24"/>
          <w:szCs w:val="24"/>
        </w:rPr>
        <w:t xml:space="preserve"> legalidad </w:t>
      </w:r>
      <w:r w:rsidR="0043618B">
        <w:rPr>
          <w:bCs/>
          <w:sz w:val="24"/>
          <w:szCs w:val="24"/>
        </w:rPr>
        <w:t>de</w:t>
      </w:r>
      <w:r w:rsidR="00247E40">
        <w:rPr>
          <w:bCs/>
          <w:sz w:val="24"/>
          <w:szCs w:val="24"/>
        </w:rPr>
        <w:t>l concurso de méritos</w:t>
      </w:r>
      <w:r w:rsidR="00AC769C">
        <w:rPr>
          <w:bCs/>
          <w:sz w:val="24"/>
          <w:szCs w:val="24"/>
        </w:rPr>
        <w:t xml:space="preserve"> que</w:t>
      </w:r>
      <w:r w:rsidR="00247E40">
        <w:rPr>
          <w:bCs/>
          <w:sz w:val="24"/>
          <w:szCs w:val="24"/>
        </w:rPr>
        <w:t xml:space="preserve"> agot</w:t>
      </w:r>
      <w:r w:rsidR="00AC769C">
        <w:rPr>
          <w:bCs/>
          <w:sz w:val="24"/>
          <w:szCs w:val="24"/>
        </w:rPr>
        <w:t>ó el Concejo de Juan de Acosta</w:t>
      </w:r>
      <w:r w:rsidR="00247E40">
        <w:rPr>
          <w:bCs/>
          <w:sz w:val="24"/>
          <w:szCs w:val="24"/>
        </w:rPr>
        <w:t xml:space="preserve"> para seleccionar personero municipal</w:t>
      </w:r>
      <w:r>
        <w:rPr>
          <w:bCs/>
          <w:sz w:val="24"/>
          <w:szCs w:val="24"/>
        </w:rPr>
        <w:t>, en relación con el plazo previsto para la inscripción de candidatos</w:t>
      </w:r>
      <w:r w:rsidR="00133700">
        <w:rPr>
          <w:bCs/>
          <w:sz w:val="24"/>
          <w:szCs w:val="24"/>
        </w:rPr>
        <w:t>, el uso de las tecnologías de la información y la comunicación y la idoneidad de la Universidad de la Costa</w:t>
      </w:r>
      <w:r w:rsidR="00247E40">
        <w:rPr>
          <w:bCs/>
          <w:sz w:val="24"/>
          <w:szCs w:val="24"/>
        </w:rPr>
        <w:t xml:space="preserve">. </w:t>
      </w:r>
    </w:p>
    <w:p w14:paraId="2AC648D9" w14:textId="13E56E53" w:rsidR="00AC769C" w:rsidRDefault="00AC769C" w:rsidP="0070680B">
      <w:pPr>
        <w:ind w:right="-93"/>
        <w:rPr>
          <w:bCs/>
          <w:sz w:val="24"/>
          <w:szCs w:val="24"/>
        </w:rPr>
      </w:pPr>
    </w:p>
    <w:p w14:paraId="63C6102F" w14:textId="1BE8FE34" w:rsidR="00AC769C" w:rsidRDefault="00AC769C" w:rsidP="0070680B">
      <w:pPr>
        <w:ind w:right="-93"/>
        <w:rPr>
          <w:bCs/>
          <w:sz w:val="24"/>
          <w:szCs w:val="24"/>
        </w:rPr>
      </w:pPr>
      <w:r>
        <w:rPr>
          <w:bCs/>
          <w:sz w:val="24"/>
          <w:szCs w:val="24"/>
        </w:rPr>
        <w:t xml:space="preserve">En particular, el señor Arteta Castro no </w:t>
      </w:r>
      <w:r w:rsidR="0059037C">
        <w:rPr>
          <w:bCs/>
          <w:sz w:val="24"/>
          <w:szCs w:val="24"/>
        </w:rPr>
        <w:t xml:space="preserve">expuso </w:t>
      </w:r>
      <w:r w:rsidR="00C302A0">
        <w:rPr>
          <w:bCs/>
          <w:sz w:val="24"/>
          <w:szCs w:val="24"/>
        </w:rPr>
        <w:t>alguna circunstancia que permitiera comprender que</w:t>
      </w:r>
      <w:r w:rsidR="0059037C">
        <w:rPr>
          <w:bCs/>
          <w:sz w:val="24"/>
          <w:szCs w:val="24"/>
        </w:rPr>
        <w:t xml:space="preserve"> </w:t>
      </w:r>
      <w:r w:rsidR="00C302A0">
        <w:rPr>
          <w:bCs/>
          <w:sz w:val="24"/>
          <w:szCs w:val="24"/>
        </w:rPr>
        <w:t xml:space="preserve">el Juez Octavo Administrativo de Barranquilla </w:t>
      </w:r>
      <w:r w:rsidR="00083F7F">
        <w:rPr>
          <w:bCs/>
          <w:sz w:val="24"/>
          <w:szCs w:val="24"/>
        </w:rPr>
        <w:t>y</w:t>
      </w:r>
      <w:r w:rsidR="0059037C">
        <w:rPr>
          <w:bCs/>
          <w:sz w:val="24"/>
          <w:szCs w:val="24"/>
        </w:rPr>
        <w:t xml:space="preserve"> el Tribunal Administrativo del Atlántico incurrieron en</w:t>
      </w:r>
      <w:r w:rsidR="00DD3217">
        <w:rPr>
          <w:bCs/>
          <w:sz w:val="24"/>
          <w:szCs w:val="24"/>
        </w:rPr>
        <w:t xml:space="preserve"> un error inducido, en</w:t>
      </w:r>
      <w:r>
        <w:rPr>
          <w:bCs/>
          <w:sz w:val="24"/>
          <w:szCs w:val="24"/>
        </w:rPr>
        <w:t xml:space="preserve"> una indebida valoración probatoria</w:t>
      </w:r>
      <w:r w:rsidR="00C302A0">
        <w:rPr>
          <w:bCs/>
          <w:sz w:val="24"/>
          <w:szCs w:val="24"/>
        </w:rPr>
        <w:t xml:space="preserve">, </w:t>
      </w:r>
      <w:r w:rsidR="0059037C">
        <w:rPr>
          <w:bCs/>
          <w:sz w:val="24"/>
          <w:szCs w:val="24"/>
        </w:rPr>
        <w:t>no</w:t>
      </w:r>
      <w:r w:rsidR="00C302A0">
        <w:rPr>
          <w:bCs/>
          <w:sz w:val="24"/>
          <w:szCs w:val="24"/>
        </w:rPr>
        <w:t xml:space="preserve"> </w:t>
      </w:r>
      <w:r w:rsidR="0059037C">
        <w:rPr>
          <w:bCs/>
          <w:sz w:val="24"/>
          <w:szCs w:val="24"/>
        </w:rPr>
        <w:t xml:space="preserve">decretaron </w:t>
      </w:r>
      <w:r w:rsidR="00C302A0">
        <w:rPr>
          <w:bCs/>
          <w:sz w:val="24"/>
          <w:szCs w:val="24"/>
        </w:rPr>
        <w:t>pruebas</w:t>
      </w:r>
      <w:r w:rsidR="0059037C">
        <w:rPr>
          <w:bCs/>
          <w:sz w:val="24"/>
          <w:szCs w:val="24"/>
        </w:rPr>
        <w:t xml:space="preserve"> solicitadas o no las practicaron</w:t>
      </w:r>
      <w:r w:rsidR="00C302A0">
        <w:rPr>
          <w:bCs/>
          <w:sz w:val="24"/>
          <w:szCs w:val="24"/>
        </w:rPr>
        <w:t xml:space="preserve">, </w:t>
      </w:r>
      <w:r w:rsidR="0059037C">
        <w:rPr>
          <w:bCs/>
          <w:sz w:val="24"/>
          <w:szCs w:val="24"/>
        </w:rPr>
        <w:t>interpretaron</w:t>
      </w:r>
      <w:r w:rsidR="00C302A0">
        <w:rPr>
          <w:bCs/>
          <w:sz w:val="24"/>
          <w:szCs w:val="24"/>
        </w:rPr>
        <w:t xml:space="preserve"> o </w:t>
      </w:r>
      <w:r w:rsidR="00C302A0">
        <w:rPr>
          <w:bCs/>
          <w:sz w:val="24"/>
          <w:szCs w:val="24"/>
        </w:rPr>
        <w:lastRenderedPageBreak/>
        <w:t>aplica</w:t>
      </w:r>
      <w:r w:rsidR="0059037C">
        <w:rPr>
          <w:bCs/>
          <w:sz w:val="24"/>
          <w:szCs w:val="24"/>
        </w:rPr>
        <w:t>ron de manera irrazonable las</w:t>
      </w:r>
      <w:r w:rsidR="00C302A0">
        <w:rPr>
          <w:bCs/>
          <w:sz w:val="24"/>
          <w:szCs w:val="24"/>
        </w:rPr>
        <w:t xml:space="preserve"> norma</w:t>
      </w:r>
      <w:r w:rsidR="0059037C">
        <w:rPr>
          <w:bCs/>
          <w:sz w:val="24"/>
          <w:szCs w:val="24"/>
        </w:rPr>
        <w:t>s sobre la materia</w:t>
      </w:r>
      <w:r w:rsidR="00C302A0">
        <w:rPr>
          <w:bCs/>
          <w:sz w:val="24"/>
          <w:szCs w:val="24"/>
        </w:rPr>
        <w:t xml:space="preserve">, </w:t>
      </w:r>
      <w:r w:rsidR="00083F7F">
        <w:rPr>
          <w:bCs/>
          <w:sz w:val="24"/>
          <w:szCs w:val="24"/>
        </w:rPr>
        <w:t xml:space="preserve">causaron </w:t>
      </w:r>
      <w:r w:rsidR="00C302A0">
        <w:rPr>
          <w:bCs/>
          <w:sz w:val="24"/>
          <w:szCs w:val="24"/>
        </w:rPr>
        <w:t>un defecto orgánico, procedimental absoluto</w:t>
      </w:r>
      <w:r w:rsidR="00DD3217">
        <w:rPr>
          <w:bCs/>
          <w:sz w:val="24"/>
          <w:szCs w:val="24"/>
        </w:rPr>
        <w:t xml:space="preserve"> o no motivaron sus decisiones. </w:t>
      </w:r>
    </w:p>
    <w:p w14:paraId="7A8535B7" w14:textId="77777777" w:rsidR="0022252F" w:rsidRDefault="0022252F" w:rsidP="0070680B">
      <w:pPr>
        <w:ind w:right="-93"/>
        <w:rPr>
          <w:bCs/>
          <w:sz w:val="24"/>
          <w:szCs w:val="24"/>
        </w:rPr>
      </w:pPr>
    </w:p>
    <w:p w14:paraId="1FCBC348" w14:textId="2C3DACEA" w:rsidR="00FA20BE" w:rsidRPr="001F41BF" w:rsidRDefault="0059628D" w:rsidP="0070680B">
      <w:pPr>
        <w:ind w:right="-93"/>
        <w:rPr>
          <w:bCs/>
          <w:sz w:val="24"/>
          <w:szCs w:val="24"/>
        </w:rPr>
      </w:pPr>
      <w:r>
        <w:rPr>
          <w:bCs/>
          <w:sz w:val="24"/>
          <w:szCs w:val="24"/>
        </w:rPr>
        <w:t>En cuanto al supuesto desconocimiento del precedente judicial</w:t>
      </w:r>
      <w:r w:rsidR="0083452C">
        <w:rPr>
          <w:bCs/>
          <w:sz w:val="24"/>
          <w:szCs w:val="24"/>
        </w:rPr>
        <w:t xml:space="preserve">, concretamente la </w:t>
      </w:r>
      <w:r w:rsidR="00783534">
        <w:rPr>
          <w:bCs/>
          <w:sz w:val="24"/>
          <w:szCs w:val="24"/>
        </w:rPr>
        <w:t>sentencia del 8 de marzo de 2012 del Consejo de Estado</w:t>
      </w:r>
      <w:r>
        <w:rPr>
          <w:bCs/>
          <w:sz w:val="24"/>
          <w:szCs w:val="24"/>
        </w:rPr>
        <w:t xml:space="preserve">, es preciso </w:t>
      </w:r>
      <w:r w:rsidR="00783534">
        <w:rPr>
          <w:bCs/>
          <w:sz w:val="24"/>
          <w:szCs w:val="24"/>
        </w:rPr>
        <w:t>indicar que el interesado no explicó las razones por las que, dicho pronunciamiento</w:t>
      </w:r>
      <w:r w:rsidR="00B02860">
        <w:rPr>
          <w:bCs/>
          <w:sz w:val="24"/>
          <w:szCs w:val="24"/>
        </w:rPr>
        <w:t>,</w:t>
      </w:r>
      <w:r w:rsidR="00783534">
        <w:rPr>
          <w:bCs/>
          <w:sz w:val="24"/>
          <w:szCs w:val="24"/>
        </w:rPr>
        <w:t xml:space="preserve"> debía prevalecer sobre el que citó el Tr</w:t>
      </w:r>
      <w:bookmarkStart w:id="2" w:name="_GoBack"/>
      <w:bookmarkEnd w:id="2"/>
      <w:r w:rsidR="00783534">
        <w:rPr>
          <w:bCs/>
          <w:sz w:val="24"/>
          <w:szCs w:val="24"/>
        </w:rPr>
        <w:t>ibunal Administrativo del Atlántico</w:t>
      </w:r>
      <w:r w:rsidR="00B02860">
        <w:rPr>
          <w:bCs/>
          <w:sz w:val="24"/>
          <w:szCs w:val="24"/>
        </w:rPr>
        <w:t>, que también es del Alto Tribunal Administrativo</w:t>
      </w:r>
      <w:r w:rsidR="00783534">
        <w:rPr>
          <w:bCs/>
          <w:sz w:val="24"/>
          <w:szCs w:val="24"/>
        </w:rPr>
        <w:t>,</w:t>
      </w:r>
      <w:r w:rsidR="00B02860">
        <w:rPr>
          <w:bCs/>
          <w:sz w:val="24"/>
          <w:szCs w:val="24"/>
        </w:rPr>
        <w:t xml:space="preserve"> es más reciente y sostiene una postura distinta</w:t>
      </w:r>
      <w:r w:rsidR="0043618B">
        <w:rPr>
          <w:bCs/>
          <w:sz w:val="24"/>
          <w:szCs w:val="24"/>
        </w:rPr>
        <w:t xml:space="preserve"> a la</w:t>
      </w:r>
      <w:r w:rsidR="0083452C">
        <w:rPr>
          <w:bCs/>
          <w:sz w:val="24"/>
          <w:szCs w:val="24"/>
        </w:rPr>
        <w:t xml:space="preserve"> contenida en la providencia que citó como desconocida. </w:t>
      </w:r>
    </w:p>
    <w:p w14:paraId="543503CE" w14:textId="77777777" w:rsidR="00C7150D" w:rsidRDefault="00C7150D" w:rsidP="0070680B">
      <w:pPr>
        <w:ind w:right="-93"/>
        <w:rPr>
          <w:bCs/>
          <w:sz w:val="24"/>
          <w:szCs w:val="24"/>
        </w:rPr>
      </w:pPr>
    </w:p>
    <w:p w14:paraId="5A3E9E20" w14:textId="47092274" w:rsidR="0070680B" w:rsidRDefault="0070680B" w:rsidP="0070680B">
      <w:pPr>
        <w:ind w:right="-93"/>
        <w:rPr>
          <w:sz w:val="24"/>
          <w:szCs w:val="24"/>
          <w:lang w:val="es-ES"/>
        </w:rPr>
      </w:pPr>
      <w:r w:rsidRPr="00E42E66">
        <w:rPr>
          <w:sz w:val="24"/>
          <w:szCs w:val="24"/>
        </w:rPr>
        <w:t>En tales condiciones</w:t>
      </w:r>
      <w:r>
        <w:rPr>
          <w:sz w:val="24"/>
          <w:szCs w:val="24"/>
        </w:rPr>
        <w:t>,</w:t>
      </w:r>
      <w:r w:rsidRPr="00E42E66">
        <w:rPr>
          <w:sz w:val="24"/>
          <w:szCs w:val="24"/>
        </w:rPr>
        <w:t xml:space="preserve"> </w:t>
      </w:r>
      <w:r>
        <w:rPr>
          <w:sz w:val="24"/>
          <w:szCs w:val="24"/>
        </w:rPr>
        <w:t xml:space="preserve">esta Sala </w:t>
      </w:r>
      <w:r w:rsidR="00C7150D">
        <w:rPr>
          <w:sz w:val="24"/>
          <w:szCs w:val="24"/>
        </w:rPr>
        <w:t>observa</w:t>
      </w:r>
      <w:r>
        <w:rPr>
          <w:sz w:val="24"/>
          <w:szCs w:val="24"/>
        </w:rPr>
        <w:t xml:space="preserve"> que </w:t>
      </w:r>
      <w:r w:rsidRPr="00E42E66">
        <w:rPr>
          <w:sz w:val="24"/>
          <w:szCs w:val="24"/>
        </w:rPr>
        <w:t xml:space="preserve">los cargos de la acción </w:t>
      </w:r>
      <w:r>
        <w:rPr>
          <w:sz w:val="24"/>
          <w:szCs w:val="24"/>
        </w:rPr>
        <w:t>son</w:t>
      </w:r>
      <w:r w:rsidRPr="00E42E66">
        <w:rPr>
          <w:sz w:val="24"/>
          <w:szCs w:val="24"/>
        </w:rPr>
        <w:t xml:space="preserve"> huérfanos de relevancia constitucional, pues la parte actora, lejos de exponer las circunstancias en que </w:t>
      </w:r>
      <w:r w:rsidR="003E7D78">
        <w:rPr>
          <w:sz w:val="24"/>
          <w:szCs w:val="24"/>
        </w:rPr>
        <w:t>la</w:t>
      </w:r>
      <w:r w:rsidR="0043618B">
        <w:rPr>
          <w:sz w:val="24"/>
          <w:szCs w:val="24"/>
        </w:rPr>
        <w:t>s sentencias del 11 de mayo de 2021 y del 3 de marzo de 2022</w:t>
      </w:r>
      <w:r w:rsidR="003E7D78">
        <w:rPr>
          <w:sz w:val="24"/>
          <w:szCs w:val="24"/>
        </w:rPr>
        <w:t xml:space="preserve"> </w:t>
      </w:r>
      <w:r w:rsidRPr="00E42E66">
        <w:rPr>
          <w:sz w:val="24"/>
          <w:szCs w:val="24"/>
        </w:rPr>
        <w:t>vulner</w:t>
      </w:r>
      <w:r w:rsidR="0043618B">
        <w:rPr>
          <w:sz w:val="24"/>
          <w:szCs w:val="24"/>
        </w:rPr>
        <w:t>aron</w:t>
      </w:r>
      <w:r w:rsidRPr="00E42E66">
        <w:rPr>
          <w:sz w:val="24"/>
          <w:szCs w:val="24"/>
        </w:rPr>
        <w:t xml:space="preserve"> sus derechos fundamentales, </w:t>
      </w:r>
      <w:r w:rsidRPr="00E42E66">
        <w:rPr>
          <w:sz w:val="24"/>
          <w:szCs w:val="24"/>
          <w:lang w:val="es-ES"/>
        </w:rPr>
        <w:t xml:space="preserve">procura utilizar este </w:t>
      </w:r>
      <w:r>
        <w:rPr>
          <w:sz w:val="24"/>
          <w:szCs w:val="24"/>
          <w:lang w:val="es-ES"/>
        </w:rPr>
        <w:t>medio de control como una tercera instancia</w:t>
      </w:r>
      <w:r w:rsidRPr="00E42E66">
        <w:rPr>
          <w:sz w:val="24"/>
          <w:szCs w:val="24"/>
          <w:lang w:val="es-ES"/>
        </w:rPr>
        <w:t xml:space="preserve"> para plantear </w:t>
      </w:r>
      <w:r>
        <w:rPr>
          <w:sz w:val="24"/>
          <w:szCs w:val="24"/>
          <w:lang w:val="es-ES"/>
        </w:rPr>
        <w:t xml:space="preserve">su inconformidad y obtener una decisión favorable a sus pretensiones, a pesar de que sus argumentos fueron resueltos por el juez natural en el proceso ordinario. </w:t>
      </w:r>
    </w:p>
    <w:p w14:paraId="78F4C610" w14:textId="615F4FF8" w:rsidR="00C7150D" w:rsidRDefault="00C7150D" w:rsidP="0070680B">
      <w:pPr>
        <w:ind w:right="-93"/>
        <w:rPr>
          <w:sz w:val="24"/>
          <w:szCs w:val="24"/>
          <w:lang w:val="es-ES"/>
        </w:rPr>
      </w:pPr>
    </w:p>
    <w:p w14:paraId="208BB630" w14:textId="14F17162" w:rsidR="00C7150D" w:rsidRDefault="00C7150D" w:rsidP="0070680B">
      <w:pPr>
        <w:ind w:right="-93"/>
        <w:rPr>
          <w:rFonts w:eastAsia="Times New Roman"/>
          <w:bCs/>
          <w:sz w:val="24"/>
          <w:szCs w:val="24"/>
          <w:lang w:val="es-ES_tradnl" w:eastAsia="es-ES"/>
        </w:rPr>
      </w:pPr>
      <w:r>
        <w:rPr>
          <w:sz w:val="24"/>
          <w:szCs w:val="24"/>
          <w:lang w:val="es-ES"/>
        </w:rPr>
        <w:t xml:space="preserve">En todo caso, esta Subsección </w:t>
      </w:r>
      <w:r w:rsidR="00B02E37">
        <w:rPr>
          <w:sz w:val="24"/>
          <w:szCs w:val="24"/>
          <w:lang w:val="es-ES"/>
        </w:rPr>
        <w:t xml:space="preserve">encuentra que </w:t>
      </w:r>
      <w:r w:rsidR="00B02E37">
        <w:rPr>
          <w:rFonts w:eastAsia="Times New Roman"/>
          <w:bCs/>
          <w:sz w:val="24"/>
          <w:szCs w:val="24"/>
          <w:lang w:eastAsia="es-ES"/>
        </w:rPr>
        <w:t>l</w:t>
      </w:r>
      <w:r w:rsidR="00B02E37" w:rsidRPr="009C78F2">
        <w:rPr>
          <w:rFonts w:eastAsia="Times New Roman"/>
          <w:bCs/>
          <w:sz w:val="24"/>
          <w:szCs w:val="24"/>
          <w:lang w:val="es-ES_tradnl" w:eastAsia="es-ES"/>
        </w:rPr>
        <w:t>a vulneración del principio de congruencia ha sido considerada como una causal de nulidad originada en la sentencia</w:t>
      </w:r>
      <w:r w:rsidR="00B02E37" w:rsidRPr="009C78F2">
        <w:rPr>
          <w:rStyle w:val="Refdenotaalpie"/>
          <w:sz w:val="24"/>
          <w:szCs w:val="24"/>
        </w:rPr>
        <w:footnoteReference w:id="26"/>
      </w:r>
      <w:r w:rsidR="00B02E37" w:rsidRPr="009C78F2">
        <w:rPr>
          <w:rFonts w:eastAsia="Times New Roman"/>
          <w:bCs/>
          <w:sz w:val="24"/>
          <w:szCs w:val="24"/>
          <w:lang w:val="es-ES_tradnl" w:eastAsia="es-ES"/>
        </w:rPr>
        <w:t xml:space="preserve">, y el numeral 5 del artículo 250 del CPACA, prescribe, como causal para presentar recurso extraordinario de revisión, la existencia de </w:t>
      </w:r>
      <w:r w:rsidR="00B02E37">
        <w:rPr>
          <w:rFonts w:eastAsia="Times New Roman"/>
          <w:bCs/>
          <w:sz w:val="24"/>
          <w:szCs w:val="24"/>
          <w:lang w:val="es-ES_tradnl" w:eastAsia="es-ES"/>
        </w:rPr>
        <w:t xml:space="preserve">una </w:t>
      </w:r>
      <w:r w:rsidR="00B02E37" w:rsidRPr="009C78F2">
        <w:rPr>
          <w:rFonts w:eastAsia="Times New Roman"/>
          <w:bCs/>
          <w:sz w:val="24"/>
          <w:szCs w:val="24"/>
          <w:lang w:val="es-ES_tradnl" w:eastAsia="es-ES"/>
        </w:rPr>
        <w:t>“nulidad originada en la sentencia que puso fin al proceso y contra la que no procede recurso de apelación”.</w:t>
      </w:r>
    </w:p>
    <w:p w14:paraId="0D9768E3" w14:textId="049F8D5B" w:rsidR="00B02E37" w:rsidRDefault="00B02E37" w:rsidP="0070680B">
      <w:pPr>
        <w:ind w:right="-93"/>
        <w:rPr>
          <w:rFonts w:eastAsia="Times New Roman"/>
          <w:bCs/>
          <w:sz w:val="24"/>
          <w:szCs w:val="24"/>
          <w:lang w:val="es-ES_tradnl" w:eastAsia="es-ES"/>
        </w:rPr>
      </w:pPr>
    </w:p>
    <w:p w14:paraId="3E193E1B" w14:textId="7AC03DF8" w:rsidR="00B02E37" w:rsidRPr="00BD3730" w:rsidRDefault="00B02E37" w:rsidP="00B02E37">
      <w:pPr>
        <w:tabs>
          <w:tab w:val="left" w:pos="0"/>
        </w:tabs>
        <w:contextualSpacing/>
        <w:rPr>
          <w:sz w:val="24"/>
          <w:szCs w:val="24"/>
          <w:lang w:val="es-ES" w:eastAsia="ja-JP"/>
        </w:rPr>
      </w:pPr>
      <w:r w:rsidRPr="00BD3730">
        <w:rPr>
          <w:sz w:val="24"/>
          <w:szCs w:val="24"/>
          <w:lang w:val="es-MX" w:eastAsia="ja-JP"/>
        </w:rPr>
        <w:t>Al respecto, la Sala Veintidós Especial de Decisión del Consejo de Estado, en sentencia del 2 de febrero de 2016, expresó “(…) la causal de revisión contenida en el numeral 5º del artículo 250 del CPACA –antes 6 del artículo 188 del C.C.A.-, es decir, nulidad originada en la sentencia, se puede configurar cuando el fallo objeto de revisión ha desatendido la congruencia interna y/o la externa, pues, en uno y otro caso, el fallador incurre en una clara violación del debido proceso, artículo 29 constitucional, dado que la providencia proferida en esos términos resulta contraria a las formas propias de cada juicio”</w:t>
      </w:r>
      <w:r w:rsidRPr="00BD3730">
        <w:rPr>
          <w:rStyle w:val="Refdenotaalpie"/>
          <w:sz w:val="24"/>
          <w:szCs w:val="24"/>
          <w:lang w:val="es-MX" w:eastAsia="ja-JP"/>
        </w:rPr>
        <w:footnoteReference w:id="27"/>
      </w:r>
      <w:r w:rsidRPr="00BD3730">
        <w:rPr>
          <w:sz w:val="24"/>
          <w:szCs w:val="24"/>
          <w:lang w:val="es-MX" w:eastAsia="ja-JP"/>
        </w:rPr>
        <w:t xml:space="preserve">. Esta posición fue reiterada recientemente por esta Subsección en la sentencia del 2 de abril de 2020, proferida dentro del expediente con radicado No. 11001-03-15-000-2019-05184-01.  </w:t>
      </w:r>
    </w:p>
    <w:p w14:paraId="0A18911A" w14:textId="04A93ECE" w:rsidR="00B02E37" w:rsidRPr="00BD3730" w:rsidRDefault="00B02E37" w:rsidP="00B02E37">
      <w:pPr>
        <w:tabs>
          <w:tab w:val="left" w:pos="0"/>
        </w:tabs>
        <w:contextualSpacing/>
        <w:rPr>
          <w:sz w:val="24"/>
          <w:szCs w:val="24"/>
          <w:lang w:val="es-MX" w:eastAsia="ja-JP"/>
        </w:rPr>
      </w:pPr>
    </w:p>
    <w:p w14:paraId="6B834911" w14:textId="06B7AEA7" w:rsidR="00B02E37" w:rsidRDefault="00B02E37" w:rsidP="00B02E37">
      <w:pPr>
        <w:overflowPunct w:val="0"/>
        <w:autoSpaceDE w:val="0"/>
        <w:autoSpaceDN w:val="0"/>
        <w:adjustRightInd w:val="0"/>
        <w:rPr>
          <w:sz w:val="24"/>
          <w:szCs w:val="24"/>
        </w:rPr>
      </w:pPr>
      <w:r w:rsidRPr="00BD3730">
        <w:rPr>
          <w:sz w:val="24"/>
          <w:szCs w:val="24"/>
          <w:lang w:val="es-MX" w:eastAsia="ja-JP"/>
        </w:rPr>
        <w:t xml:space="preserve">En ese orden, la Sala </w:t>
      </w:r>
      <w:r w:rsidR="001A26CC">
        <w:rPr>
          <w:sz w:val="24"/>
          <w:szCs w:val="24"/>
          <w:lang w:val="es-MX" w:eastAsia="ja-JP"/>
        </w:rPr>
        <w:t>concluye</w:t>
      </w:r>
      <w:r w:rsidRPr="00BD3730">
        <w:rPr>
          <w:sz w:val="24"/>
          <w:szCs w:val="24"/>
          <w:lang w:val="es-MX" w:eastAsia="ja-JP"/>
        </w:rPr>
        <w:t xml:space="preserve"> que i) los argumentos del escrito de solicitud de amparo constitucional, en concreto, atribuyen falta de congruencia a la</w:t>
      </w:r>
      <w:r w:rsidR="001A26CC">
        <w:rPr>
          <w:sz w:val="24"/>
          <w:szCs w:val="24"/>
          <w:lang w:val="es-MX" w:eastAsia="ja-JP"/>
        </w:rPr>
        <w:t>s</w:t>
      </w:r>
      <w:r w:rsidRPr="00BD3730">
        <w:rPr>
          <w:sz w:val="24"/>
          <w:szCs w:val="24"/>
          <w:lang w:val="es-MX" w:eastAsia="ja-JP"/>
        </w:rPr>
        <w:t xml:space="preserve"> providencia</w:t>
      </w:r>
      <w:r w:rsidR="001A26CC">
        <w:rPr>
          <w:sz w:val="24"/>
          <w:szCs w:val="24"/>
          <w:lang w:val="es-MX" w:eastAsia="ja-JP"/>
        </w:rPr>
        <w:t>s</w:t>
      </w:r>
      <w:r w:rsidRPr="00BD3730">
        <w:rPr>
          <w:sz w:val="24"/>
          <w:szCs w:val="24"/>
          <w:lang w:val="es-MX" w:eastAsia="ja-JP"/>
        </w:rPr>
        <w:t xml:space="preserve"> </w:t>
      </w:r>
      <w:r w:rsidR="001A26CC">
        <w:rPr>
          <w:sz w:val="24"/>
          <w:szCs w:val="24"/>
          <w:lang w:val="es-MX" w:eastAsia="ja-JP"/>
        </w:rPr>
        <w:t>cuestionadas</w:t>
      </w:r>
      <w:r w:rsidRPr="00BD3730">
        <w:rPr>
          <w:sz w:val="24"/>
          <w:szCs w:val="24"/>
          <w:lang w:val="es-MX" w:eastAsia="ja-JP"/>
        </w:rPr>
        <w:t xml:space="preserve">, entre lo solicitado en </w:t>
      </w:r>
      <w:r w:rsidR="001A26CC">
        <w:rPr>
          <w:sz w:val="24"/>
          <w:szCs w:val="24"/>
          <w:lang w:val="es-MX" w:eastAsia="ja-JP"/>
        </w:rPr>
        <w:t>el líbelo introductorio</w:t>
      </w:r>
      <w:r w:rsidR="006C4262">
        <w:rPr>
          <w:sz w:val="24"/>
          <w:szCs w:val="24"/>
          <w:lang w:val="es-MX" w:eastAsia="ja-JP"/>
        </w:rPr>
        <w:t xml:space="preserve"> de nulidad electoral</w:t>
      </w:r>
      <w:r w:rsidRPr="00BD3730">
        <w:rPr>
          <w:sz w:val="24"/>
          <w:szCs w:val="24"/>
          <w:lang w:val="es-MX" w:eastAsia="ja-JP"/>
        </w:rPr>
        <w:t>,</w:t>
      </w:r>
      <w:r w:rsidR="001A26CC">
        <w:rPr>
          <w:sz w:val="24"/>
          <w:szCs w:val="24"/>
          <w:lang w:val="es-MX" w:eastAsia="ja-JP"/>
        </w:rPr>
        <w:t xml:space="preserve"> las contestaciones de</w:t>
      </w:r>
      <w:r w:rsidR="006C4262">
        <w:rPr>
          <w:sz w:val="24"/>
          <w:szCs w:val="24"/>
          <w:lang w:val="es-MX" w:eastAsia="ja-JP"/>
        </w:rPr>
        <w:t xml:space="preserve"> la</w:t>
      </w:r>
      <w:r w:rsidR="001A26CC">
        <w:rPr>
          <w:sz w:val="24"/>
          <w:szCs w:val="24"/>
          <w:lang w:val="es-MX" w:eastAsia="ja-JP"/>
        </w:rPr>
        <w:t xml:space="preserve"> demanda, el auto del 26 de noviembre de 2020,</w:t>
      </w:r>
      <w:r w:rsidRPr="00BD3730">
        <w:rPr>
          <w:sz w:val="24"/>
          <w:szCs w:val="24"/>
          <w:lang w:val="es-MX" w:eastAsia="ja-JP"/>
        </w:rPr>
        <w:t xml:space="preserve"> el recurso de apelación y lo resuelto en la</w:t>
      </w:r>
      <w:r w:rsidR="006C4262">
        <w:rPr>
          <w:sz w:val="24"/>
          <w:szCs w:val="24"/>
          <w:lang w:val="es-MX" w:eastAsia="ja-JP"/>
        </w:rPr>
        <w:t>s</w:t>
      </w:r>
      <w:r w:rsidRPr="00BD3730">
        <w:rPr>
          <w:sz w:val="24"/>
          <w:szCs w:val="24"/>
          <w:lang w:val="es-MX" w:eastAsia="ja-JP"/>
        </w:rPr>
        <w:t xml:space="preserve"> </w:t>
      </w:r>
      <w:r w:rsidR="006C4262">
        <w:rPr>
          <w:sz w:val="24"/>
          <w:szCs w:val="24"/>
          <w:lang w:val="es-MX" w:eastAsia="ja-JP"/>
        </w:rPr>
        <w:t>sentencias del 11 de mayo de 2021 y del 3 de marzo de 2022</w:t>
      </w:r>
      <w:r w:rsidRPr="00BD3730">
        <w:rPr>
          <w:sz w:val="24"/>
          <w:szCs w:val="24"/>
          <w:lang w:val="es-MX" w:eastAsia="ja-JP"/>
        </w:rPr>
        <w:t xml:space="preserve">; ii) </w:t>
      </w:r>
      <w:r w:rsidRPr="00BD3730">
        <w:rPr>
          <w:rFonts w:eastAsia="Times New Roman"/>
          <w:bCs/>
          <w:sz w:val="24"/>
          <w:szCs w:val="24"/>
          <w:lang w:eastAsia="es-ES"/>
        </w:rPr>
        <w:t>la</w:t>
      </w:r>
      <w:r w:rsidRPr="00BD3730">
        <w:rPr>
          <w:rFonts w:eastAsia="Times New Roman"/>
          <w:bCs/>
          <w:sz w:val="24"/>
          <w:szCs w:val="24"/>
          <w:lang w:val="es-ES_tradnl" w:eastAsia="es-ES"/>
        </w:rPr>
        <w:t xml:space="preserve"> vulneración al principio de congruencia ha sido considerada como una causal de nulidad originada en la sentencia; y iii) el numeral 5 del artículo 250 del CPACA, prescribe, como causal para presentar recurso extraordinario de revisión, la existencia de una “nulidad originada en la sentencia que puso fin al proceso y contra la que no procede recurso de apelación”.</w:t>
      </w:r>
      <w:r w:rsidRPr="00BD3730">
        <w:rPr>
          <w:sz w:val="24"/>
          <w:szCs w:val="24"/>
        </w:rPr>
        <w:t xml:space="preserve"> </w:t>
      </w:r>
    </w:p>
    <w:p w14:paraId="4FB3F3E4" w14:textId="77777777" w:rsidR="0051022F" w:rsidRPr="00BD3730" w:rsidRDefault="0051022F" w:rsidP="00B02E37">
      <w:pPr>
        <w:overflowPunct w:val="0"/>
        <w:autoSpaceDE w:val="0"/>
        <w:autoSpaceDN w:val="0"/>
        <w:adjustRightInd w:val="0"/>
        <w:rPr>
          <w:sz w:val="24"/>
          <w:szCs w:val="24"/>
        </w:rPr>
      </w:pPr>
    </w:p>
    <w:p w14:paraId="5D5E385D" w14:textId="5728A072" w:rsidR="005B0E17" w:rsidRDefault="006C4262" w:rsidP="001A26CC">
      <w:pPr>
        <w:overflowPunct w:val="0"/>
        <w:autoSpaceDE w:val="0"/>
        <w:autoSpaceDN w:val="0"/>
        <w:adjustRightInd w:val="0"/>
        <w:rPr>
          <w:sz w:val="24"/>
          <w:szCs w:val="24"/>
        </w:rPr>
      </w:pPr>
      <w:r>
        <w:rPr>
          <w:sz w:val="24"/>
          <w:szCs w:val="24"/>
        </w:rPr>
        <w:t>D</w:t>
      </w:r>
      <w:r w:rsidR="00B02E37" w:rsidRPr="00BD3730">
        <w:rPr>
          <w:sz w:val="24"/>
          <w:szCs w:val="24"/>
        </w:rPr>
        <w:t>e esta forma</w:t>
      </w:r>
      <w:r w:rsidR="00E50139">
        <w:rPr>
          <w:sz w:val="24"/>
          <w:szCs w:val="24"/>
        </w:rPr>
        <w:t xml:space="preserve">, </w:t>
      </w:r>
      <w:r w:rsidR="00B02E37" w:rsidRPr="00BD3730">
        <w:rPr>
          <w:sz w:val="24"/>
          <w:szCs w:val="24"/>
        </w:rPr>
        <w:t xml:space="preserve">el recurso extraordinario de revisión es idóneo para proteger los derechos fundamentales invocados, ante la eventual configuración de una causal de nulidad en la sentencia del </w:t>
      </w:r>
      <w:r w:rsidR="00E50139">
        <w:rPr>
          <w:sz w:val="24"/>
          <w:szCs w:val="24"/>
        </w:rPr>
        <w:t>3</w:t>
      </w:r>
      <w:r w:rsidR="00B02E37" w:rsidRPr="00BD3730">
        <w:rPr>
          <w:sz w:val="24"/>
          <w:szCs w:val="24"/>
        </w:rPr>
        <w:t xml:space="preserve"> de marzo de 202</w:t>
      </w:r>
      <w:r w:rsidR="00E50139">
        <w:rPr>
          <w:sz w:val="24"/>
          <w:szCs w:val="24"/>
        </w:rPr>
        <w:t>2</w:t>
      </w:r>
      <w:r w:rsidR="00B02E37" w:rsidRPr="00BD3730">
        <w:rPr>
          <w:sz w:val="24"/>
          <w:szCs w:val="24"/>
        </w:rPr>
        <w:t>, por la violación del principio de congruenci</w:t>
      </w:r>
      <w:r w:rsidR="001A26CC">
        <w:rPr>
          <w:sz w:val="24"/>
          <w:szCs w:val="24"/>
        </w:rPr>
        <w:t>a, motivo por el que el escrito de tutela no superó el requisito general de procedibilidad de subsidiariedad.</w:t>
      </w:r>
    </w:p>
    <w:p w14:paraId="2DBF0ACD" w14:textId="7C68B589" w:rsidR="006C4262" w:rsidRDefault="006C4262" w:rsidP="001A26CC">
      <w:pPr>
        <w:overflowPunct w:val="0"/>
        <w:autoSpaceDE w:val="0"/>
        <w:autoSpaceDN w:val="0"/>
        <w:adjustRightInd w:val="0"/>
        <w:rPr>
          <w:sz w:val="24"/>
          <w:szCs w:val="24"/>
        </w:rPr>
      </w:pPr>
    </w:p>
    <w:p w14:paraId="580953C3" w14:textId="668FAB02" w:rsidR="006C4262" w:rsidRDefault="006C4262" w:rsidP="001A26CC">
      <w:pPr>
        <w:overflowPunct w:val="0"/>
        <w:autoSpaceDE w:val="0"/>
        <w:autoSpaceDN w:val="0"/>
        <w:adjustRightInd w:val="0"/>
        <w:rPr>
          <w:sz w:val="24"/>
          <w:szCs w:val="24"/>
        </w:rPr>
      </w:pPr>
      <w:r>
        <w:rPr>
          <w:sz w:val="24"/>
          <w:szCs w:val="24"/>
        </w:rPr>
        <w:t>En conclusión, dado que los cargos expuestos en la solicitud de amparo constitucional no superaron los requisitos generales de procedibilidad de relevancia constitucional y de subsidiariedad, la acción será declarada improcedente.</w:t>
      </w:r>
    </w:p>
    <w:p w14:paraId="02A54226" w14:textId="77777777" w:rsidR="005B0E17" w:rsidRPr="00493DA7" w:rsidRDefault="005B0E17" w:rsidP="005B0E17">
      <w:pPr>
        <w:keepNext/>
        <w:widowControl w:val="0"/>
        <w:textAlignment w:val="baseline"/>
        <w:rPr>
          <w:b/>
          <w:bCs/>
          <w:sz w:val="24"/>
          <w:szCs w:val="24"/>
          <w:shd w:val="clear" w:color="auto" w:fill="FFFFFF"/>
        </w:rPr>
      </w:pPr>
    </w:p>
    <w:p w14:paraId="18E750AC" w14:textId="77777777" w:rsidR="005B0E17" w:rsidRDefault="005B0E17" w:rsidP="005B0E17">
      <w:pPr>
        <w:keepNext/>
        <w:textAlignment w:val="baseline"/>
        <w:rPr>
          <w:sz w:val="24"/>
          <w:szCs w:val="24"/>
          <w:shd w:val="clear" w:color="auto" w:fill="FFFFFF"/>
        </w:rPr>
      </w:pPr>
      <w:r w:rsidRPr="00493DA7">
        <w:rPr>
          <w:sz w:val="24"/>
          <w:szCs w:val="24"/>
          <w:shd w:val="clear" w:color="auto" w:fill="FFFFFF"/>
        </w:rPr>
        <w:t>En mérito de lo expuesto, el Consejo de Estado, Sala de lo Contencioso Administrativo, Sección Tercera, Subsección C, administrando justicia en nombre de la República y por autoridad de la ley, </w:t>
      </w:r>
    </w:p>
    <w:p w14:paraId="7D0E980C" w14:textId="77777777" w:rsidR="005B0E17" w:rsidRDefault="005B0E17" w:rsidP="005B0E17">
      <w:pPr>
        <w:keepNext/>
        <w:textAlignment w:val="baseline"/>
        <w:rPr>
          <w:sz w:val="24"/>
          <w:szCs w:val="24"/>
          <w:shd w:val="clear" w:color="auto" w:fill="FFFFFF"/>
        </w:rPr>
      </w:pPr>
    </w:p>
    <w:p w14:paraId="33EBF2BB" w14:textId="77777777" w:rsidR="005B0E17" w:rsidRPr="00493DA7" w:rsidRDefault="005B0E17" w:rsidP="005B0E17">
      <w:pPr>
        <w:jc w:val="center"/>
        <w:textAlignment w:val="baseline"/>
        <w:rPr>
          <w:b/>
          <w:bCs/>
          <w:sz w:val="24"/>
          <w:szCs w:val="24"/>
          <w:shd w:val="clear" w:color="auto" w:fill="FFFFFF"/>
        </w:rPr>
      </w:pPr>
      <w:r>
        <w:rPr>
          <w:b/>
          <w:bCs/>
          <w:sz w:val="24"/>
          <w:szCs w:val="24"/>
          <w:shd w:val="clear" w:color="auto" w:fill="FFFFFF"/>
        </w:rPr>
        <w:t>FALLA</w:t>
      </w:r>
      <w:r>
        <w:rPr>
          <w:b/>
          <w:bCs/>
          <w:sz w:val="24"/>
          <w:szCs w:val="24"/>
          <w:shd w:val="clear" w:color="auto" w:fill="FFFFFF"/>
        </w:rPr>
        <w:br/>
      </w:r>
    </w:p>
    <w:p w14:paraId="7DCBB8D6" w14:textId="2B1570E3" w:rsidR="005B0E17" w:rsidRDefault="005B0E17" w:rsidP="005B0E17">
      <w:pPr>
        <w:textAlignment w:val="baseline"/>
        <w:rPr>
          <w:sz w:val="24"/>
          <w:szCs w:val="24"/>
          <w:lang w:eastAsia="es-ES"/>
        </w:rPr>
      </w:pPr>
      <w:r w:rsidRPr="00493DA7">
        <w:rPr>
          <w:b/>
          <w:bCs/>
          <w:sz w:val="24"/>
          <w:szCs w:val="24"/>
          <w:shd w:val="clear" w:color="auto" w:fill="FFFFFF"/>
        </w:rPr>
        <w:t xml:space="preserve">PRIMERO. </w:t>
      </w:r>
      <w:r w:rsidRPr="00493DA7">
        <w:rPr>
          <w:b/>
          <w:sz w:val="24"/>
          <w:szCs w:val="24"/>
          <w:lang w:eastAsia="es-ES"/>
        </w:rPr>
        <w:t>DECLARAR IMPROCEDENTE</w:t>
      </w:r>
      <w:r w:rsidRPr="00493DA7">
        <w:rPr>
          <w:sz w:val="24"/>
          <w:szCs w:val="24"/>
          <w:lang w:eastAsia="es-ES"/>
        </w:rPr>
        <w:t xml:space="preserve"> la solicitud de tutela interpuesta por</w:t>
      </w:r>
      <w:r w:rsidR="001F5DD3">
        <w:rPr>
          <w:bCs/>
          <w:sz w:val="24"/>
          <w:szCs w:val="24"/>
        </w:rPr>
        <w:t xml:space="preserve"> </w:t>
      </w:r>
      <w:r w:rsidR="00720F18">
        <w:rPr>
          <w:bCs/>
          <w:sz w:val="24"/>
          <w:szCs w:val="24"/>
        </w:rPr>
        <w:t xml:space="preserve">Evaristo Arteta Castro </w:t>
      </w:r>
      <w:r w:rsidR="001F5DD3">
        <w:rPr>
          <w:bCs/>
          <w:sz w:val="24"/>
          <w:szCs w:val="24"/>
        </w:rPr>
        <w:t>en contra</w:t>
      </w:r>
      <w:r w:rsidR="00720F18">
        <w:rPr>
          <w:bCs/>
          <w:sz w:val="24"/>
          <w:szCs w:val="24"/>
        </w:rPr>
        <w:t xml:space="preserve"> del</w:t>
      </w:r>
      <w:r w:rsidR="001F5DD3">
        <w:rPr>
          <w:bCs/>
          <w:sz w:val="24"/>
          <w:szCs w:val="24"/>
        </w:rPr>
        <w:t xml:space="preserve"> </w:t>
      </w:r>
      <w:r w:rsidR="00720F18">
        <w:rPr>
          <w:sz w:val="24"/>
          <w:szCs w:val="24"/>
        </w:rPr>
        <w:t>Juzgado Octavo Administrativo de Barranquilla y de la Sección C del Tribunal Administrativo del Atlántico</w:t>
      </w:r>
      <w:r w:rsidRPr="00493DA7">
        <w:rPr>
          <w:sz w:val="24"/>
          <w:szCs w:val="24"/>
          <w:lang w:eastAsia="es-ES"/>
        </w:rPr>
        <w:t>, por las razones expuestas en esta providencia.</w:t>
      </w:r>
    </w:p>
    <w:p w14:paraId="0B7EDFD5" w14:textId="77777777" w:rsidR="005B0E17" w:rsidRPr="00493DA7" w:rsidRDefault="005B0E17" w:rsidP="005B0E17">
      <w:pPr>
        <w:textAlignment w:val="baseline"/>
        <w:rPr>
          <w:sz w:val="24"/>
          <w:szCs w:val="24"/>
          <w:shd w:val="clear" w:color="auto" w:fill="FFFFFF"/>
        </w:rPr>
      </w:pPr>
    </w:p>
    <w:p w14:paraId="1D5DAC0C" w14:textId="723C47A6" w:rsidR="005B0E17" w:rsidRDefault="005B0E17" w:rsidP="005B0E17">
      <w:pPr>
        <w:textAlignment w:val="baseline"/>
        <w:rPr>
          <w:sz w:val="24"/>
          <w:szCs w:val="24"/>
          <w:shd w:val="clear" w:color="auto" w:fill="FFFFFF"/>
        </w:rPr>
      </w:pPr>
      <w:r w:rsidRPr="00493DA7">
        <w:rPr>
          <w:b/>
          <w:bCs/>
          <w:sz w:val="24"/>
          <w:szCs w:val="24"/>
          <w:shd w:val="clear" w:color="auto" w:fill="FFFFFF"/>
        </w:rPr>
        <w:t xml:space="preserve">SEGUNDO. NOTIFICAR </w:t>
      </w:r>
      <w:r w:rsidRPr="00493DA7">
        <w:rPr>
          <w:sz w:val="24"/>
          <w:szCs w:val="24"/>
          <w:shd w:val="clear" w:color="auto" w:fill="FFFFFF"/>
        </w:rPr>
        <w:t xml:space="preserve">la presente decisión a las partes por el medio más expedito. </w:t>
      </w:r>
    </w:p>
    <w:p w14:paraId="0D95A24B" w14:textId="77777777" w:rsidR="00DD69B4" w:rsidRDefault="00DD69B4" w:rsidP="005B0E17">
      <w:pPr>
        <w:textAlignment w:val="baseline"/>
        <w:rPr>
          <w:sz w:val="24"/>
          <w:szCs w:val="24"/>
          <w:shd w:val="clear" w:color="auto" w:fill="FFFFFF"/>
        </w:rPr>
      </w:pPr>
    </w:p>
    <w:p w14:paraId="23A491F5" w14:textId="77777777" w:rsidR="005B0E17" w:rsidRPr="00493DA7" w:rsidRDefault="005B0E17" w:rsidP="005B0E17">
      <w:pPr>
        <w:textAlignment w:val="baseline"/>
        <w:rPr>
          <w:sz w:val="24"/>
          <w:szCs w:val="24"/>
          <w:shd w:val="clear" w:color="auto" w:fill="FFFFFF"/>
        </w:rPr>
      </w:pPr>
      <w:r w:rsidRPr="00493DA7">
        <w:rPr>
          <w:b/>
          <w:bCs/>
          <w:sz w:val="24"/>
          <w:szCs w:val="24"/>
          <w:shd w:val="clear" w:color="auto" w:fill="FFFFFF"/>
        </w:rPr>
        <w:t xml:space="preserve">TERCERO. ENVIAR </w:t>
      </w:r>
      <w:r w:rsidRPr="00493DA7">
        <w:rPr>
          <w:sz w:val="24"/>
          <w:szCs w:val="24"/>
          <w:shd w:val="clear" w:color="auto" w:fill="FFFFFF"/>
        </w:rPr>
        <w:t xml:space="preserve">la presente providencia a la Corte Constitucional para su eventual revisión, en caso de que no sea impugnada. </w:t>
      </w:r>
    </w:p>
    <w:p w14:paraId="7B801873" w14:textId="77777777" w:rsidR="005B0E17" w:rsidRPr="00493DA7" w:rsidRDefault="005B0E17" w:rsidP="005B0E17">
      <w:pPr>
        <w:textAlignment w:val="baseline"/>
        <w:rPr>
          <w:b/>
          <w:bCs/>
          <w:sz w:val="24"/>
          <w:szCs w:val="24"/>
          <w:shd w:val="clear" w:color="auto" w:fill="FFFFFF"/>
        </w:rPr>
      </w:pPr>
    </w:p>
    <w:p w14:paraId="7C36F9AC" w14:textId="77777777" w:rsidR="005B0E17" w:rsidRPr="00493DA7" w:rsidRDefault="005B0E17" w:rsidP="005B0E17">
      <w:pPr>
        <w:textAlignment w:val="baseline"/>
        <w:rPr>
          <w:b/>
          <w:bCs/>
          <w:color w:val="000000"/>
          <w:sz w:val="24"/>
          <w:szCs w:val="24"/>
          <w:shd w:val="clear" w:color="auto" w:fill="FFFFFF"/>
        </w:rPr>
      </w:pPr>
      <w:r w:rsidRPr="00493DA7">
        <w:rPr>
          <w:b/>
          <w:bCs/>
          <w:color w:val="000000"/>
          <w:sz w:val="24"/>
          <w:szCs w:val="24"/>
          <w:shd w:val="clear" w:color="auto" w:fill="FFFFFF"/>
        </w:rPr>
        <w:t>Notifíquese y cúmplase</w:t>
      </w:r>
    </w:p>
    <w:p w14:paraId="480F1231" w14:textId="0539B2E1" w:rsidR="00ED5283" w:rsidRDefault="00ED5283" w:rsidP="005B0E17">
      <w:pPr>
        <w:jc w:val="center"/>
        <w:textAlignment w:val="baseline"/>
        <w:rPr>
          <w:b/>
          <w:bCs/>
          <w:color w:val="000000"/>
          <w:sz w:val="24"/>
          <w:szCs w:val="24"/>
          <w:shd w:val="clear" w:color="auto" w:fill="FFFFFF"/>
        </w:rPr>
      </w:pPr>
    </w:p>
    <w:p w14:paraId="11900362" w14:textId="77777777" w:rsidR="00ED5283" w:rsidRDefault="00ED5283" w:rsidP="005B0E17">
      <w:pPr>
        <w:jc w:val="center"/>
        <w:textAlignment w:val="baseline"/>
        <w:rPr>
          <w:b/>
          <w:bCs/>
          <w:color w:val="000000"/>
          <w:sz w:val="24"/>
          <w:szCs w:val="24"/>
          <w:shd w:val="clear" w:color="auto" w:fill="FFFFFF"/>
        </w:rPr>
      </w:pPr>
    </w:p>
    <w:p w14:paraId="2F938512" w14:textId="77777777" w:rsidR="00811370" w:rsidRPr="00493DA7" w:rsidRDefault="00811370" w:rsidP="00811370">
      <w:pPr>
        <w:jc w:val="center"/>
        <w:textAlignment w:val="baseline"/>
        <w:rPr>
          <w:b/>
          <w:bCs/>
          <w:color w:val="000000"/>
          <w:sz w:val="24"/>
          <w:szCs w:val="24"/>
          <w:shd w:val="clear" w:color="auto" w:fill="FFFFFF"/>
        </w:rPr>
      </w:pPr>
      <w:r w:rsidRPr="00493DA7">
        <w:rPr>
          <w:b/>
          <w:bCs/>
          <w:color w:val="000000"/>
          <w:sz w:val="24"/>
          <w:szCs w:val="24"/>
          <w:shd w:val="clear" w:color="auto" w:fill="FFFFFF"/>
        </w:rPr>
        <w:t>NICOLAS YEPES CORRALES</w:t>
      </w:r>
    </w:p>
    <w:p w14:paraId="4964D4B0" w14:textId="4EEA22BA" w:rsidR="00811370" w:rsidRPr="00493DA7" w:rsidRDefault="00811370" w:rsidP="00811370">
      <w:pPr>
        <w:jc w:val="center"/>
        <w:textAlignment w:val="baseline"/>
        <w:rPr>
          <w:sz w:val="24"/>
          <w:szCs w:val="24"/>
        </w:rPr>
      </w:pPr>
      <w:r w:rsidRPr="00493DA7">
        <w:rPr>
          <w:b/>
          <w:bCs/>
          <w:color w:val="000000"/>
          <w:sz w:val="24"/>
          <w:szCs w:val="24"/>
          <w:shd w:val="clear" w:color="auto" w:fill="FFFFFF"/>
        </w:rPr>
        <w:t xml:space="preserve">Presidente de Sala </w:t>
      </w:r>
    </w:p>
    <w:p w14:paraId="05EDFFB9" w14:textId="29481412" w:rsidR="00811370" w:rsidRDefault="00811370" w:rsidP="005B0E17">
      <w:pPr>
        <w:jc w:val="center"/>
        <w:textAlignment w:val="baseline"/>
        <w:rPr>
          <w:b/>
          <w:bCs/>
          <w:color w:val="000000"/>
          <w:sz w:val="24"/>
          <w:szCs w:val="24"/>
          <w:shd w:val="clear" w:color="auto" w:fill="FFFFFF"/>
        </w:rPr>
      </w:pPr>
    </w:p>
    <w:p w14:paraId="4D36B9E6" w14:textId="478691B5" w:rsidR="00ED5283" w:rsidRDefault="00ED5283" w:rsidP="005B0E17">
      <w:pPr>
        <w:jc w:val="center"/>
        <w:textAlignment w:val="baseline"/>
        <w:rPr>
          <w:b/>
          <w:bCs/>
          <w:color w:val="000000"/>
          <w:sz w:val="24"/>
          <w:szCs w:val="24"/>
          <w:shd w:val="clear" w:color="auto" w:fill="FFFFFF"/>
        </w:rPr>
      </w:pPr>
    </w:p>
    <w:p w14:paraId="325A2DEA" w14:textId="755EFFAC" w:rsidR="00937525" w:rsidRDefault="005B0E17" w:rsidP="00937525">
      <w:pPr>
        <w:jc w:val="center"/>
        <w:textAlignment w:val="baseline"/>
        <w:rPr>
          <w:b/>
          <w:bCs/>
          <w:color w:val="000000"/>
          <w:sz w:val="24"/>
          <w:szCs w:val="24"/>
          <w:shd w:val="clear" w:color="auto" w:fill="FFFFFF"/>
        </w:rPr>
      </w:pPr>
      <w:r w:rsidRPr="00493DA7">
        <w:rPr>
          <w:b/>
          <w:bCs/>
          <w:color w:val="000000"/>
          <w:sz w:val="24"/>
          <w:szCs w:val="24"/>
          <w:shd w:val="clear" w:color="auto" w:fill="FFFFFF"/>
        </w:rPr>
        <w:t>JAIME ENRIQUE RODRÍGUEZ NAVAS</w:t>
      </w:r>
      <w:r w:rsidR="001F5DD3" w:rsidRPr="001F5DD3">
        <w:rPr>
          <w:b/>
          <w:bCs/>
          <w:color w:val="000000"/>
          <w:sz w:val="24"/>
          <w:szCs w:val="24"/>
          <w:shd w:val="clear" w:color="auto" w:fill="FFFFFF"/>
        </w:rPr>
        <w:t xml:space="preserve"> </w:t>
      </w:r>
      <w:r w:rsidR="001F5DD3">
        <w:rPr>
          <w:b/>
          <w:bCs/>
          <w:color w:val="000000"/>
          <w:sz w:val="24"/>
          <w:szCs w:val="24"/>
          <w:shd w:val="clear" w:color="auto" w:fill="FFFFFF"/>
        </w:rPr>
        <w:t xml:space="preserve">                 </w:t>
      </w:r>
    </w:p>
    <w:p w14:paraId="424447F0" w14:textId="43681804" w:rsidR="00F65476" w:rsidRDefault="001F5DD3" w:rsidP="00937525">
      <w:pPr>
        <w:jc w:val="center"/>
        <w:textAlignment w:val="baseline"/>
        <w:rPr>
          <w:b/>
          <w:bCs/>
          <w:color w:val="000000"/>
          <w:sz w:val="24"/>
          <w:szCs w:val="24"/>
          <w:shd w:val="clear" w:color="auto" w:fill="FFFFFF"/>
        </w:rPr>
      </w:pPr>
      <w:r>
        <w:rPr>
          <w:b/>
          <w:bCs/>
          <w:color w:val="000000"/>
          <w:sz w:val="24"/>
          <w:szCs w:val="24"/>
          <w:shd w:val="clear" w:color="auto" w:fill="FFFFFF"/>
        </w:rPr>
        <w:t>M</w:t>
      </w:r>
      <w:r w:rsidR="005B0E17" w:rsidRPr="00493DA7">
        <w:rPr>
          <w:b/>
          <w:bCs/>
          <w:color w:val="000000"/>
          <w:sz w:val="24"/>
          <w:szCs w:val="24"/>
          <w:shd w:val="clear" w:color="auto" w:fill="FFFFFF"/>
        </w:rPr>
        <w:t>agistrado</w:t>
      </w:r>
    </w:p>
    <w:p w14:paraId="0B6E376F" w14:textId="1E5158F8" w:rsidR="00937525" w:rsidRDefault="00937525" w:rsidP="00937525">
      <w:pPr>
        <w:jc w:val="center"/>
        <w:textAlignment w:val="baseline"/>
        <w:rPr>
          <w:b/>
          <w:bCs/>
          <w:color w:val="000000"/>
          <w:sz w:val="24"/>
          <w:szCs w:val="24"/>
          <w:shd w:val="clear" w:color="auto" w:fill="FFFFFF"/>
        </w:rPr>
      </w:pPr>
    </w:p>
    <w:p w14:paraId="31CEEC0D" w14:textId="6A426CE9" w:rsidR="00937525" w:rsidRDefault="00937525" w:rsidP="00937525">
      <w:pPr>
        <w:jc w:val="center"/>
        <w:textAlignment w:val="baseline"/>
        <w:rPr>
          <w:b/>
          <w:bCs/>
          <w:color w:val="000000"/>
          <w:sz w:val="24"/>
          <w:szCs w:val="24"/>
          <w:shd w:val="clear" w:color="auto" w:fill="FFFFFF"/>
        </w:rPr>
      </w:pPr>
    </w:p>
    <w:p w14:paraId="71C14D19" w14:textId="77777777" w:rsidR="00937525" w:rsidRPr="00493DA7" w:rsidRDefault="00937525" w:rsidP="00937525">
      <w:pPr>
        <w:jc w:val="center"/>
        <w:textAlignment w:val="baseline"/>
        <w:rPr>
          <w:b/>
          <w:bCs/>
          <w:color w:val="000000"/>
          <w:sz w:val="24"/>
          <w:szCs w:val="24"/>
          <w:shd w:val="clear" w:color="auto" w:fill="FFFFFF"/>
        </w:rPr>
      </w:pPr>
      <w:r w:rsidRPr="00493DA7">
        <w:rPr>
          <w:b/>
          <w:bCs/>
          <w:color w:val="000000"/>
          <w:sz w:val="24"/>
          <w:szCs w:val="24"/>
          <w:shd w:val="clear" w:color="auto" w:fill="FFFFFF"/>
        </w:rPr>
        <w:t>GUILLERMO SÁNCHEZ LUQUE</w:t>
      </w:r>
    </w:p>
    <w:p w14:paraId="71DACB97" w14:textId="4398AE28" w:rsidR="00937525" w:rsidRDefault="00937525" w:rsidP="00937525">
      <w:pPr>
        <w:jc w:val="center"/>
        <w:textAlignment w:val="baseline"/>
        <w:rPr>
          <w:b/>
          <w:bCs/>
          <w:color w:val="000000"/>
          <w:sz w:val="24"/>
          <w:szCs w:val="24"/>
          <w:shd w:val="clear" w:color="auto" w:fill="FFFFFF"/>
        </w:rPr>
      </w:pPr>
      <w:r>
        <w:rPr>
          <w:b/>
          <w:bCs/>
          <w:color w:val="000000"/>
          <w:sz w:val="24"/>
          <w:szCs w:val="24"/>
          <w:shd w:val="clear" w:color="auto" w:fill="FFFFFF"/>
        </w:rPr>
        <w:t xml:space="preserve">  </w:t>
      </w:r>
      <w:r w:rsidRPr="00493DA7">
        <w:rPr>
          <w:b/>
          <w:bCs/>
          <w:color w:val="000000"/>
          <w:sz w:val="24"/>
          <w:szCs w:val="24"/>
          <w:shd w:val="clear" w:color="auto" w:fill="FFFFFF"/>
        </w:rPr>
        <w:t>Magistrado</w:t>
      </w:r>
    </w:p>
    <w:p w14:paraId="535E1A35" w14:textId="508FFC63" w:rsidR="00A55B69" w:rsidRPr="00FC7F3D" w:rsidRDefault="00F66EF2" w:rsidP="00937525">
      <w:pPr>
        <w:jc w:val="center"/>
        <w:textAlignment w:val="baseline"/>
        <w:rPr>
          <w:b/>
          <w:bCs/>
          <w:color w:val="000000"/>
          <w:sz w:val="24"/>
          <w:szCs w:val="24"/>
          <w:shd w:val="clear" w:color="auto" w:fill="FFFFFF"/>
        </w:rPr>
      </w:pPr>
      <w:r w:rsidRPr="00F66EF2">
        <w:rPr>
          <w:b/>
          <w:bCs/>
          <w:color w:val="000000"/>
          <w:sz w:val="24"/>
          <w:szCs w:val="24"/>
          <w:shd w:val="clear" w:color="auto" w:fill="FFFFFF"/>
        </w:rPr>
        <w:t>Aclaración de voto Cfr. Rad. 11001-03-15-000-2019-01299-0</w:t>
      </w:r>
      <w:r w:rsidR="0022330E">
        <w:rPr>
          <w:b/>
          <w:bCs/>
          <w:color w:val="000000"/>
          <w:sz w:val="24"/>
          <w:szCs w:val="24"/>
          <w:shd w:val="clear" w:color="auto" w:fill="FFFFFF"/>
        </w:rPr>
        <w:t>0</w:t>
      </w:r>
    </w:p>
    <w:sectPr w:rsidR="00A55B69" w:rsidRPr="00FC7F3D" w:rsidSect="004D0873">
      <w:headerReference w:type="default" r:id="rId11"/>
      <w:footerReference w:type="default" r:id="rId12"/>
      <w:headerReference w:type="first" r:id="rId13"/>
      <w:footerReference w:type="first" r:id="rId14"/>
      <w:pgSz w:w="12242" w:h="18722" w:code="14"/>
      <w:pgMar w:top="1985" w:right="1418" w:bottom="1985"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581F4" w14:textId="77777777" w:rsidR="00A3727F" w:rsidRDefault="00A3727F" w:rsidP="00117091">
      <w:r>
        <w:separator/>
      </w:r>
    </w:p>
  </w:endnote>
  <w:endnote w:type="continuationSeparator" w:id="0">
    <w:p w14:paraId="0C4AD037" w14:textId="77777777" w:rsidR="00A3727F" w:rsidRDefault="00A3727F" w:rsidP="00117091">
      <w:r>
        <w:continuationSeparator/>
      </w:r>
    </w:p>
  </w:endnote>
  <w:endnote w:type="continuationNotice" w:id="1">
    <w:p w14:paraId="23456F37" w14:textId="77777777" w:rsidR="00A3727F" w:rsidRDefault="00A37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67"/>
      <w:gridCol w:w="456"/>
    </w:tblGrid>
    <w:tr w:rsidR="0086189E" w14:paraId="22CC7AFE" w14:textId="77777777" w:rsidTr="00B6429B">
      <w:trPr>
        <w:jc w:val="right"/>
      </w:trPr>
      <w:tc>
        <w:tcPr>
          <w:tcW w:w="4795" w:type="dxa"/>
          <w:vAlign w:val="center"/>
        </w:tcPr>
        <w:p w14:paraId="1A1DAD26" w14:textId="77777777" w:rsidR="0086189E" w:rsidRDefault="0086189E" w:rsidP="00B6429B">
          <w:pPr>
            <w:pStyle w:val="Encabezado"/>
            <w:jc w:val="center"/>
            <w:rPr>
              <w:color w:val="767171"/>
              <w:sz w:val="20"/>
              <w:szCs w:val="20"/>
            </w:rPr>
          </w:pPr>
          <w:r w:rsidRPr="00A21194">
            <w:rPr>
              <w:color w:val="767171"/>
              <w:sz w:val="20"/>
              <w:szCs w:val="20"/>
            </w:rPr>
            <w:t>Calle 12 No. 7-65 – Tel: (57-1) 350-6700 – Bogotá D.C. – Colombia</w:t>
          </w:r>
        </w:p>
        <w:p w14:paraId="7F88392F" w14:textId="77777777" w:rsidR="0086189E" w:rsidRPr="00A21194" w:rsidRDefault="0086189E"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2806AAA0" w14:textId="77777777" w:rsidR="0086189E" w:rsidRPr="00B6429B" w:rsidRDefault="0086189E" w:rsidP="00B6429B">
          <w:pPr>
            <w:pStyle w:val="Piedepgina"/>
            <w:jc w:val="center"/>
          </w:pPr>
          <w:r w:rsidRPr="00B6429B">
            <w:fldChar w:fldCharType="begin"/>
          </w:r>
          <w:r w:rsidRPr="00B6429B">
            <w:instrText>PAGE   \* MERGEFORMAT</w:instrText>
          </w:r>
          <w:r w:rsidRPr="00B6429B">
            <w:fldChar w:fldCharType="separate"/>
          </w:r>
          <w:r w:rsidR="00700115" w:rsidRPr="00700115">
            <w:rPr>
              <w:noProof/>
              <w:lang w:val="es-ES"/>
            </w:rPr>
            <w:t>8</w:t>
          </w:r>
          <w:r w:rsidRPr="00B6429B">
            <w:fldChar w:fldCharType="end"/>
          </w:r>
        </w:p>
      </w:tc>
    </w:tr>
  </w:tbl>
  <w:p w14:paraId="199724F6" w14:textId="77777777" w:rsidR="0086189E" w:rsidRPr="008C0DBE" w:rsidRDefault="0086189E"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67"/>
      <w:gridCol w:w="456"/>
    </w:tblGrid>
    <w:tr w:rsidR="0086189E" w14:paraId="1D900BCF" w14:textId="77777777" w:rsidTr="00B6429B">
      <w:trPr>
        <w:jc w:val="right"/>
      </w:trPr>
      <w:tc>
        <w:tcPr>
          <w:tcW w:w="4795" w:type="dxa"/>
          <w:vAlign w:val="center"/>
        </w:tcPr>
        <w:p w14:paraId="505917EF" w14:textId="77777777" w:rsidR="0086189E" w:rsidRDefault="0086189E" w:rsidP="00850A42">
          <w:pPr>
            <w:pStyle w:val="Encabezado"/>
            <w:tabs>
              <w:tab w:val="clear" w:pos="4252"/>
              <w:tab w:val="clear" w:pos="8504"/>
            </w:tabs>
            <w:jc w:val="center"/>
            <w:rPr>
              <w:color w:val="767171"/>
              <w:sz w:val="20"/>
              <w:szCs w:val="20"/>
            </w:rPr>
          </w:pPr>
          <w:r w:rsidRPr="00A21194">
            <w:rPr>
              <w:color w:val="767171"/>
              <w:sz w:val="20"/>
              <w:szCs w:val="20"/>
            </w:rPr>
            <w:t>Calle 12 No. 7-65 – Tel: (57-1) 350-6700 – Bogotá D.C. – Colombia</w:t>
          </w:r>
        </w:p>
        <w:p w14:paraId="04F80AD6" w14:textId="77777777" w:rsidR="0086189E" w:rsidRPr="00A21194" w:rsidRDefault="0086189E" w:rsidP="00850A42">
          <w:pPr>
            <w:pStyle w:val="Encabezado"/>
            <w:tabs>
              <w:tab w:val="clear" w:pos="4252"/>
              <w:tab w:val="clear" w:pos="8504"/>
            </w:tabs>
            <w:jc w:val="center"/>
            <w:rPr>
              <w:caps/>
              <w:color w:val="000000"/>
            </w:rPr>
          </w:pPr>
          <w:r w:rsidRPr="00A21194">
            <w:rPr>
              <w:color w:val="767171"/>
              <w:sz w:val="20"/>
              <w:szCs w:val="20"/>
            </w:rPr>
            <w:t>www.consejodeestado.gov.co</w:t>
          </w:r>
        </w:p>
      </w:tc>
      <w:tc>
        <w:tcPr>
          <w:tcW w:w="250" w:type="pct"/>
          <w:shd w:val="clear" w:color="auto" w:fill="auto"/>
          <w:vAlign w:val="center"/>
        </w:tcPr>
        <w:p w14:paraId="3AC47382" w14:textId="77777777" w:rsidR="0086189E" w:rsidRPr="00B6429B" w:rsidRDefault="0086189E" w:rsidP="00850A42">
          <w:pPr>
            <w:pStyle w:val="Piedepgina"/>
            <w:tabs>
              <w:tab w:val="clear" w:pos="4252"/>
              <w:tab w:val="clear" w:pos="8504"/>
            </w:tabs>
            <w:jc w:val="center"/>
          </w:pPr>
          <w:r w:rsidRPr="00B6429B">
            <w:fldChar w:fldCharType="begin"/>
          </w:r>
          <w:r w:rsidRPr="00B6429B">
            <w:instrText>PAGE   \* MERGEFORMAT</w:instrText>
          </w:r>
          <w:r w:rsidRPr="00B6429B">
            <w:fldChar w:fldCharType="separate"/>
          </w:r>
          <w:r w:rsidR="00700115" w:rsidRPr="00700115">
            <w:rPr>
              <w:noProof/>
              <w:lang w:val="es-ES"/>
            </w:rPr>
            <w:t>1</w:t>
          </w:r>
          <w:r w:rsidRPr="00B6429B">
            <w:fldChar w:fldCharType="end"/>
          </w:r>
        </w:p>
      </w:tc>
    </w:tr>
  </w:tbl>
  <w:p w14:paraId="3A21C5E9" w14:textId="77777777" w:rsidR="0086189E" w:rsidRDefault="0086189E" w:rsidP="00850A42">
    <w:pPr>
      <w:pStyle w:val="Piedepgina"/>
      <w:tabs>
        <w:tab w:val="clear" w:pos="4252"/>
        <w:tab w:val="clear"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F48E7" w14:textId="77777777" w:rsidR="00A3727F" w:rsidRDefault="00A3727F" w:rsidP="00117091">
      <w:r>
        <w:separator/>
      </w:r>
    </w:p>
  </w:footnote>
  <w:footnote w:type="continuationSeparator" w:id="0">
    <w:p w14:paraId="5BE499B2" w14:textId="77777777" w:rsidR="00A3727F" w:rsidRDefault="00A3727F" w:rsidP="00117091">
      <w:r>
        <w:continuationSeparator/>
      </w:r>
    </w:p>
  </w:footnote>
  <w:footnote w:type="continuationNotice" w:id="1">
    <w:p w14:paraId="6D827F79" w14:textId="77777777" w:rsidR="00A3727F" w:rsidRDefault="00A3727F"/>
  </w:footnote>
  <w:footnote w:id="2">
    <w:p w14:paraId="36DEBE77" w14:textId="518780EA" w:rsidR="00510F73" w:rsidRPr="00696DA3" w:rsidRDefault="00510F73">
      <w:pPr>
        <w:pStyle w:val="Textonotapie"/>
        <w:rPr>
          <w:sz w:val="20"/>
        </w:rPr>
      </w:pPr>
      <w:r w:rsidRPr="00696DA3">
        <w:rPr>
          <w:rStyle w:val="Refdenotaalpie"/>
          <w:sz w:val="20"/>
        </w:rPr>
        <w:footnoteRef/>
      </w:r>
      <w:r w:rsidRPr="00696DA3">
        <w:rPr>
          <w:sz w:val="20"/>
        </w:rPr>
        <w:t xml:space="preserve"> </w:t>
      </w:r>
      <w:r w:rsidR="009D45C9" w:rsidRPr="00696DA3">
        <w:rPr>
          <w:sz w:val="20"/>
        </w:rPr>
        <w:t>Páginas 2 al 25 del do</w:t>
      </w:r>
      <w:proofErr w:type="spellStart"/>
      <w:r w:rsidR="009D45C9" w:rsidRPr="00696DA3">
        <w:rPr>
          <w:bCs/>
          <w:iCs/>
          <w:sz w:val="20"/>
          <w:lang w:val="es-MX"/>
        </w:rPr>
        <w:t>cumento</w:t>
      </w:r>
      <w:proofErr w:type="spellEnd"/>
      <w:r w:rsidR="009D45C9" w:rsidRPr="00696DA3">
        <w:rPr>
          <w:bCs/>
          <w:iCs/>
          <w:sz w:val="20"/>
          <w:lang w:val="es-MX"/>
        </w:rPr>
        <w:t xml:space="preserve"> denominado “01. Expediente_compressed.pdf”, contenido en el archivo visible en</w:t>
      </w:r>
      <w:r w:rsidR="00541EA7" w:rsidRPr="00696DA3">
        <w:rPr>
          <w:bCs/>
          <w:iCs/>
          <w:sz w:val="20"/>
          <w:lang w:val="es-MX"/>
        </w:rPr>
        <w:t xml:space="preserve"> </w:t>
      </w:r>
      <w:proofErr w:type="spellStart"/>
      <w:r w:rsidR="00541EA7" w:rsidRPr="00696DA3">
        <w:rPr>
          <w:bCs/>
          <w:iCs/>
          <w:sz w:val="20"/>
          <w:lang w:val="es-MX"/>
        </w:rPr>
        <w:t>Samai</w:t>
      </w:r>
      <w:proofErr w:type="spellEnd"/>
      <w:r w:rsidR="00541EA7" w:rsidRPr="00696DA3">
        <w:rPr>
          <w:bCs/>
          <w:iCs/>
          <w:sz w:val="20"/>
          <w:lang w:val="es-MX"/>
        </w:rPr>
        <w:t xml:space="preserve"> en</w:t>
      </w:r>
      <w:r w:rsidR="009D45C9" w:rsidRPr="00696DA3">
        <w:rPr>
          <w:bCs/>
          <w:iCs/>
          <w:sz w:val="20"/>
          <w:lang w:val="es-MX"/>
        </w:rPr>
        <w:t xml:space="preserve"> el índice </w:t>
      </w:r>
      <w:r w:rsidR="00541EA7" w:rsidRPr="00696DA3">
        <w:rPr>
          <w:bCs/>
          <w:iCs/>
          <w:sz w:val="20"/>
          <w:lang w:val="es-MX"/>
        </w:rPr>
        <w:t>9 del</w:t>
      </w:r>
      <w:r w:rsidR="009D45C9" w:rsidRPr="00696DA3">
        <w:rPr>
          <w:bCs/>
          <w:iCs/>
          <w:sz w:val="20"/>
          <w:lang w:val="es-MX"/>
        </w:rPr>
        <w:t xml:space="preserve"> expediente digital de tutela, con certificado </w:t>
      </w:r>
      <w:r w:rsidR="00541EA7" w:rsidRPr="00696DA3">
        <w:rPr>
          <w:bCs/>
          <w:iCs/>
          <w:sz w:val="20"/>
          <w:lang w:val="es-MX"/>
        </w:rPr>
        <w:t>BD616EB2BAE1AE53 0D96AE94BFE36969 67BB879B080E9F11 2A4BE0AA91BCBA02</w:t>
      </w:r>
      <w:r w:rsidR="009D45C9" w:rsidRPr="00696DA3">
        <w:rPr>
          <w:bCs/>
          <w:iCs/>
          <w:sz w:val="20"/>
          <w:lang w:val="es-MX"/>
        </w:rPr>
        <w:t>.</w:t>
      </w:r>
    </w:p>
  </w:footnote>
  <w:footnote w:id="3">
    <w:p w14:paraId="1B1F7A7E" w14:textId="6B802206" w:rsidR="00484AB4" w:rsidRPr="00696DA3" w:rsidRDefault="00484AB4">
      <w:pPr>
        <w:pStyle w:val="Textonotapie"/>
        <w:rPr>
          <w:sz w:val="20"/>
        </w:rPr>
      </w:pPr>
      <w:r w:rsidRPr="00696DA3">
        <w:rPr>
          <w:rStyle w:val="Refdenotaalpie"/>
          <w:sz w:val="20"/>
        </w:rPr>
        <w:footnoteRef/>
      </w:r>
      <w:r w:rsidRPr="00696DA3">
        <w:rPr>
          <w:sz w:val="20"/>
        </w:rPr>
        <w:t xml:space="preserve"> Código de Procedimiento Administrativo y de lo Contencioso Administrativo. </w:t>
      </w:r>
    </w:p>
  </w:footnote>
  <w:footnote w:id="4">
    <w:p w14:paraId="0A1453F7" w14:textId="535A29CB" w:rsidR="00541EA7" w:rsidRPr="00696DA3" w:rsidRDefault="00541EA7" w:rsidP="00541EA7">
      <w:pPr>
        <w:pStyle w:val="Textonotapie"/>
        <w:rPr>
          <w:sz w:val="20"/>
        </w:rPr>
      </w:pPr>
      <w:r w:rsidRPr="00696DA3">
        <w:rPr>
          <w:rStyle w:val="Refdenotaalpie"/>
          <w:sz w:val="20"/>
        </w:rPr>
        <w:footnoteRef/>
      </w:r>
      <w:r w:rsidRPr="00696DA3">
        <w:rPr>
          <w:sz w:val="20"/>
        </w:rPr>
        <w:t xml:space="preserve"> Páginas </w:t>
      </w:r>
      <w:r w:rsidR="00911D9B" w:rsidRPr="00696DA3">
        <w:rPr>
          <w:sz w:val="20"/>
        </w:rPr>
        <w:t>134</w:t>
      </w:r>
      <w:r w:rsidRPr="00696DA3">
        <w:rPr>
          <w:sz w:val="20"/>
        </w:rPr>
        <w:t xml:space="preserve"> a</w:t>
      </w:r>
      <w:r w:rsidR="00911D9B" w:rsidRPr="00696DA3">
        <w:rPr>
          <w:sz w:val="20"/>
        </w:rPr>
        <w:t xml:space="preserve"> 136 </w:t>
      </w:r>
      <w:r w:rsidRPr="00696DA3">
        <w:rPr>
          <w:sz w:val="20"/>
        </w:rPr>
        <w:t>del do</w:t>
      </w:r>
      <w:proofErr w:type="spellStart"/>
      <w:r w:rsidRPr="00696DA3">
        <w:rPr>
          <w:bCs/>
          <w:iCs/>
          <w:sz w:val="20"/>
          <w:lang w:val="es-MX"/>
        </w:rPr>
        <w:t>cumento</w:t>
      </w:r>
      <w:proofErr w:type="spellEnd"/>
      <w:r w:rsidRPr="00696DA3">
        <w:rPr>
          <w:bCs/>
          <w:iCs/>
          <w:sz w:val="20"/>
          <w:lang w:val="es-MX"/>
        </w:rPr>
        <w:t xml:space="preserve"> denominado “01. Expediente_compressed.pdf”, contenido en el archivo visible en </w:t>
      </w:r>
      <w:proofErr w:type="spellStart"/>
      <w:r w:rsidRPr="00696DA3">
        <w:rPr>
          <w:bCs/>
          <w:iCs/>
          <w:sz w:val="20"/>
          <w:lang w:val="es-MX"/>
        </w:rPr>
        <w:t>Samai</w:t>
      </w:r>
      <w:proofErr w:type="spellEnd"/>
      <w:r w:rsidRPr="00696DA3">
        <w:rPr>
          <w:bCs/>
          <w:iCs/>
          <w:sz w:val="20"/>
          <w:lang w:val="es-MX"/>
        </w:rPr>
        <w:t xml:space="preserve"> en el índice 9 del expediente digital de tutela, con certificado </w:t>
      </w:r>
      <w:r w:rsidR="00911D9B" w:rsidRPr="00696DA3">
        <w:rPr>
          <w:bCs/>
          <w:iCs/>
          <w:sz w:val="20"/>
          <w:lang w:val="es-MX"/>
        </w:rPr>
        <w:t xml:space="preserve">núm. </w:t>
      </w:r>
      <w:r w:rsidRPr="00696DA3">
        <w:rPr>
          <w:bCs/>
          <w:iCs/>
          <w:sz w:val="20"/>
          <w:lang w:val="es-MX"/>
        </w:rPr>
        <w:t>BD616EB2BAE1AE53 0D96AE94BFE36969 67BB879B080E9F11 2A4BE0AA91BCBA02.</w:t>
      </w:r>
    </w:p>
  </w:footnote>
  <w:footnote w:id="5">
    <w:p w14:paraId="62E3E1C8" w14:textId="015F0679" w:rsidR="000156DF" w:rsidRPr="00696DA3" w:rsidRDefault="000156DF" w:rsidP="000156DF">
      <w:pPr>
        <w:pStyle w:val="Textonotapie"/>
        <w:rPr>
          <w:sz w:val="20"/>
        </w:rPr>
      </w:pPr>
      <w:r w:rsidRPr="00696DA3">
        <w:rPr>
          <w:rStyle w:val="Refdenotaalpie"/>
          <w:sz w:val="20"/>
        </w:rPr>
        <w:footnoteRef/>
      </w:r>
      <w:r w:rsidRPr="00696DA3">
        <w:rPr>
          <w:sz w:val="20"/>
        </w:rPr>
        <w:t xml:space="preserve"> Documento</w:t>
      </w:r>
      <w:r w:rsidRPr="00696DA3">
        <w:rPr>
          <w:bCs/>
          <w:iCs/>
          <w:sz w:val="20"/>
          <w:lang w:val="es-MX"/>
        </w:rPr>
        <w:t xml:space="preserve"> “02. Auto </w:t>
      </w:r>
      <w:proofErr w:type="spellStart"/>
      <w:r w:rsidRPr="00696DA3">
        <w:rPr>
          <w:bCs/>
          <w:iCs/>
          <w:sz w:val="20"/>
          <w:lang w:val="es-MX"/>
        </w:rPr>
        <w:t>adm</w:t>
      </w:r>
      <w:proofErr w:type="spellEnd"/>
      <w:r w:rsidRPr="00696DA3">
        <w:rPr>
          <w:bCs/>
          <w:iCs/>
          <w:sz w:val="20"/>
          <w:lang w:val="es-MX"/>
        </w:rPr>
        <w:t xml:space="preserve">. electoral, suspende personera, medida cautelar.pdf” </w:t>
      </w:r>
      <w:r w:rsidRPr="00696DA3">
        <w:rPr>
          <w:bCs/>
          <w:i/>
          <w:sz w:val="20"/>
          <w:lang w:val="es-MX"/>
        </w:rPr>
        <w:t>ibidem</w:t>
      </w:r>
      <w:r w:rsidRPr="00696DA3">
        <w:rPr>
          <w:bCs/>
          <w:iCs/>
          <w:sz w:val="20"/>
          <w:lang w:val="es-MX"/>
        </w:rPr>
        <w:t>.</w:t>
      </w:r>
    </w:p>
  </w:footnote>
  <w:footnote w:id="6">
    <w:p w14:paraId="773231BA" w14:textId="27E2FC6A" w:rsidR="0041442C" w:rsidRPr="00696DA3" w:rsidRDefault="0041442C" w:rsidP="0041442C">
      <w:pPr>
        <w:pStyle w:val="Textonotapie"/>
        <w:rPr>
          <w:sz w:val="20"/>
        </w:rPr>
      </w:pPr>
      <w:r w:rsidRPr="00696DA3">
        <w:rPr>
          <w:rStyle w:val="Refdenotaalpie"/>
          <w:sz w:val="20"/>
        </w:rPr>
        <w:footnoteRef/>
      </w:r>
      <w:r w:rsidRPr="00696DA3">
        <w:rPr>
          <w:sz w:val="20"/>
        </w:rPr>
        <w:t xml:space="preserve"> Documento</w:t>
      </w:r>
      <w:r w:rsidRPr="00696DA3">
        <w:rPr>
          <w:bCs/>
          <w:iCs/>
          <w:sz w:val="20"/>
          <w:lang w:val="es-MX"/>
        </w:rPr>
        <w:t xml:space="preserve"> “05. Auto resuelve excepciones en electoral.pdf” </w:t>
      </w:r>
      <w:r w:rsidRPr="00696DA3">
        <w:rPr>
          <w:bCs/>
          <w:i/>
          <w:sz w:val="20"/>
          <w:lang w:val="es-MX"/>
        </w:rPr>
        <w:t>ibidem</w:t>
      </w:r>
      <w:r w:rsidRPr="00696DA3">
        <w:rPr>
          <w:bCs/>
          <w:iCs/>
          <w:sz w:val="20"/>
          <w:lang w:val="es-MX"/>
        </w:rPr>
        <w:t>.</w:t>
      </w:r>
    </w:p>
  </w:footnote>
  <w:footnote w:id="7">
    <w:p w14:paraId="56056067" w14:textId="73EF136F" w:rsidR="0041442C" w:rsidRPr="00696DA3" w:rsidRDefault="0041442C" w:rsidP="0041442C">
      <w:pPr>
        <w:pStyle w:val="Textonotapie"/>
        <w:rPr>
          <w:sz w:val="20"/>
        </w:rPr>
      </w:pPr>
      <w:r w:rsidRPr="00696DA3">
        <w:rPr>
          <w:rStyle w:val="Refdenotaalpie"/>
          <w:sz w:val="20"/>
        </w:rPr>
        <w:footnoteRef/>
      </w:r>
      <w:r w:rsidRPr="00696DA3">
        <w:rPr>
          <w:sz w:val="20"/>
        </w:rPr>
        <w:t xml:space="preserve"> Documento</w:t>
      </w:r>
      <w:r w:rsidRPr="00696DA3">
        <w:rPr>
          <w:bCs/>
          <w:iCs/>
          <w:sz w:val="20"/>
          <w:lang w:val="es-MX"/>
        </w:rPr>
        <w:t xml:space="preserve"> “11. Acta audiencia inicial electoral.-.pdf” </w:t>
      </w:r>
      <w:r w:rsidRPr="00696DA3">
        <w:rPr>
          <w:bCs/>
          <w:i/>
          <w:sz w:val="20"/>
          <w:lang w:val="es-MX"/>
        </w:rPr>
        <w:t>ibidem</w:t>
      </w:r>
      <w:r w:rsidRPr="00696DA3">
        <w:rPr>
          <w:bCs/>
          <w:iCs/>
          <w:sz w:val="20"/>
          <w:lang w:val="es-MX"/>
        </w:rPr>
        <w:t>.</w:t>
      </w:r>
    </w:p>
  </w:footnote>
  <w:footnote w:id="8">
    <w:p w14:paraId="4BBF59DA" w14:textId="0C34197C" w:rsidR="003129B7" w:rsidRPr="00696DA3" w:rsidRDefault="003129B7">
      <w:pPr>
        <w:pStyle w:val="Textonotapie"/>
        <w:rPr>
          <w:i/>
          <w:iCs/>
          <w:sz w:val="20"/>
        </w:rPr>
      </w:pPr>
      <w:r w:rsidRPr="00696DA3">
        <w:rPr>
          <w:rStyle w:val="Refdenotaalpie"/>
          <w:sz w:val="20"/>
        </w:rPr>
        <w:footnoteRef/>
      </w:r>
      <w:r w:rsidRPr="00696DA3">
        <w:rPr>
          <w:sz w:val="20"/>
        </w:rPr>
        <w:t xml:space="preserve"> Páginas 3 y 4 </w:t>
      </w:r>
      <w:r w:rsidRPr="00696DA3">
        <w:rPr>
          <w:i/>
          <w:iCs/>
          <w:sz w:val="20"/>
        </w:rPr>
        <w:t xml:space="preserve">ibidem. </w:t>
      </w:r>
    </w:p>
  </w:footnote>
  <w:footnote w:id="9">
    <w:p w14:paraId="26B482BE" w14:textId="3E8C6BDB" w:rsidR="003129B7" w:rsidRPr="00696DA3" w:rsidRDefault="003129B7" w:rsidP="003129B7">
      <w:pPr>
        <w:pStyle w:val="Textonotapie"/>
        <w:rPr>
          <w:sz w:val="20"/>
        </w:rPr>
      </w:pPr>
      <w:r w:rsidRPr="00696DA3">
        <w:rPr>
          <w:rStyle w:val="Refdenotaalpie"/>
          <w:sz w:val="20"/>
        </w:rPr>
        <w:footnoteRef/>
      </w:r>
      <w:r w:rsidRPr="00696DA3">
        <w:rPr>
          <w:sz w:val="20"/>
        </w:rPr>
        <w:t xml:space="preserve"> Do</w:t>
      </w:r>
      <w:proofErr w:type="spellStart"/>
      <w:r w:rsidRPr="00696DA3">
        <w:rPr>
          <w:bCs/>
          <w:iCs/>
          <w:sz w:val="20"/>
          <w:lang w:val="es-MX"/>
        </w:rPr>
        <w:t>cumento</w:t>
      </w:r>
      <w:proofErr w:type="spellEnd"/>
      <w:r w:rsidRPr="00696DA3">
        <w:rPr>
          <w:bCs/>
          <w:iCs/>
          <w:sz w:val="20"/>
          <w:lang w:val="es-MX"/>
        </w:rPr>
        <w:t xml:space="preserve"> denominado “20. Sentencia .</w:t>
      </w:r>
      <w:proofErr w:type="spellStart"/>
      <w:r w:rsidRPr="00696DA3">
        <w:rPr>
          <w:bCs/>
          <w:iCs/>
          <w:sz w:val="20"/>
          <w:lang w:val="es-MX"/>
        </w:rPr>
        <w:t>pdf</w:t>
      </w:r>
      <w:proofErr w:type="spellEnd"/>
      <w:r w:rsidRPr="00696DA3">
        <w:rPr>
          <w:bCs/>
          <w:iCs/>
          <w:sz w:val="20"/>
          <w:lang w:val="es-MX"/>
        </w:rPr>
        <w:t xml:space="preserve">”, contenido en el archivo visible en </w:t>
      </w:r>
      <w:proofErr w:type="spellStart"/>
      <w:r w:rsidRPr="00696DA3">
        <w:rPr>
          <w:bCs/>
          <w:iCs/>
          <w:sz w:val="20"/>
          <w:lang w:val="es-MX"/>
        </w:rPr>
        <w:t>Samai</w:t>
      </w:r>
      <w:proofErr w:type="spellEnd"/>
      <w:r w:rsidRPr="00696DA3">
        <w:rPr>
          <w:bCs/>
          <w:iCs/>
          <w:sz w:val="20"/>
          <w:lang w:val="es-MX"/>
        </w:rPr>
        <w:t xml:space="preserve"> en el índice 9 del expediente digital de tutela, con certificado núm. BD616EB2BAE1AE53 0D96AE94BFE36969 67BB879B080E9F11 2A4BE0AA91BCBA02.</w:t>
      </w:r>
    </w:p>
  </w:footnote>
  <w:footnote w:id="10">
    <w:p w14:paraId="5AEB5A0E" w14:textId="432465CE" w:rsidR="001B559F" w:rsidRPr="00696DA3" w:rsidRDefault="001B559F" w:rsidP="001B559F">
      <w:pPr>
        <w:pStyle w:val="Textonotapie"/>
        <w:rPr>
          <w:sz w:val="20"/>
        </w:rPr>
      </w:pPr>
      <w:r w:rsidRPr="00696DA3">
        <w:rPr>
          <w:rStyle w:val="Refdenotaalpie"/>
          <w:sz w:val="20"/>
        </w:rPr>
        <w:footnoteRef/>
      </w:r>
      <w:r w:rsidRPr="00696DA3">
        <w:rPr>
          <w:sz w:val="20"/>
        </w:rPr>
        <w:t xml:space="preserve"> Do</w:t>
      </w:r>
      <w:proofErr w:type="spellStart"/>
      <w:r w:rsidRPr="00696DA3">
        <w:rPr>
          <w:bCs/>
          <w:iCs/>
          <w:sz w:val="20"/>
          <w:lang w:val="es-MX"/>
        </w:rPr>
        <w:t>cumento</w:t>
      </w:r>
      <w:proofErr w:type="spellEnd"/>
      <w:r w:rsidRPr="00696DA3">
        <w:rPr>
          <w:bCs/>
          <w:iCs/>
          <w:sz w:val="20"/>
          <w:lang w:val="es-MX"/>
        </w:rPr>
        <w:t xml:space="preserve"> denominado “28. FALLO 2020-00059.pdf” </w:t>
      </w:r>
      <w:r w:rsidRPr="00696DA3">
        <w:rPr>
          <w:bCs/>
          <w:i/>
          <w:sz w:val="20"/>
          <w:lang w:val="es-MX"/>
        </w:rPr>
        <w:t>ibidem</w:t>
      </w:r>
      <w:r w:rsidRPr="00696DA3">
        <w:rPr>
          <w:bCs/>
          <w:iCs/>
          <w:sz w:val="20"/>
          <w:lang w:val="es-MX"/>
        </w:rPr>
        <w:t>.</w:t>
      </w:r>
    </w:p>
  </w:footnote>
  <w:footnote w:id="11">
    <w:p w14:paraId="48AF34BF" w14:textId="77777777" w:rsidR="00A249E7" w:rsidRPr="00696DA3" w:rsidRDefault="00A249E7" w:rsidP="00A249E7">
      <w:pPr>
        <w:pStyle w:val="Textonotapie"/>
        <w:rPr>
          <w:sz w:val="20"/>
        </w:rPr>
      </w:pPr>
      <w:r w:rsidRPr="00696DA3">
        <w:rPr>
          <w:rStyle w:val="Refdenotaalpie"/>
          <w:sz w:val="20"/>
        </w:rPr>
        <w:footnoteRef/>
      </w:r>
      <w:r w:rsidRPr="00696DA3">
        <w:rPr>
          <w:sz w:val="20"/>
        </w:rPr>
        <w:t xml:space="preserve"> Consejo de Estado, Sala de lo Contencioso Administrativo, Sección Quinta, providencia del 17 de septiembre de 2018, Rad.: 001-03-28-000-2018-00134-00, C.P. Rocío Araujo Oñate.</w:t>
      </w:r>
    </w:p>
  </w:footnote>
  <w:footnote w:id="12">
    <w:p w14:paraId="73C0A57A" w14:textId="588293DD" w:rsidR="001229E5" w:rsidRPr="00696DA3" w:rsidRDefault="001229E5">
      <w:pPr>
        <w:pStyle w:val="Textonotapie"/>
        <w:rPr>
          <w:sz w:val="20"/>
        </w:rPr>
      </w:pPr>
      <w:r w:rsidRPr="00696DA3">
        <w:rPr>
          <w:rStyle w:val="Refdenotaalpie"/>
          <w:sz w:val="20"/>
        </w:rPr>
        <w:footnoteRef/>
      </w:r>
      <w:r w:rsidRPr="00696DA3">
        <w:rPr>
          <w:sz w:val="20"/>
        </w:rPr>
        <w:t xml:space="preserve"> Consejo de Estado, Sala de lo Contencioso Administrativo, Sección Quinta, Auto del 12 de noviembre de 2019, Rad.: 11001-03-28-000-2019- 00051-00, C.P. Luis Alberto Álvarez Parra.</w:t>
      </w:r>
    </w:p>
  </w:footnote>
  <w:footnote w:id="13">
    <w:p w14:paraId="064CEFB1" w14:textId="7A8FF44B" w:rsidR="002716CE" w:rsidRPr="00696DA3" w:rsidRDefault="002716CE">
      <w:pPr>
        <w:pStyle w:val="Textonotapie"/>
        <w:rPr>
          <w:i/>
          <w:iCs/>
          <w:sz w:val="20"/>
        </w:rPr>
      </w:pPr>
      <w:r w:rsidRPr="00696DA3">
        <w:rPr>
          <w:rStyle w:val="Refdenotaalpie"/>
          <w:sz w:val="20"/>
        </w:rPr>
        <w:footnoteRef/>
      </w:r>
      <w:r w:rsidRPr="00696DA3">
        <w:rPr>
          <w:sz w:val="20"/>
        </w:rPr>
        <w:t xml:space="preserve"> Página 13 </w:t>
      </w:r>
      <w:r w:rsidRPr="00696DA3">
        <w:rPr>
          <w:i/>
          <w:iCs/>
          <w:sz w:val="20"/>
        </w:rPr>
        <w:t>ibidem.</w:t>
      </w:r>
    </w:p>
  </w:footnote>
  <w:footnote w:id="14">
    <w:p w14:paraId="6C10FD21" w14:textId="0AF7ECD5" w:rsidR="00696DA3" w:rsidRPr="00696DA3" w:rsidRDefault="00696DA3">
      <w:pPr>
        <w:pStyle w:val="Textonotapie"/>
        <w:rPr>
          <w:i/>
          <w:iCs/>
          <w:sz w:val="20"/>
        </w:rPr>
      </w:pPr>
      <w:r w:rsidRPr="00696DA3">
        <w:rPr>
          <w:rStyle w:val="Refdenotaalpie"/>
          <w:sz w:val="20"/>
        </w:rPr>
        <w:footnoteRef/>
      </w:r>
      <w:r w:rsidRPr="00696DA3">
        <w:rPr>
          <w:sz w:val="20"/>
        </w:rPr>
        <w:t xml:space="preserve"> Página 23 </w:t>
      </w:r>
      <w:r w:rsidRPr="00696DA3">
        <w:rPr>
          <w:i/>
          <w:iCs/>
          <w:sz w:val="20"/>
        </w:rPr>
        <w:t>ibidem.</w:t>
      </w:r>
    </w:p>
  </w:footnote>
  <w:footnote w:id="15">
    <w:p w14:paraId="16604C49" w14:textId="73E854DD" w:rsidR="00696DA3" w:rsidRPr="00696DA3" w:rsidRDefault="00696DA3" w:rsidP="00696DA3">
      <w:pPr>
        <w:pStyle w:val="Textonotapie"/>
        <w:rPr>
          <w:sz w:val="20"/>
        </w:rPr>
      </w:pPr>
      <w:r w:rsidRPr="00696DA3">
        <w:rPr>
          <w:rStyle w:val="Refdenotaalpie"/>
          <w:sz w:val="20"/>
        </w:rPr>
        <w:footnoteRef/>
      </w:r>
      <w:r w:rsidRPr="00696DA3">
        <w:rPr>
          <w:sz w:val="20"/>
        </w:rPr>
        <w:t xml:space="preserve"> Do</w:t>
      </w:r>
      <w:proofErr w:type="spellStart"/>
      <w:r w:rsidRPr="00696DA3">
        <w:rPr>
          <w:bCs/>
          <w:iCs/>
          <w:sz w:val="20"/>
          <w:lang w:val="es-MX"/>
        </w:rPr>
        <w:t>cumento</w:t>
      </w:r>
      <w:proofErr w:type="spellEnd"/>
      <w:r w:rsidRPr="00696DA3">
        <w:rPr>
          <w:bCs/>
          <w:iCs/>
          <w:sz w:val="20"/>
          <w:lang w:val="es-MX"/>
        </w:rPr>
        <w:t xml:space="preserve"> denominado “10. SOLICITUD ACLARACION SENTENCIA.pdf”, contenido en el archivo visible en </w:t>
      </w:r>
      <w:proofErr w:type="spellStart"/>
      <w:r w:rsidRPr="00696DA3">
        <w:rPr>
          <w:bCs/>
          <w:iCs/>
          <w:sz w:val="20"/>
          <w:lang w:val="es-MX"/>
        </w:rPr>
        <w:t>Samai</w:t>
      </w:r>
      <w:proofErr w:type="spellEnd"/>
      <w:r w:rsidRPr="00696DA3">
        <w:rPr>
          <w:bCs/>
          <w:iCs/>
          <w:sz w:val="20"/>
          <w:lang w:val="es-MX"/>
        </w:rPr>
        <w:t xml:space="preserve"> en el índice 9 del expediente digital de tutela, con certificado núm. BD616EB2BAE1AE53 0D96AE94BFE36969 67BB879B080E9F11 2A4BE0AA91BCBA02.</w:t>
      </w:r>
    </w:p>
  </w:footnote>
  <w:footnote w:id="16">
    <w:p w14:paraId="75FE0F46" w14:textId="26A4A17D" w:rsidR="00696DA3" w:rsidRPr="00696DA3" w:rsidRDefault="00696DA3">
      <w:pPr>
        <w:pStyle w:val="Textonotapie"/>
        <w:rPr>
          <w:sz w:val="20"/>
        </w:rPr>
      </w:pPr>
      <w:r w:rsidRPr="00696DA3">
        <w:rPr>
          <w:rStyle w:val="Refdenotaalpie"/>
          <w:sz w:val="20"/>
        </w:rPr>
        <w:footnoteRef/>
      </w:r>
      <w:r w:rsidRPr="00696DA3">
        <w:rPr>
          <w:sz w:val="20"/>
        </w:rPr>
        <w:t xml:space="preserve"> Expediente núm. </w:t>
      </w:r>
      <w:r w:rsidRPr="00696DA3">
        <w:rPr>
          <w:color w:val="333333"/>
          <w:sz w:val="20"/>
          <w:shd w:val="clear" w:color="auto" w:fill="FFFFFF"/>
        </w:rPr>
        <w:t>11001-03-25-000-2010-00011-00(0068-10).</w:t>
      </w:r>
    </w:p>
  </w:footnote>
  <w:footnote w:id="17">
    <w:p w14:paraId="3B22AB4A" w14:textId="1109783A" w:rsidR="00AD0C8F" w:rsidRPr="00696DA3" w:rsidRDefault="00AD0C8F" w:rsidP="00AD0C8F">
      <w:pPr>
        <w:pStyle w:val="Textonotapie"/>
        <w:rPr>
          <w:sz w:val="20"/>
        </w:rPr>
      </w:pPr>
      <w:r w:rsidRPr="00696DA3">
        <w:rPr>
          <w:rStyle w:val="Refdenotaalpie"/>
          <w:sz w:val="20"/>
        </w:rPr>
        <w:footnoteRef/>
      </w:r>
      <w:r w:rsidRPr="00696DA3">
        <w:rPr>
          <w:sz w:val="20"/>
        </w:rPr>
        <w:t xml:space="preserve"> Do</w:t>
      </w:r>
      <w:proofErr w:type="spellStart"/>
      <w:r w:rsidRPr="00696DA3">
        <w:rPr>
          <w:bCs/>
          <w:iCs/>
          <w:sz w:val="20"/>
          <w:lang w:val="es-MX"/>
        </w:rPr>
        <w:t>cumento</w:t>
      </w:r>
      <w:proofErr w:type="spellEnd"/>
      <w:r w:rsidRPr="00696DA3">
        <w:rPr>
          <w:bCs/>
          <w:iCs/>
          <w:sz w:val="20"/>
          <w:lang w:val="es-MX"/>
        </w:rPr>
        <w:t xml:space="preserve"> denominado “</w:t>
      </w:r>
      <w:r w:rsidRPr="00AD0C8F">
        <w:rPr>
          <w:bCs/>
          <w:iCs/>
          <w:sz w:val="20"/>
          <w:lang w:val="es-MX"/>
        </w:rPr>
        <w:t>2020-00059 - RESUELVE ACLARACIÓN.pdf</w:t>
      </w:r>
      <w:r w:rsidRPr="00696DA3">
        <w:rPr>
          <w:bCs/>
          <w:iCs/>
          <w:sz w:val="20"/>
          <w:lang w:val="es-MX"/>
        </w:rPr>
        <w:t xml:space="preserve">”, contenido en el archivo visible en </w:t>
      </w:r>
      <w:proofErr w:type="spellStart"/>
      <w:r w:rsidRPr="00696DA3">
        <w:rPr>
          <w:bCs/>
          <w:iCs/>
          <w:sz w:val="20"/>
          <w:lang w:val="es-MX"/>
        </w:rPr>
        <w:t>Samai</w:t>
      </w:r>
      <w:proofErr w:type="spellEnd"/>
      <w:r w:rsidRPr="00696DA3">
        <w:rPr>
          <w:bCs/>
          <w:iCs/>
          <w:sz w:val="20"/>
          <w:lang w:val="es-MX"/>
        </w:rPr>
        <w:t xml:space="preserve"> en el índice 9 del expediente digital de tutela, con certificado núm. BD616EB2BAE1AE53 0D96AE94BFE36969 67BB879B080E9F11 2A4BE0AA91BCBA02.</w:t>
      </w:r>
    </w:p>
  </w:footnote>
  <w:footnote w:id="18">
    <w:p w14:paraId="579C6AE6" w14:textId="530B5962" w:rsidR="00847890" w:rsidRPr="00696DA3" w:rsidRDefault="00847890" w:rsidP="00847890">
      <w:pPr>
        <w:pStyle w:val="NormalWeb"/>
        <w:rPr>
          <w:rFonts w:ascii="Arial" w:hAnsi="Arial" w:cs="Arial"/>
          <w:bCs/>
          <w:iCs/>
          <w:sz w:val="20"/>
          <w:szCs w:val="20"/>
          <w:lang w:val="es-MX"/>
        </w:rPr>
      </w:pPr>
      <w:r w:rsidRPr="00696DA3">
        <w:rPr>
          <w:rFonts w:ascii="Arial" w:hAnsi="Arial" w:cs="Arial"/>
          <w:bCs/>
          <w:iCs/>
          <w:sz w:val="20"/>
          <w:szCs w:val="20"/>
          <w:vertAlign w:val="superscript"/>
          <w:lang w:val="es-MX"/>
        </w:rPr>
        <w:footnoteRef/>
      </w:r>
      <w:r w:rsidRPr="00696DA3">
        <w:rPr>
          <w:rFonts w:ascii="Arial" w:hAnsi="Arial" w:cs="Arial"/>
          <w:bCs/>
          <w:iCs/>
          <w:sz w:val="20"/>
          <w:szCs w:val="20"/>
          <w:lang w:val="es-MX"/>
        </w:rPr>
        <w:t xml:space="preserve"> Documento visible en</w:t>
      </w:r>
      <w:r w:rsidR="00AD0C8F">
        <w:rPr>
          <w:rFonts w:ascii="Arial" w:hAnsi="Arial" w:cs="Arial"/>
          <w:bCs/>
          <w:iCs/>
          <w:sz w:val="20"/>
          <w:szCs w:val="20"/>
          <w:lang w:val="es-MX"/>
        </w:rPr>
        <w:t xml:space="preserve"> </w:t>
      </w:r>
      <w:proofErr w:type="spellStart"/>
      <w:r w:rsidR="00AD0C8F">
        <w:rPr>
          <w:rFonts w:ascii="Arial" w:hAnsi="Arial" w:cs="Arial"/>
          <w:bCs/>
          <w:iCs/>
          <w:sz w:val="20"/>
          <w:szCs w:val="20"/>
          <w:lang w:val="es-MX"/>
        </w:rPr>
        <w:t>Samai</w:t>
      </w:r>
      <w:proofErr w:type="spellEnd"/>
      <w:r w:rsidR="00AD0C8F">
        <w:rPr>
          <w:rFonts w:ascii="Arial" w:hAnsi="Arial" w:cs="Arial"/>
          <w:bCs/>
          <w:iCs/>
          <w:sz w:val="20"/>
          <w:szCs w:val="20"/>
          <w:lang w:val="es-MX"/>
        </w:rPr>
        <w:t xml:space="preserve"> en el índice 4 del</w:t>
      </w:r>
      <w:r w:rsidRPr="00696DA3">
        <w:rPr>
          <w:rFonts w:ascii="Arial" w:hAnsi="Arial" w:cs="Arial"/>
          <w:bCs/>
          <w:iCs/>
          <w:sz w:val="20"/>
          <w:szCs w:val="20"/>
          <w:lang w:val="es-MX"/>
        </w:rPr>
        <w:t xml:space="preserve"> expediente digital de tutela, con certificado </w:t>
      </w:r>
      <w:r w:rsidR="00C163ED" w:rsidRPr="00696DA3">
        <w:rPr>
          <w:rFonts w:ascii="Arial" w:hAnsi="Arial" w:cs="Arial"/>
          <w:bCs/>
          <w:iCs/>
          <w:sz w:val="20"/>
          <w:szCs w:val="20"/>
          <w:lang w:val="es-MX"/>
        </w:rPr>
        <w:t>CD4F90BCF5C30623 621D4A3ECFCD5B49 DF2F4FF163C3E157 268553DEF0903857</w:t>
      </w:r>
      <w:r w:rsidRPr="00696DA3">
        <w:rPr>
          <w:rFonts w:ascii="Arial" w:hAnsi="Arial" w:cs="Arial"/>
          <w:bCs/>
          <w:iCs/>
          <w:sz w:val="20"/>
          <w:szCs w:val="20"/>
          <w:lang w:val="es-MX"/>
        </w:rPr>
        <w:t xml:space="preserve">. </w:t>
      </w:r>
    </w:p>
  </w:footnote>
  <w:footnote w:id="19">
    <w:p w14:paraId="22B76310" w14:textId="3F966F38" w:rsidR="00751CC6" w:rsidRPr="00696DA3" w:rsidRDefault="00751CC6" w:rsidP="00751CC6">
      <w:pPr>
        <w:pStyle w:val="NormalWeb"/>
        <w:rPr>
          <w:rFonts w:ascii="Arial" w:hAnsi="Arial" w:cs="Arial"/>
          <w:bCs/>
          <w:iCs/>
          <w:sz w:val="20"/>
          <w:szCs w:val="20"/>
          <w:lang w:val="es-MX"/>
        </w:rPr>
      </w:pPr>
      <w:r w:rsidRPr="00696DA3">
        <w:rPr>
          <w:rFonts w:ascii="Arial" w:hAnsi="Arial" w:cs="Arial"/>
          <w:bCs/>
          <w:iCs/>
          <w:sz w:val="20"/>
          <w:szCs w:val="20"/>
          <w:vertAlign w:val="superscript"/>
          <w:lang w:val="es-MX"/>
        </w:rPr>
        <w:footnoteRef/>
      </w:r>
      <w:r w:rsidRPr="00696DA3">
        <w:rPr>
          <w:rFonts w:ascii="Arial" w:hAnsi="Arial" w:cs="Arial"/>
          <w:bCs/>
          <w:iCs/>
          <w:sz w:val="20"/>
          <w:szCs w:val="20"/>
          <w:lang w:val="es-MX"/>
        </w:rPr>
        <w:t xml:space="preserve"> Documento visible en </w:t>
      </w:r>
      <w:proofErr w:type="spellStart"/>
      <w:r w:rsidR="00AD0C8F">
        <w:rPr>
          <w:rFonts w:ascii="Arial" w:hAnsi="Arial" w:cs="Arial"/>
          <w:bCs/>
          <w:iCs/>
          <w:sz w:val="20"/>
          <w:szCs w:val="20"/>
          <w:lang w:val="es-MX"/>
        </w:rPr>
        <w:t>Samai</w:t>
      </w:r>
      <w:proofErr w:type="spellEnd"/>
      <w:r w:rsidR="00AD0C8F">
        <w:rPr>
          <w:rFonts w:ascii="Arial" w:hAnsi="Arial" w:cs="Arial"/>
          <w:bCs/>
          <w:iCs/>
          <w:sz w:val="20"/>
          <w:szCs w:val="20"/>
          <w:lang w:val="es-MX"/>
        </w:rPr>
        <w:t xml:space="preserve"> en el índice 9 d</w:t>
      </w:r>
      <w:r w:rsidRPr="00696DA3">
        <w:rPr>
          <w:rFonts w:ascii="Arial" w:hAnsi="Arial" w:cs="Arial"/>
          <w:bCs/>
          <w:iCs/>
          <w:sz w:val="20"/>
          <w:szCs w:val="20"/>
          <w:lang w:val="es-MX"/>
        </w:rPr>
        <w:t xml:space="preserve">el expediente digital de tutela, con certificado 64404E8D1C64C6A8 4B5E39F0545DAF63 A02EAEAED88C0C89 DAE0F4382EB3A695. </w:t>
      </w:r>
    </w:p>
  </w:footnote>
  <w:footnote w:id="20">
    <w:p w14:paraId="5D66AC0A" w14:textId="6556170A" w:rsidR="007B117F" w:rsidRPr="00696DA3" w:rsidRDefault="007B117F" w:rsidP="007B117F">
      <w:pPr>
        <w:pStyle w:val="NormalWeb"/>
        <w:rPr>
          <w:rFonts w:ascii="Arial" w:hAnsi="Arial" w:cs="Arial"/>
          <w:bCs/>
          <w:iCs/>
          <w:sz w:val="20"/>
          <w:szCs w:val="20"/>
          <w:lang w:val="es-MX"/>
        </w:rPr>
      </w:pPr>
      <w:r w:rsidRPr="00696DA3">
        <w:rPr>
          <w:rFonts w:ascii="Arial" w:hAnsi="Arial" w:cs="Arial"/>
          <w:bCs/>
          <w:iCs/>
          <w:sz w:val="20"/>
          <w:szCs w:val="20"/>
          <w:vertAlign w:val="superscript"/>
          <w:lang w:val="es-MX"/>
        </w:rPr>
        <w:footnoteRef/>
      </w:r>
      <w:r w:rsidRPr="00696DA3">
        <w:rPr>
          <w:rFonts w:ascii="Arial" w:hAnsi="Arial" w:cs="Arial"/>
          <w:bCs/>
          <w:iCs/>
          <w:sz w:val="20"/>
          <w:szCs w:val="20"/>
          <w:lang w:val="es-MX"/>
        </w:rPr>
        <w:t xml:space="preserve"> Documento visible en </w:t>
      </w:r>
      <w:proofErr w:type="spellStart"/>
      <w:r w:rsidR="00895A51">
        <w:rPr>
          <w:rFonts w:ascii="Arial" w:hAnsi="Arial" w:cs="Arial"/>
          <w:bCs/>
          <w:iCs/>
          <w:sz w:val="20"/>
          <w:szCs w:val="20"/>
          <w:lang w:val="es-MX"/>
        </w:rPr>
        <w:t>Samai</w:t>
      </w:r>
      <w:proofErr w:type="spellEnd"/>
      <w:r w:rsidR="00895A51">
        <w:rPr>
          <w:rFonts w:ascii="Arial" w:hAnsi="Arial" w:cs="Arial"/>
          <w:bCs/>
          <w:iCs/>
          <w:sz w:val="20"/>
          <w:szCs w:val="20"/>
          <w:lang w:val="es-MX"/>
        </w:rPr>
        <w:t xml:space="preserve"> en el índice 11 d</w:t>
      </w:r>
      <w:r w:rsidRPr="00696DA3">
        <w:rPr>
          <w:rFonts w:ascii="Arial" w:hAnsi="Arial" w:cs="Arial"/>
          <w:bCs/>
          <w:iCs/>
          <w:sz w:val="20"/>
          <w:szCs w:val="20"/>
          <w:lang w:val="es-MX"/>
        </w:rPr>
        <w:t xml:space="preserve">el expediente digital de tutela, con certificado </w:t>
      </w:r>
      <w:r w:rsidR="000D6026" w:rsidRPr="00696DA3">
        <w:rPr>
          <w:rFonts w:ascii="Arial" w:hAnsi="Arial" w:cs="Arial"/>
          <w:bCs/>
          <w:iCs/>
          <w:sz w:val="20"/>
          <w:szCs w:val="20"/>
          <w:lang w:val="es-MX"/>
        </w:rPr>
        <w:t>BB3584009F5D364A 45736348DAEE49DE 91885924E49BA242 5763AB7CBCADA53B</w:t>
      </w:r>
      <w:r w:rsidRPr="00696DA3">
        <w:rPr>
          <w:rFonts w:ascii="Arial" w:hAnsi="Arial" w:cs="Arial"/>
          <w:bCs/>
          <w:iCs/>
          <w:sz w:val="20"/>
          <w:szCs w:val="20"/>
          <w:lang w:val="es-MX"/>
        </w:rPr>
        <w:t xml:space="preserve">. </w:t>
      </w:r>
    </w:p>
  </w:footnote>
  <w:footnote w:id="21">
    <w:p w14:paraId="07DDA1E0" w14:textId="77777777" w:rsidR="0070680B" w:rsidRPr="00696DA3" w:rsidRDefault="0070680B" w:rsidP="003B7623">
      <w:pPr>
        <w:pStyle w:val="Textonotapie"/>
        <w:rPr>
          <w:sz w:val="20"/>
        </w:rPr>
      </w:pPr>
      <w:r w:rsidRPr="00696DA3">
        <w:rPr>
          <w:rStyle w:val="Refdenotaalpie"/>
          <w:sz w:val="20"/>
        </w:rPr>
        <w:footnoteRef/>
      </w:r>
      <w:r w:rsidRPr="00696DA3">
        <w:rPr>
          <w:sz w:val="20"/>
        </w:rPr>
        <w:t xml:space="preserve"> Las causales específicas de procedencia de la acción de tutela contra providencia judicial se concretan en los defectos o errores en que puede incurrir la decisión cuestionada, de modo que, si en una decisión judicial se presenta alguna de las causales específicas, podrá ser razón suficiente para el amparo constitucional. A saber: a) Defecto orgánico, que se presenta cuando el juez carece de competencia; b) defecto procedimental, que ocurre cuando la autoridad judicial actuó al margen del procedimiento establecido; c) defecto fáctico, esto es, cuando el juez no tuvo en cuenta el material de prueba obrante en el expediente para proferir decisión; d) defecto material o sustantivo, el que se origina en el evento en que se decida con fundamento en normas inexistentes o inconstitucionales, en contravía de ellas, o existe una evidente y grosera contradicción entre los fundamentos y la decisión; e) error inducido, cuando la autoridad judicial es víctima de engaño por terceros y el mismo lo condujo a tomar una decisión que afecta derechos fundamentales; f) decisión sin motivación, que implica el incumplimiento de los servidores judiciales de dar cuenta de los fundamentos fácticos y jurídicos de sus decisiones en el entendido que precisamente en esa motivación reposa la legitimidad de su órbita funcional; g) desconocimiento del precedente constitucional, cuando la Corte Constitucional establece el alcance de un derecho fundamental y el juez ordinario aplica una ley limitando sustancialmente dicho alcance y h) violación directa de la Constitución Política, cuando los jueces desconocen la aplicación de la Ley Fundamental, conforme al mandato consagrado en el artículo 4º de la Carta Política que antepone de manera preferente la aplicación de sus postulados.</w:t>
      </w:r>
    </w:p>
  </w:footnote>
  <w:footnote w:id="22">
    <w:p w14:paraId="5C97B15D" w14:textId="77777777" w:rsidR="0070680B" w:rsidRPr="00696DA3" w:rsidRDefault="0070680B" w:rsidP="0070680B">
      <w:pPr>
        <w:pStyle w:val="NormalWeb"/>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Sentencia de la Corte Constitucional T-066 de 2019, que, a su vez reitera la T-336 de 2004.</w:t>
      </w:r>
    </w:p>
  </w:footnote>
  <w:footnote w:id="23">
    <w:p w14:paraId="427C3652" w14:textId="77777777" w:rsidR="0070680B" w:rsidRPr="00696DA3" w:rsidRDefault="0070680B" w:rsidP="0070680B">
      <w:pPr>
        <w:pStyle w:val="NormalWeb"/>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“No se trata de convertir la tutela en un mecanismo ritualista, sino de exigir una actuación razonable para conciliar la protección eficaz de los derechos fundamentales, con los principios y valores en juego, al controvertir una providencia judicial”. Corte Constitucional, sentencia T-066 de 2019.</w:t>
      </w:r>
    </w:p>
    <w:p w14:paraId="323CB318" w14:textId="77777777" w:rsidR="0070680B" w:rsidRPr="00696DA3" w:rsidRDefault="0070680B" w:rsidP="0070680B">
      <w:pPr>
        <w:pStyle w:val="NormalWeb"/>
        <w:rPr>
          <w:rFonts w:ascii="Arial" w:hAnsi="Arial" w:cs="Arial"/>
          <w:bCs/>
          <w:iCs/>
          <w:sz w:val="20"/>
          <w:szCs w:val="20"/>
        </w:rPr>
      </w:pPr>
      <w:r w:rsidRPr="00696DA3">
        <w:rPr>
          <w:rFonts w:ascii="Arial" w:hAnsi="Arial" w:cs="Arial"/>
          <w:bCs/>
          <w:iCs/>
          <w:sz w:val="20"/>
          <w:szCs w:val="20"/>
        </w:rPr>
        <w:t>Por supuesto, el fallador de tutela requiere examinar que, de esos asuntos legales, no se desprendan violaciones a los derechos y deberes constitucionales, pues, de ser así, adquieren relevancia constitucional inmediata. Corte Constitucional. Sentencia T-1031 de 2001, citada por la Corte Constitucional en las sentencias T-114 de 2002 y T-136 de 2015.</w:t>
      </w:r>
    </w:p>
  </w:footnote>
  <w:footnote w:id="24">
    <w:p w14:paraId="5DAF683F" w14:textId="77777777" w:rsidR="0070680B" w:rsidRPr="00696DA3" w:rsidRDefault="0070680B" w:rsidP="0070680B">
      <w:pPr>
        <w:pStyle w:val="NormalWeb"/>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Cfr. sentencia C-590 de 2005.</w:t>
      </w:r>
    </w:p>
  </w:footnote>
  <w:footnote w:id="25">
    <w:p w14:paraId="613F977A" w14:textId="77777777" w:rsidR="00C97F04" w:rsidRPr="00696DA3" w:rsidRDefault="00C97F04" w:rsidP="00C97F04">
      <w:pPr>
        <w:pStyle w:val="Textonotapie"/>
        <w:rPr>
          <w:sz w:val="20"/>
        </w:rPr>
      </w:pPr>
      <w:r w:rsidRPr="00696DA3">
        <w:rPr>
          <w:rStyle w:val="Refdenotaalpie"/>
          <w:sz w:val="20"/>
        </w:rPr>
        <w:footnoteRef/>
      </w:r>
      <w:r w:rsidRPr="00696DA3">
        <w:rPr>
          <w:sz w:val="20"/>
        </w:rPr>
        <w:t xml:space="preserve"> Corte Constitucional. Sentencia T-017 de 2012.</w:t>
      </w:r>
    </w:p>
  </w:footnote>
  <w:footnote w:id="26">
    <w:p w14:paraId="5D015209" w14:textId="77777777" w:rsidR="00B02E37" w:rsidRPr="00696DA3" w:rsidRDefault="00B02E37" w:rsidP="00B02E37">
      <w:pPr>
        <w:pStyle w:val="Cuadrculamedia21"/>
        <w:jc w:val="both"/>
        <w:rPr>
          <w:rFonts w:ascii="Arial" w:hAnsi="Arial" w:cs="Arial"/>
          <w:sz w:val="20"/>
          <w:szCs w:val="20"/>
        </w:rPr>
      </w:pPr>
      <w:r w:rsidRPr="00696DA3">
        <w:rPr>
          <w:rStyle w:val="Refdenotaalpie"/>
          <w:rFonts w:ascii="Arial" w:hAnsi="Arial" w:cs="Arial"/>
          <w:sz w:val="20"/>
          <w:szCs w:val="20"/>
        </w:rPr>
        <w:footnoteRef/>
      </w:r>
      <w:r w:rsidRPr="00696DA3">
        <w:rPr>
          <w:rFonts w:ascii="Arial" w:hAnsi="Arial" w:cs="Arial"/>
          <w:sz w:val="20"/>
          <w:szCs w:val="20"/>
        </w:rPr>
        <w:t xml:space="preserve"> Consejo de Estado, Sala Veintidós Especial de Decisión, sentencia del 2 de febrero de 2016, radicado No. 11001031500020150234200: </w:t>
      </w:r>
      <w:r w:rsidRPr="00696DA3">
        <w:rPr>
          <w:rFonts w:ascii="Arial" w:hAnsi="Arial" w:cs="Arial"/>
          <w:i/>
          <w:iCs/>
          <w:sz w:val="20"/>
          <w:szCs w:val="20"/>
        </w:rPr>
        <w:t>“(…) la causal de revisión contenida en el numeral 5º del artículo 250 del CPACA –antes 6 del artículo 188 del C.C.A.-, es decir, nulidad originada en la sentencia, se puede configurar cuando el fallo objeto de revisión ha desatendido la congruencia interna y/o la externa, pues, en uno y otro caso, el fallador incurre en una clara violación del debido proceso, artículo 29 constitucional, dado que la providencia proferida en esos términos resulta contraria a las formas propias de cada juicio…”</w:t>
      </w:r>
      <w:r w:rsidRPr="00696DA3">
        <w:rPr>
          <w:rFonts w:ascii="Arial" w:hAnsi="Arial" w:cs="Arial"/>
          <w:sz w:val="20"/>
          <w:szCs w:val="20"/>
        </w:rPr>
        <w:t xml:space="preserve">. Posición reiterada recientemente por esta Subsección en la sentencia del 2 de abril de 2020, proferida dentro del expediente con radicado No. 11001-03-15-000-2019-05184-01.  </w:t>
      </w:r>
    </w:p>
  </w:footnote>
  <w:footnote w:id="27">
    <w:p w14:paraId="3A6721BA" w14:textId="77777777" w:rsidR="00B02E37" w:rsidRPr="00696DA3" w:rsidRDefault="00B02E37" w:rsidP="00B02E37">
      <w:pPr>
        <w:pStyle w:val="Textonotapie"/>
        <w:rPr>
          <w:sz w:val="20"/>
        </w:rPr>
      </w:pPr>
      <w:r w:rsidRPr="00696DA3">
        <w:rPr>
          <w:rStyle w:val="Refdenotaalpie"/>
          <w:sz w:val="20"/>
        </w:rPr>
        <w:footnoteRef/>
      </w:r>
      <w:r w:rsidRPr="00696DA3">
        <w:rPr>
          <w:sz w:val="20"/>
        </w:rPr>
        <w:t xml:space="preserve"> </w:t>
      </w:r>
      <w:r w:rsidRPr="00696DA3">
        <w:rPr>
          <w:sz w:val="20"/>
          <w:lang w:val="es-MX" w:eastAsia="ja-JP"/>
        </w:rPr>
        <w:t>Radicado No. 11001031500020150234200.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67E0" w14:textId="4B64A190" w:rsidR="0086189E" w:rsidRPr="00A15ACE" w:rsidRDefault="004D0873" w:rsidP="00203055">
    <w:pPr>
      <w:pStyle w:val="Encabezado"/>
      <w:tabs>
        <w:tab w:val="clear" w:pos="4252"/>
        <w:tab w:val="clear" w:pos="8504"/>
      </w:tabs>
    </w:pPr>
    <w:r>
      <w:rPr>
        <w:noProof/>
        <w:lang w:eastAsia="es-CO"/>
      </w:rPr>
      <w:drawing>
        <wp:anchor distT="0" distB="0" distL="114300" distR="114300" simplePos="0" relativeHeight="251689984" behindDoc="0" locked="0" layoutInCell="1" allowOverlap="1" wp14:anchorId="428F8081" wp14:editId="5396910C">
          <wp:simplePos x="0" y="0"/>
          <wp:positionH relativeFrom="margin">
            <wp:align>left</wp:align>
          </wp:positionH>
          <wp:positionV relativeFrom="paragraph">
            <wp:posOffset>4146</wp:posOffset>
          </wp:positionV>
          <wp:extent cx="730250" cy="679450"/>
          <wp:effectExtent l="0" t="0" r="0" b="6350"/>
          <wp:wrapSquare wrapText="bothSides"/>
          <wp:docPr id="13" name="Imagen 13"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9E" w:rsidRPr="0070023E">
      <w:rPr>
        <w:noProof/>
        <w:sz w:val="20"/>
        <w:szCs w:val="20"/>
        <w:lang w:eastAsia="es-CO"/>
      </w:rPr>
      <mc:AlternateContent>
        <mc:Choice Requires="wps">
          <w:drawing>
            <wp:anchor distT="0" distB="0" distL="114300" distR="114300" simplePos="0" relativeHeight="251656192" behindDoc="0" locked="0" layoutInCell="1" allowOverlap="1" wp14:anchorId="71F1B463" wp14:editId="60A2257C">
              <wp:simplePos x="0" y="0"/>
              <wp:positionH relativeFrom="column">
                <wp:posOffset>1379855</wp:posOffset>
              </wp:positionH>
              <wp:positionV relativeFrom="paragraph">
                <wp:posOffset>60325</wp:posOffset>
              </wp:positionV>
              <wp:extent cx="5400040" cy="0"/>
              <wp:effectExtent l="17780" t="22225" r="2095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type id="_x0000_t32" coordsize="21600,21600" o:oned="t" filled="f" o:spt="32" path="m,l21600,21600e" w14:anchorId="20C10D07">
              <v:path fillok="f" arrowok="t" o:connecttype="none"/>
              <o:lock v:ext="edit" shapetype="t"/>
            </v:shapetype>
            <v:shape id="AutoShape 2" style="position:absolute;margin-left:108.65pt;margin-top:4.75pt;width:425.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">
              <v:shadow color="#1f3763" opacity=".5" offset="1pt"/>
            </v:shape>
          </w:pict>
        </mc:Fallback>
      </mc:AlternateContent>
    </w:r>
  </w:p>
  <w:p w14:paraId="10AE1B89" w14:textId="2C64F75B" w:rsidR="007E721C" w:rsidRPr="00700115" w:rsidRDefault="007E721C" w:rsidP="007E721C">
    <w:pPr>
      <w:pStyle w:val="Encabezado"/>
      <w:jc w:val="right"/>
      <w:rPr>
        <w:i/>
        <w:color w:val="767171"/>
        <w:sz w:val="20"/>
        <w:szCs w:val="20"/>
      </w:rPr>
    </w:pPr>
    <w:r w:rsidRPr="00700115">
      <w:rPr>
        <w:i/>
        <w:color w:val="767171"/>
        <w:sz w:val="20"/>
        <w:szCs w:val="20"/>
      </w:rPr>
      <w:t>Radicado: 11001-03-15-000-202</w:t>
    </w:r>
    <w:r w:rsidR="00D33B78" w:rsidRPr="00700115">
      <w:rPr>
        <w:i/>
        <w:color w:val="767171"/>
        <w:sz w:val="20"/>
        <w:szCs w:val="20"/>
      </w:rPr>
      <w:t>2-0</w:t>
    </w:r>
    <w:r w:rsidR="004D0873" w:rsidRPr="00700115">
      <w:rPr>
        <w:i/>
        <w:color w:val="767171"/>
        <w:sz w:val="20"/>
        <w:szCs w:val="20"/>
      </w:rPr>
      <w:t>2622</w:t>
    </w:r>
    <w:r w:rsidRPr="00700115">
      <w:rPr>
        <w:i/>
        <w:color w:val="767171"/>
        <w:sz w:val="20"/>
        <w:szCs w:val="20"/>
      </w:rPr>
      <w:t>-00</w:t>
    </w:r>
  </w:p>
  <w:p w14:paraId="026307A0" w14:textId="49AF44C4" w:rsidR="007E721C" w:rsidRPr="00700115" w:rsidRDefault="007E721C" w:rsidP="007E721C">
    <w:pPr>
      <w:pStyle w:val="Encabezado"/>
      <w:jc w:val="right"/>
      <w:rPr>
        <w:i/>
        <w:color w:val="767171"/>
        <w:sz w:val="20"/>
        <w:szCs w:val="20"/>
      </w:rPr>
    </w:pPr>
    <w:r w:rsidRPr="00700115">
      <w:rPr>
        <w:i/>
        <w:color w:val="767171"/>
        <w:sz w:val="20"/>
        <w:szCs w:val="20"/>
      </w:rPr>
      <w:tab/>
    </w:r>
    <w:r w:rsidRPr="00700115">
      <w:rPr>
        <w:i/>
        <w:color w:val="767171"/>
        <w:sz w:val="20"/>
        <w:szCs w:val="20"/>
      </w:rPr>
      <w:tab/>
      <w:t xml:space="preserve">Accionante: </w:t>
    </w:r>
    <w:r w:rsidR="004D0873" w:rsidRPr="00700115">
      <w:rPr>
        <w:i/>
        <w:color w:val="767171"/>
        <w:sz w:val="20"/>
        <w:szCs w:val="20"/>
      </w:rPr>
      <w:t>Evaristo Arteta Castro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1264" w14:textId="77777777" w:rsidR="00D96EAA" w:rsidRDefault="00D96EAA" w:rsidP="00700115">
    <w:pPr>
      <w:suppressAutoHyphens/>
      <w:ind w:left="3530" w:firstLine="706"/>
      <w:rPr>
        <w:bCs/>
        <w:i/>
        <w:color w:val="000000"/>
        <w:sz w:val="20"/>
        <w:szCs w:val="20"/>
        <w:lang w:eastAsia="es-ES"/>
      </w:rPr>
    </w:pPr>
    <w:r>
      <w:rPr>
        <w:bCs/>
        <w:i/>
        <w:noProof/>
        <w:color w:val="000000"/>
        <w:sz w:val="20"/>
        <w:szCs w:val="20"/>
        <w:lang w:eastAsia="es-CO"/>
      </w:rPr>
      <mc:AlternateContent>
        <mc:Choice Requires="wps">
          <w:drawing>
            <wp:anchor distT="0" distB="0" distL="114300" distR="114300" simplePos="0" relativeHeight="251693056" behindDoc="0" locked="0" layoutInCell="1" allowOverlap="1" wp14:anchorId="5052AFC3" wp14:editId="0F2DBE69">
              <wp:simplePos x="0" y="0"/>
              <wp:positionH relativeFrom="column">
                <wp:posOffset>1669415</wp:posOffset>
              </wp:positionH>
              <wp:positionV relativeFrom="paragraph">
                <wp:posOffset>21590</wp:posOffset>
              </wp:positionV>
              <wp:extent cx="4018915" cy="0"/>
              <wp:effectExtent l="12065" t="12065" r="17145" b="1651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80C0689" id="_x0000_t32" coordsize="21600,21600" o:spt="32" o:oned="t" path="m,l21600,21600e" filled="f">
              <v:path arrowok="t" fillok="f" o:connecttype="none"/>
              <o:lock v:ext="edit" shapetype="t"/>
            </v:shapetype>
            <v:shape id="Conector recto de flecha 51" o:spid="_x0000_s1026" type="#_x0000_t32" style="position:absolute;margin-left:131.45pt;margin-top:1.7pt;width:316.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" strokeweight="1.5pt"/>
          </w:pict>
        </mc:Fallback>
      </mc:AlternateContent>
    </w:r>
    <w:r w:rsidRPr="00FE6083">
      <w:rPr>
        <w:i/>
        <w:noProof/>
        <w:sz w:val="20"/>
        <w:szCs w:val="20"/>
        <w:lang w:eastAsia="es-CO"/>
      </w:rPr>
      <w:drawing>
        <wp:anchor distT="0" distB="0" distL="114300" distR="114300" simplePos="0" relativeHeight="251692032" behindDoc="1" locked="0" layoutInCell="1" allowOverlap="1" wp14:anchorId="68EE6B34" wp14:editId="1D93986A">
          <wp:simplePos x="0" y="0"/>
          <wp:positionH relativeFrom="column">
            <wp:posOffset>-342900</wp:posOffset>
          </wp:positionH>
          <wp:positionV relativeFrom="paragraph">
            <wp:posOffset>-66675</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761AB" w14:textId="6E29D696" w:rsidR="00D96EAA" w:rsidRPr="00FE6083" w:rsidRDefault="00D96EAA" w:rsidP="00700115">
    <w:pPr>
      <w:suppressAutoHyphens/>
      <w:ind w:left="3530"/>
      <w:jc w:val="right"/>
      <w:rPr>
        <w:bCs/>
        <w:i/>
        <w:color w:val="000000"/>
        <w:sz w:val="20"/>
        <w:szCs w:val="20"/>
        <w:lang w:eastAsia="es-ES"/>
      </w:rPr>
    </w:pPr>
    <w:r w:rsidRPr="00FE6083">
      <w:rPr>
        <w:bCs/>
        <w:i/>
        <w:color w:val="000000"/>
        <w:sz w:val="20"/>
        <w:szCs w:val="20"/>
        <w:lang w:eastAsia="es-ES"/>
      </w:rPr>
      <w:t>Radicado:</w:t>
    </w:r>
    <w:r>
      <w:rPr>
        <w:bCs/>
        <w:i/>
        <w:color w:val="000000"/>
        <w:sz w:val="20"/>
        <w:szCs w:val="20"/>
        <w:lang w:eastAsia="es-ES"/>
      </w:rPr>
      <w:t xml:space="preserve"> </w:t>
    </w:r>
    <w:r w:rsidRPr="00997D35">
      <w:rPr>
        <w:bCs/>
        <w:i/>
        <w:color w:val="000000"/>
        <w:sz w:val="20"/>
        <w:szCs w:val="20"/>
        <w:lang w:eastAsia="es-ES"/>
      </w:rPr>
      <w:t>11001-03-15-000-2022-0</w:t>
    </w:r>
    <w:r>
      <w:rPr>
        <w:bCs/>
        <w:i/>
        <w:color w:val="000000"/>
        <w:sz w:val="20"/>
        <w:szCs w:val="20"/>
        <w:lang w:eastAsia="es-ES"/>
      </w:rPr>
      <w:t>2622</w:t>
    </w:r>
    <w:r w:rsidRPr="00997D35">
      <w:rPr>
        <w:bCs/>
        <w:i/>
        <w:color w:val="000000"/>
        <w:sz w:val="20"/>
        <w:szCs w:val="20"/>
        <w:lang w:eastAsia="es-ES"/>
      </w:rPr>
      <w:t>-00</w:t>
    </w:r>
  </w:p>
  <w:p w14:paraId="76FAA0B4" w14:textId="41D36897" w:rsidR="00D96EAA" w:rsidRPr="00FE6083" w:rsidRDefault="00D96EAA" w:rsidP="00700115">
    <w:pPr>
      <w:suppressAutoHyphens/>
      <w:jc w:val="right"/>
      <w:rPr>
        <w:bCs/>
        <w:i/>
        <w:color w:val="000000"/>
        <w:sz w:val="20"/>
        <w:szCs w:val="20"/>
        <w:lang w:eastAsia="es-ES"/>
      </w:rPr>
    </w:pPr>
    <w:r>
      <w:rPr>
        <w:bCs/>
        <w:i/>
        <w:color w:val="000000"/>
        <w:sz w:val="20"/>
        <w:szCs w:val="20"/>
        <w:lang w:eastAsia="es-ES"/>
      </w:rPr>
      <w:t xml:space="preserve">                                     Accionante</w:t>
    </w:r>
    <w:r w:rsidRPr="00FE6083">
      <w:rPr>
        <w:bCs/>
        <w:i/>
        <w:color w:val="000000"/>
        <w:sz w:val="20"/>
        <w:szCs w:val="20"/>
        <w:lang w:eastAsia="es-ES"/>
      </w:rPr>
      <w:t xml:space="preserve">: </w:t>
    </w:r>
    <w:r>
      <w:rPr>
        <w:bCs/>
        <w:i/>
        <w:color w:val="000000"/>
        <w:sz w:val="20"/>
        <w:szCs w:val="20"/>
        <w:lang w:eastAsia="es-ES"/>
      </w:rPr>
      <w:t>Evaristo Arteta Castro</w:t>
    </w:r>
  </w:p>
  <w:p w14:paraId="07F41374" w14:textId="77777777" w:rsidR="00D96EAA" w:rsidRDefault="00D96EAA" w:rsidP="00700115">
    <w:pPr>
      <w:suppressAutoHyphens/>
      <w:rPr>
        <w:b/>
        <w:bCs/>
        <w:color w:val="000000"/>
        <w:lang w:eastAsia="es-ES"/>
      </w:rPr>
    </w:pPr>
    <w:bookmarkStart w:id="3" w:name="_Hlk101357283"/>
    <w:bookmarkStart w:id="4" w:name="_Hlk101357284"/>
  </w:p>
  <w:p w14:paraId="399AF892" w14:textId="77777777" w:rsidR="00D96EAA" w:rsidRPr="00491A3A" w:rsidRDefault="00D96EAA" w:rsidP="00700115">
    <w:pPr>
      <w:suppressAutoHyphens/>
      <w:rPr>
        <w:b/>
        <w:bCs/>
        <w:color w:val="000000"/>
        <w:sz w:val="24"/>
        <w:szCs w:val="24"/>
        <w:lang w:eastAsia="es-ES"/>
      </w:rPr>
    </w:pPr>
    <w:r>
      <w:rPr>
        <w:b/>
        <w:bCs/>
        <w:color w:val="000000"/>
        <w:sz w:val="24"/>
        <w:szCs w:val="24"/>
        <w:lang w:eastAsia="es-ES"/>
      </w:rPr>
      <w:t xml:space="preserve">                                    </w:t>
    </w:r>
    <w:r w:rsidRPr="00491A3A">
      <w:rPr>
        <w:b/>
        <w:bCs/>
        <w:color w:val="000000"/>
        <w:sz w:val="24"/>
        <w:szCs w:val="24"/>
        <w:lang w:eastAsia="es-ES"/>
      </w:rPr>
      <w:t>CONSEJO DE ESTADO</w:t>
    </w:r>
  </w:p>
  <w:p w14:paraId="093ED20F" w14:textId="77777777" w:rsidR="00D96EAA" w:rsidRPr="00491A3A" w:rsidRDefault="00D96EAA" w:rsidP="00700115">
    <w:pPr>
      <w:suppressAutoHyphens/>
      <w:jc w:val="center"/>
      <w:rPr>
        <w:b/>
        <w:bCs/>
        <w:color w:val="000000"/>
        <w:sz w:val="24"/>
        <w:szCs w:val="24"/>
        <w:lang w:eastAsia="es-ES"/>
      </w:rPr>
    </w:pPr>
    <w:r w:rsidRPr="00491A3A">
      <w:rPr>
        <w:b/>
        <w:bCs/>
        <w:color w:val="000000"/>
        <w:sz w:val="24"/>
        <w:szCs w:val="24"/>
        <w:lang w:eastAsia="es-ES"/>
      </w:rPr>
      <w:t>SALA DE LO CONTENCIOSO ADMINISTRATIVO</w:t>
    </w:r>
  </w:p>
  <w:p w14:paraId="4A0D34D5" w14:textId="77777777" w:rsidR="00D96EAA" w:rsidRPr="00491A3A" w:rsidRDefault="00D96EAA" w:rsidP="00700115">
    <w:pPr>
      <w:suppressAutoHyphens/>
      <w:jc w:val="center"/>
      <w:rPr>
        <w:b/>
        <w:bCs/>
        <w:color w:val="000000"/>
        <w:sz w:val="24"/>
        <w:szCs w:val="24"/>
        <w:lang w:eastAsia="es-ES"/>
      </w:rPr>
    </w:pPr>
    <w:r w:rsidRPr="00491A3A">
      <w:rPr>
        <w:b/>
        <w:bCs/>
        <w:color w:val="000000"/>
        <w:sz w:val="24"/>
        <w:szCs w:val="24"/>
        <w:lang w:eastAsia="es-ES"/>
      </w:rPr>
      <w:t>SECCIÓN TERCERA</w:t>
    </w:r>
  </w:p>
  <w:p w14:paraId="77B0AFBC" w14:textId="77777777" w:rsidR="00D96EAA" w:rsidRPr="00045D31" w:rsidRDefault="00D96EAA" w:rsidP="00700115">
    <w:pPr>
      <w:suppressAutoHyphens/>
      <w:jc w:val="center"/>
      <w:rPr>
        <w:b/>
        <w:bCs/>
        <w:color w:val="000000"/>
        <w:sz w:val="24"/>
        <w:szCs w:val="24"/>
        <w:lang w:eastAsia="es-ES"/>
      </w:rPr>
    </w:pPr>
    <w:r w:rsidRPr="00491A3A">
      <w:rPr>
        <w:b/>
        <w:bCs/>
        <w:color w:val="000000"/>
        <w:sz w:val="24"/>
        <w:szCs w:val="24"/>
        <w:lang w:eastAsia="es-ES"/>
      </w:rPr>
      <w:t>SUBSECCIÓN C</w:t>
    </w:r>
    <w:bookmarkEnd w:id="3"/>
    <w:bookmarkEnd w:id="4"/>
  </w:p>
  <w:p w14:paraId="3879558C" w14:textId="77777777" w:rsidR="0086189E" w:rsidRDefault="0086189E" w:rsidP="00850A42">
    <w:pPr>
      <w:pStyle w:val="Encabezado"/>
      <w:tabs>
        <w:tab w:val="clear" w:pos="4252"/>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5A68"/>
    <w:multiLevelType w:val="hybridMultilevel"/>
    <w:tmpl w:val="1D9AF256"/>
    <w:lvl w:ilvl="0" w:tplc="71C62E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1E16"/>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7701001"/>
    <w:multiLevelType w:val="multilevel"/>
    <w:tmpl w:val="3AF081F4"/>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E521F5"/>
    <w:multiLevelType w:val="hybridMultilevel"/>
    <w:tmpl w:val="481CAEE8"/>
    <w:lvl w:ilvl="0" w:tplc="43FA3E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211DA"/>
    <w:multiLevelType w:val="hybridMultilevel"/>
    <w:tmpl w:val="BE2E816C"/>
    <w:lvl w:ilvl="0" w:tplc="DF2073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20A76"/>
    <w:multiLevelType w:val="multilevel"/>
    <w:tmpl w:val="D9646B6A"/>
    <w:lvl w:ilvl="0">
      <w:start w:val="2"/>
      <w:numFmt w:val="decimal"/>
      <w:lvlText w:val="%1."/>
      <w:lvlJc w:val="left"/>
      <w:pPr>
        <w:ind w:left="400" w:hanging="400"/>
      </w:pPr>
      <w:rPr>
        <w:rFonts w:hint="default"/>
        <w:b/>
        <w:bCs/>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2B43D0"/>
    <w:multiLevelType w:val="hybridMultilevel"/>
    <w:tmpl w:val="14A8D87C"/>
    <w:lvl w:ilvl="0" w:tplc="316E9AE0">
      <w:start w:val="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4C1349"/>
    <w:multiLevelType w:val="hybridMultilevel"/>
    <w:tmpl w:val="BB30B85A"/>
    <w:lvl w:ilvl="0" w:tplc="0C94F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F2A4B"/>
    <w:multiLevelType w:val="hybridMultilevel"/>
    <w:tmpl w:val="8A123A5C"/>
    <w:lvl w:ilvl="0" w:tplc="7FF8CA56">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17264"/>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275B1A96"/>
    <w:multiLevelType w:val="multilevel"/>
    <w:tmpl w:val="F8F0C178"/>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C65264"/>
    <w:multiLevelType w:val="hybridMultilevel"/>
    <w:tmpl w:val="091E44E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374F73"/>
    <w:multiLevelType w:val="multilevel"/>
    <w:tmpl w:val="ABAEDE02"/>
    <w:lvl w:ilvl="0">
      <w:start w:val="1"/>
      <w:numFmt w:val="upperRoman"/>
      <w:pStyle w:val="Ttulo1"/>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7265EF3"/>
    <w:multiLevelType w:val="multilevel"/>
    <w:tmpl w:val="ABAEDE02"/>
    <w:numStyleLink w:val="Estilo1"/>
  </w:abstractNum>
  <w:abstractNum w:abstractNumId="14" w15:restartNumberingAfterBreak="0">
    <w:nsid w:val="3A407B3E"/>
    <w:multiLevelType w:val="hybridMultilevel"/>
    <w:tmpl w:val="8ED03882"/>
    <w:lvl w:ilvl="0" w:tplc="6C1E3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C57DD"/>
    <w:multiLevelType w:val="hybridMultilevel"/>
    <w:tmpl w:val="05C47AA8"/>
    <w:lvl w:ilvl="0" w:tplc="8D1A8B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C1398C"/>
    <w:multiLevelType w:val="hybridMultilevel"/>
    <w:tmpl w:val="E0D4C2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8531FF"/>
    <w:multiLevelType w:val="hybridMultilevel"/>
    <w:tmpl w:val="9E4C613A"/>
    <w:lvl w:ilvl="0" w:tplc="4D680300">
      <w:start w:val="1"/>
      <w:numFmt w:val="ordinalText"/>
      <w:lvlText w:val="%1."/>
      <w:lvlJc w:val="left"/>
      <w:pPr>
        <w:ind w:left="720" w:hanging="360"/>
      </w:pPr>
      <w:rPr>
        <w:rFonts w:ascii="Arial" w:hAnsi="Arial" w:hint="default"/>
        <w:b/>
        <w:i w:val="0"/>
        <w:cap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C7B9A"/>
    <w:multiLevelType w:val="multilevel"/>
    <w:tmpl w:val="ABAEDE02"/>
    <w:styleLink w:val="Estilo1"/>
    <w:lvl w:ilvl="0">
      <w:start w:val="3"/>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4F5631"/>
    <w:multiLevelType w:val="hybridMultilevel"/>
    <w:tmpl w:val="135C3258"/>
    <w:lvl w:ilvl="0" w:tplc="3C68B0CC">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C0F3C"/>
    <w:multiLevelType w:val="multilevel"/>
    <w:tmpl w:val="84E85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A70353"/>
    <w:multiLevelType w:val="hybridMultilevel"/>
    <w:tmpl w:val="43100F48"/>
    <w:lvl w:ilvl="0" w:tplc="6396DC7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90510"/>
    <w:multiLevelType w:val="hybridMultilevel"/>
    <w:tmpl w:val="865A96CA"/>
    <w:lvl w:ilvl="0" w:tplc="A8CE6A8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B0CE7"/>
    <w:multiLevelType w:val="hybridMultilevel"/>
    <w:tmpl w:val="E904DD0C"/>
    <w:lvl w:ilvl="0" w:tplc="F00CB9D8">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99E67562">
      <w:start w:val="1"/>
      <w:numFmt w:val="decimal"/>
      <w:lvlText w:val="%4."/>
      <w:lvlJc w:val="left"/>
      <w:pPr>
        <w:ind w:left="360" w:hanging="360"/>
      </w:pPr>
      <w:rPr>
        <w:b/>
        <w:sz w:val="24"/>
        <w:szCs w:val="24"/>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5F2A282F"/>
    <w:multiLevelType w:val="hybridMultilevel"/>
    <w:tmpl w:val="B10A7E36"/>
    <w:lvl w:ilvl="0" w:tplc="9FCAA5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41244"/>
    <w:multiLevelType w:val="multilevel"/>
    <w:tmpl w:val="771C0008"/>
    <w:lvl w:ilvl="0">
      <w:start w:val="1"/>
      <w:numFmt w:val="ordinalText"/>
      <w:lvlText w:val="%1."/>
      <w:lvlJc w:val="left"/>
      <w:pPr>
        <w:ind w:left="0" w:firstLine="0"/>
      </w:pPr>
      <w:rPr>
        <w:rFonts w:ascii="Arial" w:hAnsi="Arial" w:hint="default"/>
        <w:b/>
        <w:i w:val="0"/>
        <w:caps/>
        <w:strike w:val="0"/>
        <w:dstrike w:val="0"/>
        <w:vanish w:val="0"/>
        <w:sz w:val="24"/>
        <w:vertAlign w:val="baselin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64BD6038"/>
    <w:multiLevelType w:val="multilevel"/>
    <w:tmpl w:val="A8E846F4"/>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7C2289"/>
    <w:multiLevelType w:val="multilevel"/>
    <w:tmpl w:val="4DA0571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B16B14"/>
    <w:multiLevelType w:val="hybridMultilevel"/>
    <w:tmpl w:val="51549D50"/>
    <w:lvl w:ilvl="0" w:tplc="68FADFDA">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F1D7296"/>
    <w:multiLevelType w:val="hybridMultilevel"/>
    <w:tmpl w:val="7474F05E"/>
    <w:lvl w:ilvl="0" w:tplc="B42222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47252D"/>
    <w:multiLevelType w:val="hybridMultilevel"/>
    <w:tmpl w:val="3E9EAA42"/>
    <w:lvl w:ilvl="0" w:tplc="AA90D0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E029E"/>
    <w:multiLevelType w:val="hybridMultilevel"/>
    <w:tmpl w:val="10141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43753C"/>
    <w:multiLevelType w:val="multilevel"/>
    <w:tmpl w:val="AAA6266E"/>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2"/>
  </w:num>
  <w:num w:numId="6">
    <w:abstractNumId w:val="29"/>
  </w:num>
  <w:num w:numId="7">
    <w:abstractNumId w:val="20"/>
  </w:num>
  <w:num w:numId="8">
    <w:abstractNumId w:val="16"/>
  </w:num>
  <w:num w:numId="9">
    <w:abstractNumId w:val="18"/>
  </w:num>
  <w:num w:numId="10">
    <w:abstractNumId w:val="13"/>
  </w:num>
  <w:num w:numId="11">
    <w:abstractNumId w:val="7"/>
  </w:num>
  <w:num w:numId="12">
    <w:abstractNumId w:val="14"/>
  </w:num>
  <w:num w:numId="13">
    <w:abstractNumId w:val="8"/>
  </w:num>
  <w:num w:numId="14">
    <w:abstractNumId w:val="27"/>
  </w:num>
  <w:num w:numId="15">
    <w:abstractNumId w:val="2"/>
  </w:num>
  <w:num w:numId="16">
    <w:abstractNumId w:val="26"/>
  </w:num>
  <w:num w:numId="17">
    <w:abstractNumId w:val="33"/>
  </w:num>
  <w:num w:numId="18">
    <w:abstractNumId w:val="30"/>
  </w:num>
  <w:num w:numId="19">
    <w:abstractNumId w:val="24"/>
  </w:num>
  <w:num w:numId="20">
    <w:abstractNumId w:val="3"/>
  </w:num>
  <w:num w:numId="21">
    <w:abstractNumId w:val="4"/>
  </w:num>
  <w:num w:numId="22">
    <w:abstractNumId w:val="25"/>
  </w:num>
  <w:num w:numId="23">
    <w:abstractNumId w:val="15"/>
  </w:num>
  <w:num w:numId="24">
    <w:abstractNumId w:val="0"/>
  </w:num>
  <w:num w:numId="25">
    <w:abstractNumId w:val="9"/>
  </w:num>
  <w:num w:numId="26">
    <w:abstractNumId w:val="22"/>
  </w:num>
  <w:num w:numId="27">
    <w:abstractNumId w:val="28"/>
  </w:num>
  <w:num w:numId="28">
    <w:abstractNumId w:val="31"/>
  </w:num>
  <w:num w:numId="29">
    <w:abstractNumId w:val="21"/>
  </w:num>
  <w:num w:numId="30">
    <w:abstractNumId w:val="19"/>
  </w:num>
  <w:num w:numId="31">
    <w:abstractNumId w:val="17"/>
  </w:num>
  <w:num w:numId="32">
    <w:abstractNumId w:val="32"/>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241"/>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286"/>
    <w:rsid w:val="00002646"/>
    <w:rsid w:val="00002BCB"/>
    <w:rsid w:val="00003427"/>
    <w:rsid w:val="00003548"/>
    <w:rsid w:val="00003A4C"/>
    <w:rsid w:val="000042FA"/>
    <w:rsid w:val="00006692"/>
    <w:rsid w:val="00006D3C"/>
    <w:rsid w:val="000078E1"/>
    <w:rsid w:val="00007996"/>
    <w:rsid w:val="00007CCA"/>
    <w:rsid w:val="00007FB3"/>
    <w:rsid w:val="00010740"/>
    <w:rsid w:val="00010CBC"/>
    <w:rsid w:val="00011912"/>
    <w:rsid w:val="0001211B"/>
    <w:rsid w:val="0001294D"/>
    <w:rsid w:val="0001306A"/>
    <w:rsid w:val="00013229"/>
    <w:rsid w:val="00013908"/>
    <w:rsid w:val="000148D2"/>
    <w:rsid w:val="00014967"/>
    <w:rsid w:val="00014C90"/>
    <w:rsid w:val="00014D69"/>
    <w:rsid w:val="000156DF"/>
    <w:rsid w:val="0001633F"/>
    <w:rsid w:val="00016594"/>
    <w:rsid w:val="000165D0"/>
    <w:rsid w:val="00017CB3"/>
    <w:rsid w:val="000205FD"/>
    <w:rsid w:val="000206C3"/>
    <w:rsid w:val="000206C9"/>
    <w:rsid w:val="000206EC"/>
    <w:rsid w:val="00020C81"/>
    <w:rsid w:val="00020F1D"/>
    <w:rsid w:val="00021439"/>
    <w:rsid w:val="000225A0"/>
    <w:rsid w:val="00024CD3"/>
    <w:rsid w:val="00024ED7"/>
    <w:rsid w:val="00025115"/>
    <w:rsid w:val="00025159"/>
    <w:rsid w:val="00025657"/>
    <w:rsid w:val="000258C0"/>
    <w:rsid w:val="00026643"/>
    <w:rsid w:val="0002715D"/>
    <w:rsid w:val="000274C1"/>
    <w:rsid w:val="00030351"/>
    <w:rsid w:val="00030424"/>
    <w:rsid w:val="0003044A"/>
    <w:rsid w:val="00030D50"/>
    <w:rsid w:val="0003163C"/>
    <w:rsid w:val="00031C51"/>
    <w:rsid w:val="00032747"/>
    <w:rsid w:val="0003277D"/>
    <w:rsid w:val="00032E1C"/>
    <w:rsid w:val="00033570"/>
    <w:rsid w:val="000352B3"/>
    <w:rsid w:val="000352C9"/>
    <w:rsid w:val="000369DF"/>
    <w:rsid w:val="00036A46"/>
    <w:rsid w:val="0003723B"/>
    <w:rsid w:val="00037471"/>
    <w:rsid w:val="00040E52"/>
    <w:rsid w:val="00040FD6"/>
    <w:rsid w:val="000412C2"/>
    <w:rsid w:val="000415BD"/>
    <w:rsid w:val="00041FA5"/>
    <w:rsid w:val="0004241E"/>
    <w:rsid w:val="0004418D"/>
    <w:rsid w:val="000447FE"/>
    <w:rsid w:val="0004512E"/>
    <w:rsid w:val="000452C0"/>
    <w:rsid w:val="0004588A"/>
    <w:rsid w:val="000460CA"/>
    <w:rsid w:val="000462FC"/>
    <w:rsid w:val="000501D0"/>
    <w:rsid w:val="00051CA2"/>
    <w:rsid w:val="0005218C"/>
    <w:rsid w:val="000526A4"/>
    <w:rsid w:val="000529AB"/>
    <w:rsid w:val="00052B30"/>
    <w:rsid w:val="00052C39"/>
    <w:rsid w:val="000531F3"/>
    <w:rsid w:val="0005325C"/>
    <w:rsid w:val="000544A4"/>
    <w:rsid w:val="000548C3"/>
    <w:rsid w:val="00055579"/>
    <w:rsid w:val="0005624F"/>
    <w:rsid w:val="00056778"/>
    <w:rsid w:val="0005699F"/>
    <w:rsid w:val="000569D4"/>
    <w:rsid w:val="00056C68"/>
    <w:rsid w:val="00056DFC"/>
    <w:rsid w:val="00056EC2"/>
    <w:rsid w:val="00057AB2"/>
    <w:rsid w:val="00057C1E"/>
    <w:rsid w:val="00061B93"/>
    <w:rsid w:val="00061E0A"/>
    <w:rsid w:val="00062419"/>
    <w:rsid w:val="00062839"/>
    <w:rsid w:val="000628D6"/>
    <w:rsid w:val="00062E7F"/>
    <w:rsid w:val="000632DC"/>
    <w:rsid w:val="000633FF"/>
    <w:rsid w:val="0006409E"/>
    <w:rsid w:val="000640AC"/>
    <w:rsid w:val="00064461"/>
    <w:rsid w:val="000645FE"/>
    <w:rsid w:val="00065394"/>
    <w:rsid w:val="000655DF"/>
    <w:rsid w:val="000655F7"/>
    <w:rsid w:val="00066855"/>
    <w:rsid w:val="00066F0B"/>
    <w:rsid w:val="00067858"/>
    <w:rsid w:val="00067F25"/>
    <w:rsid w:val="00070576"/>
    <w:rsid w:val="00070C82"/>
    <w:rsid w:val="00071226"/>
    <w:rsid w:val="000714DF"/>
    <w:rsid w:val="000728E0"/>
    <w:rsid w:val="000729DB"/>
    <w:rsid w:val="0007303A"/>
    <w:rsid w:val="00073869"/>
    <w:rsid w:val="0007389A"/>
    <w:rsid w:val="00074469"/>
    <w:rsid w:val="0007731E"/>
    <w:rsid w:val="00077ABA"/>
    <w:rsid w:val="0008006A"/>
    <w:rsid w:val="000813DB"/>
    <w:rsid w:val="00081C3E"/>
    <w:rsid w:val="00082421"/>
    <w:rsid w:val="0008290D"/>
    <w:rsid w:val="000829E5"/>
    <w:rsid w:val="00082F46"/>
    <w:rsid w:val="00082FCD"/>
    <w:rsid w:val="000837EB"/>
    <w:rsid w:val="00083B8F"/>
    <w:rsid w:val="00083C27"/>
    <w:rsid w:val="00083D34"/>
    <w:rsid w:val="00083F7F"/>
    <w:rsid w:val="0008759E"/>
    <w:rsid w:val="000876A6"/>
    <w:rsid w:val="00087C32"/>
    <w:rsid w:val="00090310"/>
    <w:rsid w:val="00091755"/>
    <w:rsid w:val="00091E4D"/>
    <w:rsid w:val="000920C2"/>
    <w:rsid w:val="000937EE"/>
    <w:rsid w:val="00094AEA"/>
    <w:rsid w:val="00094E7B"/>
    <w:rsid w:val="00095D56"/>
    <w:rsid w:val="00096905"/>
    <w:rsid w:val="00096D2F"/>
    <w:rsid w:val="0009717D"/>
    <w:rsid w:val="000A0167"/>
    <w:rsid w:val="000A0DE6"/>
    <w:rsid w:val="000A17BA"/>
    <w:rsid w:val="000A1E41"/>
    <w:rsid w:val="000A2262"/>
    <w:rsid w:val="000A2B33"/>
    <w:rsid w:val="000A2F13"/>
    <w:rsid w:val="000A3101"/>
    <w:rsid w:val="000A34B6"/>
    <w:rsid w:val="000A39D7"/>
    <w:rsid w:val="000A3E61"/>
    <w:rsid w:val="000A4018"/>
    <w:rsid w:val="000A42B2"/>
    <w:rsid w:val="000A4540"/>
    <w:rsid w:val="000A47DA"/>
    <w:rsid w:val="000A4FB0"/>
    <w:rsid w:val="000A54A1"/>
    <w:rsid w:val="000A5554"/>
    <w:rsid w:val="000A7A33"/>
    <w:rsid w:val="000B07E1"/>
    <w:rsid w:val="000B0A38"/>
    <w:rsid w:val="000B0F12"/>
    <w:rsid w:val="000B1493"/>
    <w:rsid w:val="000B15AE"/>
    <w:rsid w:val="000B18F5"/>
    <w:rsid w:val="000B3AD4"/>
    <w:rsid w:val="000B42A8"/>
    <w:rsid w:val="000B51B3"/>
    <w:rsid w:val="000B5547"/>
    <w:rsid w:val="000B7608"/>
    <w:rsid w:val="000C09E1"/>
    <w:rsid w:val="000C1000"/>
    <w:rsid w:val="000C1113"/>
    <w:rsid w:val="000C264F"/>
    <w:rsid w:val="000C2723"/>
    <w:rsid w:val="000C2B43"/>
    <w:rsid w:val="000C3A95"/>
    <w:rsid w:val="000C3ED0"/>
    <w:rsid w:val="000C445C"/>
    <w:rsid w:val="000C44B9"/>
    <w:rsid w:val="000C456C"/>
    <w:rsid w:val="000C581D"/>
    <w:rsid w:val="000C5DB7"/>
    <w:rsid w:val="000C605F"/>
    <w:rsid w:val="000C609B"/>
    <w:rsid w:val="000C6238"/>
    <w:rsid w:val="000C66BA"/>
    <w:rsid w:val="000C6D2E"/>
    <w:rsid w:val="000C793A"/>
    <w:rsid w:val="000C7A85"/>
    <w:rsid w:val="000C7B4F"/>
    <w:rsid w:val="000C7E44"/>
    <w:rsid w:val="000D0ACE"/>
    <w:rsid w:val="000D0C5B"/>
    <w:rsid w:val="000D0E41"/>
    <w:rsid w:val="000D0FE6"/>
    <w:rsid w:val="000D16F0"/>
    <w:rsid w:val="000D2177"/>
    <w:rsid w:val="000D223A"/>
    <w:rsid w:val="000D297C"/>
    <w:rsid w:val="000D3C86"/>
    <w:rsid w:val="000D3F55"/>
    <w:rsid w:val="000D47FC"/>
    <w:rsid w:val="000D4D6C"/>
    <w:rsid w:val="000D546D"/>
    <w:rsid w:val="000D5563"/>
    <w:rsid w:val="000D5A3F"/>
    <w:rsid w:val="000D6026"/>
    <w:rsid w:val="000D6BFF"/>
    <w:rsid w:val="000D6E0F"/>
    <w:rsid w:val="000D734E"/>
    <w:rsid w:val="000D7EE8"/>
    <w:rsid w:val="000D7FFD"/>
    <w:rsid w:val="000E04DE"/>
    <w:rsid w:val="000E15BA"/>
    <w:rsid w:val="000E19A0"/>
    <w:rsid w:val="000E1C69"/>
    <w:rsid w:val="000E1FDD"/>
    <w:rsid w:val="000E22EA"/>
    <w:rsid w:val="000E2D62"/>
    <w:rsid w:val="000E2F23"/>
    <w:rsid w:val="000E4A31"/>
    <w:rsid w:val="000E6CF6"/>
    <w:rsid w:val="000E709F"/>
    <w:rsid w:val="000F0416"/>
    <w:rsid w:val="000F04B3"/>
    <w:rsid w:val="000F053A"/>
    <w:rsid w:val="000F1B8D"/>
    <w:rsid w:val="000F1CE9"/>
    <w:rsid w:val="000F2191"/>
    <w:rsid w:val="000F32A0"/>
    <w:rsid w:val="000F3570"/>
    <w:rsid w:val="000F4101"/>
    <w:rsid w:val="000F412E"/>
    <w:rsid w:val="000F46CE"/>
    <w:rsid w:val="000F4980"/>
    <w:rsid w:val="000F4FF8"/>
    <w:rsid w:val="000F5120"/>
    <w:rsid w:val="000F5726"/>
    <w:rsid w:val="000F65CA"/>
    <w:rsid w:val="000F6D77"/>
    <w:rsid w:val="000F7BDA"/>
    <w:rsid w:val="000F7E56"/>
    <w:rsid w:val="000F7E83"/>
    <w:rsid w:val="00101C60"/>
    <w:rsid w:val="00101E8A"/>
    <w:rsid w:val="0010217B"/>
    <w:rsid w:val="00102DFF"/>
    <w:rsid w:val="001038EA"/>
    <w:rsid w:val="001041C2"/>
    <w:rsid w:val="0010435F"/>
    <w:rsid w:val="001045A0"/>
    <w:rsid w:val="00105FC6"/>
    <w:rsid w:val="001067F4"/>
    <w:rsid w:val="00106CCC"/>
    <w:rsid w:val="00106FB6"/>
    <w:rsid w:val="00107B18"/>
    <w:rsid w:val="00107CE8"/>
    <w:rsid w:val="0011079E"/>
    <w:rsid w:val="00110BF7"/>
    <w:rsid w:val="00110C16"/>
    <w:rsid w:val="00112F1A"/>
    <w:rsid w:val="001130E7"/>
    <w:rsid w:val="001131E1"/>
    <w:rsid w:val="00113BD7"/>
    <w:rsid w:val="00113CAE"/>
    <w:rsid w:val="00115EBE"/>
    <w:rsid w:val="00117091"/>
    <w:rsid w:val="0011743A"/>
    <w:rsid w:val="00121384"/>
    <w:rsid w:val="00121D97"/>
    <w:rsid w:val="00121E28"/>
    <w:rsid w:val="0012288A"/>
    <w:rsid w:val="001229E5"/>
    <w:rsid w:val="00122E59"/>
    <w:rsid w:val="00122E7B"/>
    <w:rsid w:val="001230E5"/>
    <w:rsid w:val="00123126"/>
    <w:rsid w:val="00123D71"/>
    <w:rsid w:val="00124ED7"/>
    <w:rsid w:val="00124F8D"/>
    <w:rsid w:val="00125114"/>
    <w:rsid w:val="00126A63"/>
    <w:rsid w:val="00127D92"/>
    <w:rsid w:val="0013019F"/>
    <w:rsid w:val="00130F7C"/>
    <w:rsid w:val="00131078"/>
    <w:rsid w:val="001314F6"/>
    <w:rsid w:val="0013277B"/>
    <w:rsid w:val="00132DD7"/>
    <w:rsid w:val="0013303B"/>
    <w:rsid w:val="00133700"/>
    <w:rsid w:val="00133CD1"/>
    <w:rsid w:val="00133F91"/>
    <w:rsid w:val="0013529D"/>
    <w:rsid w:val="0013542E"/>
    <w:rsid w:val="00137222"/>
    <w:rsid w:val="00137438"/>
    <w:rsid w:val="00137807"/>
    <w:rsid w:val="00140187"/>
    <w:rsid w:val="00140BF3"/>
    <w:rsid w:val="00141670"/>
    <w:rsid w:val="001416A3"/>
    <w:rsid w:val="00144A4C"/>
    <w:rsid w:val="001462FA"/>
    <w:rsid w:val="00146E60"/>
    <w:rsid w:val="0015060C"/>
    <w:rsid w:val="00150D25"/>
    <w:rsid w:val="001510A3"/>
    <w:rsid w:val="001515EF"/>
    <w:rsid w:val="00151CE2"/>
    <w:rsid w:val="001520C5"/>
    <w:rsid w:val="001524ED"/>
    <w:rsid w:val="00152A55"/>
    <w:rsid w:val="00152C23"/>
    <w:rsid w:val="0015433E"/>
    <w:rsid w:val="00154621"/>
    <w:rsid w:val="0015533A"/>
    <w:rsid w:val="00155E78"/>
    <w:rsid w:val="00156E62"/>
    <w:rsid w:val="0016141D"/>
    <w:rsid w:val="00161478"/>
    <w:rsid w:val="00162A82"/>
    <w:rsid w:val="00163C26"/>
    <w:rsid w:val="001648E2"/>
    <w:rsid w:val="001652C6"/>
    <w:rsid w:val="001653CA"/>
    <w:rsid w:val="00165674"/>
    <w:rsid w:val="001658F7"/>
    <w:rsid w:val="00165A04"/>
    <w:rsid w:val="00165F5A"/>
    <w:rsid w:val="00166AF6"/>
    <w:rsid w:val="0016727C"/>
    <w:rsid w:val="00167331"/>
    <w:rsid w:val="001707E0"/>
    <w:rsid w:val="00170CDF"/>
    <w:rsid w:val="00170DE1"/>
    <w:rsid w:val="00170DE6"/>
    <w:rsid w:val="00170E86"/>
    <w:rsid w:val="00170FDD"/>
    <w:rsid w:val="00171055"/>
    <w:rsid w:val="001718C1"/>
    <w:rsid w:val="00171E8E"/>
    <w:rsid w:val="0017254C"/>
    <w:rsid w:val="001728B3"/>
    <w:rsid w:val="00172B9D"/>
    <w:rsid w:val="00172CC7"/>
    <w:rsid w:val="001733AF"/>
    <w:rsid w:val="001737B9"/>
    <w:rsid w:val="0017431B"/>
    <w:rsid w:val="00175800"/>
    <w:rsid w:val="00175D91"/>
    <w:rsid w:val="00176539"/>
    <w:rsid w:val="00176B3D"/>
    <w:rsid w:val="00177946"/>
    <w:rsid w:val="00180162"/>
    <w:rsid w:val="00181571"/>
    <w:rsid w:val="001816BE"/>
    <w:rsid w:val="00181AF9"/>
    <w:rsid w:val="00181E01"/>
    <w:rsid w:val="00182116"/>
    <w:rsid w:val="00182370"/>
    <w:rsid w:val="00182BC7"/>
    <w:rsid w:val="001835F7"/>
    <w:rsid w:val="00183FC5"/>
    <w:rsid w:val="001848E9"/>
    <w:rsid w:val="00184D70"/>
    <w:rsid w:val="00184DCA"/>
    <w:rsid w:val="0018534B"/>
    <w:rsid w:val="001859CD"/>
    <w:rsid w:val="00187D66"/>
    <w:rsid w:val="0019048F"/>
    <w:rsid w:val="00190A86"/>
    <w:rsid w:val="0019195B"/>
    <w:rsid w:val="00191F52"/>
    <w:rsid w:val="001922A1"/>
    <w:rsid w:val="00192C23"/>
    <w:rsid w:val="0019311A"/>
    <w:rsid w:val="0019313B"/>
    <w:rsid w:val="00193204"/>
    <w:rsid w:val="0019417E"/>
    <w:rsid w:val="0019459B"/>
    <w:rsid w:val="001945DD"/>
    <w:rsid w:val="00194ACD"/>
    <w:rsid w:val="00194CD0"/>
    <w:rsid w:val="00195332"/>
    <w:rsid w:val="00195702"/>
    <w:rsid w:val="00195C51"/>
    <w:rsid w:val="00196471"/>
    <w:rsid w:val="00196A2F"/>
    <w:rsid w:val="00197E69"/>
    <w:rsid w:val="001A06C7"/>
    <w:rsid w:val="001A1A9A"/>
    <w:rsid w:val="001A2083"/>
    <w:rsid w:val="001A2338"/>
    <w:rsid w:val="001A26CC"/>
    <w:rsid w:val="001A2E86"/>
    <w:rsid w:val="001A4A26"/>
    <w:rsid w:val="001A5AEB"/>
    <w:rsid w:val="001A5D58"/>
    <w:rsid w:val="001A6370"/>
    <w:rsid w:val="001A6BC7"/>
    <w:rsid w:val="001A6C86"/>
    <w:rsid w:val="001A78A0"/>
    <w:rsid w:val="001A7A33"/>
    <w:rsid w:val="001B08E4"/>
    <w:rsid w:val="001B2F00"/>
    <w:rsid w:val="001B368A"/>
    <w:rsid w:val="001B45B3"/>
    <w:rsid w:val="001B4B0D"/>
    <w:rsid w:val="001B559F"/>
    <w:rsid w:val="001B586B"/>
    <w:rsid w:val="001B72AA"/>
    <w:rsid w:val="001B7AD5"/>
    <w:rsid w:val="001C0883"/>
    <w:rsid w:val="001C0FF8"/>
    <w:rsid w:val="001C11F0"/>
    <w:rsid w:val="001C16CB"/>
    <w:rsid w:val="001C1EFB"/>
    <w:rsid w:val="001C3556"/>
    <w:rsid w:val="001C3610"/>
    <w:rsid w:val="001C3A72"/>
    <w:rsid w:val="001C3C1F"/>
    <w:rsid w:val="001C7B8D"/>
    <w:rsid w:val="001C7DFF"/>
    <w:rsid w:val="001D03E3"/>
    <w:rsid w:val="001D0B97"/>
    <w:rsid w:val="001D1445"/>
    <w:rsid w:val="001D1E28"/>
    <w:rsid w:val="001D2CB4"/>
    <w:rsid w:val="001D2DA5"/>
    <w:rsid w:val="001D3797"/>
    <w:rsid w:val="001D47B7"/>
    <w:rsid w:val="001D4E62"/>
    <w:rsid w:val="001D4F40"/>
    <w:rsid w:val="001D557E"/>
    <w:rsid w:val="001D641F"/>
    <w:rsid w:val="001D79F8"/>
    <w:rsid w:val="001E0688"/>
    <w:rsid w:val="001E0ECA"/>
    <w:rsid w:val="001E2A25"/>
    <w:rsid w:val="001E52CA"/>
    <w:rsid w:val="001E5970"/>
    <w:rsid w:val="001E622B"/>
    <w:rsid w:val="001E6CC0"/>
    <w:rsid w:val="001E7763"/>
    <w:rsid w:val="001F039B"/>
    <w:rsid w:val="001F0AE1"/>
    <w:rsid w:val="001F2066"/>
    <w:rsid w:val="001F2150"/>
    <w:rsid w:val="001F21E4"/>
    <w:rsid w:val="001F2572"/>
    <w:rsid w:val="001F2BA6"/>
    <w:rsid w:val="001F2F2C"/>
    <w:rsid w:val="001F335A"/>
    <w:rsid w:val="001F3C70"/>
    <w:rsid w:val="001F41BF"/>
    <w:rsid w:val="001F44D1"/>
    <w:rsid w:val="001F5306"/>
    <w:rsid w:val="001F53E1"/>
    <w:rsid w:val="001F543F"/>
    <w:rsid w:val="001F5570"/>
    <w:rsid w:val="001F5DD3"/>
    <w:rsid w:val="001F6092"/>
    <w:rsid w:val="001F6679"/>
    <w:rsid w:val="001F6921"/>
    <w:rsid w:val="001F6E71"/>
    <w:rsid w:val="001F724D"/>
    <w:rsid w:val="001F7EE0"/>
    <w:rsid w:val="00200716"/>
    <w:rsid w:val="0020077C"/>
    <w:rsid w:val="002011A0"/>
    <w:rsid w:val="00201EC3"/>
    <w:rsid w:val="00202697"/>
    <w:rsid w:val="00203055"/>
    <w:rsid w:val="002032B7"/>
    <w:rsid w:val="00204162"/>
    <w:rsid w:val="00205D92"/>
    <w:rsid w:val="00205EC0"/>
    <w:rsid w:val="00205F8E"/>
    <w:rsid w:val="00206260"/>
    <w:rsid w:val="0020663C"/>
    <w:rsid w:val="00207C74"/>
    <w:rsid w:val="0021149F"/>
    <w:rsid w:val="00211DB6"/>
    <w:rsid w:val="002137D0"/>
    <w:rsid w:val="00213BBF"/>
    <w:rsid w:val="00213FD0"/>
    <w:rsid w:val="0021427A"/>
    <w:rsid w:val="00214673"/>
    <w:rsid w:val="00214731"/>
    <w:rsid w:val="00214D23"/>
    <w:rsid w:val="0021624A"/>
    <w:rsid w:val="00216E6F"/>
    <w:rsid w:val="00221274"/>
    <w:rsid w:val="00222307"/>
    <w:rsid w:val="0022252F"/>
    <w:rsid w:val="00222D97"/>
    <w:rsid w:val="002230E3"/>
    <w:rsid w:val="0022330E"/>
    <w:rsid w:val="0022680C"/>
    <w:rsid w:val="00226D5E"/>
    <w:rsid w:val="00231042"/>
    <w:rsid w:val="0023111B"/>
    <w:rsid w:val="002317CA"/>
    <w:rsid w:val="002319B7"/>
    <w:rsid w:val="0023269D"/>
    <w:rsid w:val="00233199"/>
    <w:rsid w:val="00233560"/>
    <w:rsid w:val="00234105"/>
    <w:rsid w:val="00234985"/>
    <w:rsid w:val="0023505A"/>
    <w:rsid w:val="002352A8"/>
    <w:rsid w:val="0023533B"/>
    <w:rsid w:val="002361C0"/>
    <w:rsid w:val="00236539"/>
    <w:rsid w:val="0023676F"/>
    <w:rsid w:val="002375EC"/>
    <w:rsid w:val="002379E7"/>
    <w:rsid w:val="00237C1E"/>
    <w:rsid w:val="002408E2"/>
    <w:rsid w:val="0024105D"/>
    <w:rsid w:val="002411B3"/>
    <w:rsid w:val="00241836"/>
    <w:rsid w:val="00242169"/>
    <w:rsid w:val="002430F4"/>
    <w:rsid w:val="0024394B"/>
    <w:rsid w:val="00243BDE"/>
    <w:rsid w:val="00244384"/>
    <w:rsid w:val="002449F0"/>
    <w:rsid w:val="00244EAC"/>
    <w:rsid w:val="00246239"/>
    <w:rsid w:val="002469BB"/>
    <w:rsid w:val="00246C3D"/>
    <w:rsid w:val="00247439"/>
    <w:rsid w:val="00247530"/>
    <w:rsid w:val="00247E40"/>
    <w:rsid w:val="00247EF9"/>
    <w:rsid w:val="002503D6"/>
    <w:rsid w:val="00250E9C"/>
    <w:rsid w:val="0025202A"/>
    <w:rsid w:val="002520AB"/>
    <w:rsid w:val="00252C2F"/>
    <w:rsid w:val="00252C6B"/>
    <w:rsid w:val="00253054"/>
    <w:rsid w:val="00253667"/>
    <w:rsid w:val="00254098"/>
    <w:rsid w:val="00254304"/>
    <w:rsid w:val="00255AC0"/>
    <w:rsid w:val="00255C52"/>
    <w:rsid w:val="002560D0"/>
    <w:rsid w:val="00256101"/>
    <w:rsid w:val="00256333"/>
    <w:rsid w:val="00257017"/>
    <w:rsid w:val="00257613"/>
    <w:rsid w:val="002606C6"/>
    <w:rsid w:val="00261359"/>
    <w:rsid w:val="002615EF"/>
    <w:rsid w:val="00261C95"/>
    <w:rsid w:val="002623F3"/>
    <w:rsid w:val="00263885"/>
    <w:rsid w:val="00263EFA"/>
    <w:rsid w:val="002644B4"/>
    <w:rsid w:val="002667C3"/>
    <w:rsid w:val="00270632"/>
    <w:rsid w:val="002710EC"/>
    <w:rsid w:val="002713EB"/>
    <w:rsid w:val="002715B5"/>
    <w:rsid w:val="002716CE"/>
    <w:rsid w:val="0027240D"/>
    <w:rsid w:val="0027276A"/>
    <w:rsid w:val="00272E9D"/>
    <w:rsid w:val="002730CD"/>
    <w:rsid w:val="00273D3F"/>
    <w:rsid w:val="0027673C"/>
    <w:rsid w:val="0027712D"/>
    <w:rsid w:val="002800D1"/>
    <w:rsid w:val="00281874"/>
    <w:rsid w:val="00281C88"/>
    <w:rsid w:val="00282115"/>
    <w:rsid w:val="002833F0"/>
    <w:rsid w:val="00283BF3"/>
    <w:rsid w:val="00284F8E"/>
    <w:rsid w:val="00285949"/>
    <w:rsid w:val="0028665C"/>
    <w:rsid w:val="00287120"/>
    <w:rsid w:val="00290666"/>
    <w:rsid w:val="00290777"/>
    <w:rsid w:val="002907D1"/>
    <w:rsid w:val="0029131A"/>
    <w:rsid w:val="00291382"/>
    <w:rsid w:val="002918C0"/>
    <w:rsid w:val="0029193E"/>
    <w:rsid w:val="00291B41"/>
    <w:rsid w:val="002929F3"/>
    <w:rsid w:val="00292B1A"/>
    <w:rsid w:val="00292CBD"/>
    <w:rsid w:val="00293AE7"/>
    <w:rsid w:val="00294815"/>
    <w:rsid w:val="0029572F"/>
    <w:rsid w:val="002963BD"/>
    <w:rsid w:val="0029673C"/>
    <w:rsid w:val="00296C25"/>
    <w:rsid w:val="00297F37"/>
    <w:rsid w:val="002A08A6"/>
    <w:rsid w:val="002A12C8"/>
    <w:rsid w:val="002A13AF"/>
    <w:rsid w:val="002A1D6D"/>
    <w:rsid w:val="002A2D10"/>
    <w:rsid w:val="002A3AAB"/>
    <w:rsid w:val="002A3BAC"/>
    <w:rsid w:val="002A426F"/>
    <w:rsid w:val="002A4AF1"/>
    <w:rsid w:val="002A4D07"/>
    <w:rsid w:val="002A71A9"/>
    <w:rsid w:val="002A7398"/>
    <w:rsid w:val="002A750B"/>
    <w:rsid w:val="002A77F8"/>
    <w:rsid w:val="002B1A3B"/>
    <w:rsid w:val="002B2CD4"/>
    <w:rsid w:val="002B41EA"/>
    <w:rsid w:val="002B76CF"/>
    <w:rsid w:val="002C12BC"/>
    <w:rsid w:val="002C15EA"/>
    <w:rsid w:val="002C1DA1"/>
    <w:rsid w:val="002C2B41"/>
    <w:rsid w:val="002C30E6"/>
    <w:rsid w:val="002C6227"/>
    <w:rsid w:val="002C6307"/>
    <w:rsid w:val="002C647A"/>
    <w:rsid w:val="002C6CFA"/>
    <w:rsid w:val="002C6E52"/>
    <w:rsid w:val="002C73F8"/>
    <w:rsid w:val="002C754D"/>
    <w:rsid w:val="002C7F61"/>
    <w:rsid w:val="002D0922"/>
    <w:rsid w:val="002D0F0A"/>
    <w:rsid w:val="002D17BD"/>
    <w:rsid w:val="002D22A5"/>
    <w:rsid w:val="002D2D5D"/>
    <w:rsid w:val="002D480B"/>
    <w:rsid w:val="002D4C6C"/>
    <w:rsid w:val="002D5062"/>
    <w:rsid w:val="002D54E6"/>
    <w:rsid w:val="002D64B9"/>
    <w:rsid w:val="002D65CB"/>
    <w:rsid w:val="002D6FD7"/>
    <w:rsid w:val="002D7A59"/>
    <w:rsid w:val="002E0403"/>
    <w:rsid w:val="002E076B"/>
    <w:rsid w:val="002E15E2"/>
    <w:rsid w:val="002E1978"/>
    <w:rsid w:val="002E1F51"/>
    <w:rsid w:val="002E21B1"/>
    <w:rsid w:val="002E5558"/>
    <w:rsid w:val="002E5BD3"/>
    <w:rsid w:val="002E5EC8"/>
    <w:rsid w:val="002E6005"/>
    <w:rsid w:val="002E6B64"/>
    <w:rsid w:val="002F05D2"/>
    <w:rsid w:val="002F29AA"/>
    <w:rsid w:val="002F2B46"/>
    <w:rsid w:val="002F3CAA"/>
    <w:rsid w:val="002F45A9"/>
    <w:rsid w:val="002F48F1"/>
    <w:rsid w:val="002F559E"/>
    <w:rsid w:val="002F55F7"/>
    <w:rsid w:val="002F616F"/>
    <w:rsid w:val="002F6402"/>
    <w:rsid w:val="002F70E0"/>
    <w:rsid w:val="002F73DA"/>
    <w:rsid w:val="003007FC"/>
    <w:rsid w:val="00300C92"/>
    <w:rsid w:val="00301A37"/>
    <w:rsid w:val="003020C9"/>
    <w:rsid w:val="003020F7"/>
    <w:rsid w:val="00302910"/>
    <w:rsid w:val="0030379E"/>
    <w:rsid w:val="0030436E"/>
    <w:rsid w:val="00306515"/>
    <w:rsid w:val="00306D26"/>
    <w:rsid w:val="00307E1D"/>
    <w:rsid w:val="00310385"/>
    <w:rsid w:val="0031084B"/>
    <w:rsid w:val="00311642"/>
    <w:rsid w:val="003129B7"/>
    <w:rsid w:val="0031305F"/>
    <w:rsid w:val="00313179"/>
    <w:rsid w:val="0031393C"/>
    <w:rsid w:val="00313A79"/>
    <w:rsid w:val="00313E43"/>
    <w:rsid w:val="0031409C"/>
    <w:rsid w:val="0031411D"/>
    <w:rsid w:val="0031414C"/>
    <w:rsid w:val="00314306"/>
    <w:rsid w:val="00314BB1"/>
    <w:rsid w:val="00314CDC"/>
    <w:rsid w:val="0031514A"/>
    <w:rsid w:val="00315B13"/>
    <w:rsid w:val="00316144"/>
    <w:rsid w:val="003172E7"/>
    <w:rsid w:val="00317E61"/>
    <w:rsid w:val="003205EC"/>
    <w:rsid w:val="00320AD5"/>
    <w:rsid w:val="00320F1D"/>
    <w:rsid w:val="00321AF2"/>
    <w:rsid w:val="00321D20"/>
    <w:rsid w:val="00321DAA"/>
    <w:rsid w:val="003229E1"/>
    <w:rsid w:val="00322FAE"/>
    <w:rsid w:val="00323689"/>
    <w:rsid w:val="00323712"/>
    <w:rsid w:val="003239D1"/>
    <w:rsid w:val="00325683"/>
    <w:rsid w:val="00326057"/>
    <w:rsid w:val="0032638E"/>
    <w:rsid w:val="0033074E"/>
    <w:rsid w:val="003311A5"/>
    <w:rsid w:val="003320A8"/>
    <w:rsid w:val="0033263F"/>
    <w:rsid w:val="0033289A"/>
    <w:rsid w:val="00332F6B"/>
    <w:rsid w:val="00333248"/>
    <w:rsid w:val="00333B0A"/>
    <w:rsid w:val="00334307"/>
    <w:rsid w:val="0033439E"/>
    <w:rsid w:val="0033524C"/>
    <w:rsid w:val="00335874"/>
    <w:rsid w:val="00335E96"/>
    <w:rsid w:val="00336CB4"/>
    <w:rsid w:val="003373C2"/>
    <w:rsid w:val="00337D57"/>
    <w:rsid w:val="003420B1"/>
    <w:rsid w:val="00342548"/>
    <w:rsid w:val="003429FC"/>
    <w:rsid w:val="00345163"/>
    <w:rsid w:val="00345B41"/>
    <w:rsid w:val="00345D90"/>
    <w:rsid w:val="00346466"/>
    <w:rsid w:val="00346746"/>
    <w:rsid w:val="0035042A"/>
    <w:rsid w:val="003518AA"/>
    <w:rsid w:val="0035239F"/>
    <w:rsid w:val="0035249F"/>
    <w:rsid w:val="00352A40"/>
    <w:rsid w:val="003538E2"/>
    <w:rsid w:val="00354D7F"/>
    <w:rsid w:val="00356836"/>
    <w:rsid w:val="00357D33"/>
    <w:rsid w:val="00360658"/>
    <w:rsid w:val="00360726"/>
    <w:rsid w:val="00360CEE"/>
    <w:rsid w:val="00361284"/>
    <w:rsid w:val="00361478"/>
    <w:rsid w:val="0036181F"/>
    <w:rsid w:val="003619A6"/>
    <w:rsid w:val="00361A94"/>
    <w:rsid w:val="003622BB"/>
    <w:rsid w:val="00362E53"/>
    <w:rsid w:val="00363665"/>
    <w:rsid w:val="0036453A"/>
    <w:rsid w:val="003658B9"/>
    <w:rsid w:val="00367126"/>
    <w:rsid w:val="003674A8"/>
    <w:rsid w:val="003703E3"/>
    <w:rsid w:val="00370801"/>
    <w:rsid w:val="0037191D"/>
    <w:rsid w:val="00371A1A"/>
    <w:rsid w:val="003735E1"/>
    <w:rsid w:val="003739B7"/>
    <w:rsid w:val="00374019"/>
    <w:rsid w:val="0037429B"/>
    <w:rsid w:val="00374674"/>
    <w:rsid w:val="00375145"/>
    <w:rsid w:val="00375FCA"/>
    <w:rsid w:val="00377798"/>
    <w:rsid w:val="003777E9"/>
    <w:rsid w:val="003802CE"/>
    <w:rsid w:val="00380417"/>
    <w:rsid w:val="0038210C"/>
    <w:rsid w:val="00382460"/>
    <w:rsid w:val="00382E4F"/>
    <w:rsid w:val="00383425"/>
    <w:rsid w:val="00383B43"/>
    <w:rsid w:val="0038405F"/>
    <w:rsid w:val="00384507"/>
    <w:rsid w:val="00384793"/>
    <w:rsid w:val="003854AF"/>
    <w:rsid w:val="00385625"/>
    <w:rsid w:val="003857FF"/>
    <w:rsid w:val="00385EC0"/>
    <w:rsid w:val="003861C5"/>
    <w:rsid w:val="0038628B"/>
    <w:rsid w:val="00386328"/>
    <w:rsid w:val="00386A22"/>
    <w:rsid w:val="0038733B"/>
    <w:rsid w:val="00387BBC"/>
    <w:rsid w:val="00387BBE"/>
    <w:rsid w:val="00390219"/>
    <w:rsid w:val="00390E0D"/>
    <w:rsid w:val="0039113A"/>
    <w:rsid w:val="003922EE"/>
    <w:rsid w:val="0039267B"/>
    <w:rsid w:val="00393B8E"/>
    <w:rsid w:val="0039437E"/>
    <w:rsid w:val="00394A69"/>
    <w:rsid w:val="00395414"/>
    <w:rsid w:val="00395B08"/>
    <w:rsid w:val="00395B33"/>
    <w:rsid w:val="003961FD"/>
    <w:rsid w:val="00397AB0"/>
    <w:rsid w:val="003A04B7"/>
    <w:rsid w:val="003A12C4"/>
    <w:rsid w:val="003A14AF"/>
    <w:rsid w:val="003A15FB"/>
    <w:rsid w:val="003A2554"/>
    <w:rsid w:val="003A2775"/>
    <w:rsid w:val="003A2A41"/>
    <w:rsid w:val="003A319E"/>
    <w:rsid w:val="003A3391"/>
    <w:rsid w:val="003A370B"/>
    <w:rsid w:val="003A3B76"/>
    <w:rsid w:val="003A3E8F"/>
    <w:rsid w:val="003A3EB6"/>
    <w:rsid w:val="003A45E2"/>
    <w:rsid w:val="003A4760"/>
    <w:rsid w:val="003A4C63"/>
    <w:rsid w:val="003A59B3"/>
    <w:rsid w:val="003A6017"/>
    <w:rsid w:val="003A61FC"/>
    <w:rsid w:val="003A6275"/>
    <w:rsid w:val="003A6BD6"/>
    <w:rsid w:val="003A7182"/>
    <w:rsid w:val="003A71A7"/>
    <w:rsid w:val="003A7246"/>
    <w:rsid w:val="003A7530"/>
    <w:rsid w:val="003B0671"/>
    <w:rsid w:val="003B19D0"/>
    <w:rsid w:val="003B2039"/>
    <w:rsid w:val="003B2F94"/>
    <w:rsid w:val="003B4515"/>
    <w:rsid w:val="003B455E"/>
    <w:rsid w:val="003B48E3"/>
    <w:rsid w:val="003B5090"/>
    <w:rsid w:val="003B557F"/>
    <w:rsid w:val="003B65D7"/>
    <w:rsid w:val="003B67D8"/>
    <w:rsid w:val="003B73AE"/>
    <w:rsid w:val="003B7623"/>
    <w:rsid w:val="003B7CA3"/>
    <w:rsid w:val="003C1864"/>
    <w:rsid w:val="003C1990"/>
    <w:rsid w:val="003C1F31"/>
    <w:rsid w:val="003C2AAE"/>
    <w:rsid w:val="003C36E0"/>
    <w:rsid w:val="003C3856"/>
    <w:rsid w:val="003C417B"/>
    <w:rsid w:val="003C5051"/>
    <w:rsid w:val="003C6216"/>
    <w:rsid w:val="003C7743"/>
    <w:rsid w:val="003C7C5F"/>
    <w:rsid w:val="003D026C"/>
    <w:rsid w:val="003D0D95"/>
    <w:rsid w:val="003D124C"/>
    <w:rsid w:val="003D1B94"/>
    <w:rsid w:val="003D1EDF"/>
    <w:rsid w:val="003D2002"/>
    <w:rsid w:val="003D51B0"/>
    <w:rsid w:val="003D57B7"/>
    <w:rsid w:val="003D5881"/>
    <w:rsid w:val="003D5ACC"/>
    <w:rsid w:val="003D6619"/>
    <w:rsid w:val="003D66EE"/>
    <w:rsid w:val="003D687E"/>
    <w:rsid w:val="003D6912"/>
    <w:rsid w:val="003D7A44"/>
    <w:rsid w:val="003D7CF5"/>
    <w:rsid w:val="003D7F10"/>
    <w:rsid w:val="003E141B"/>
    <w:rsid w:val="003E1DAC"/>
    <w:rsid w:val="003E2A02"/>
    <w:rsid w:val="003E2CA5"/>
    <w:rsid w:val="003E534E"/>
    <w:rsid w:val="003E5BA0"/>
    <w:rsid w:val="003E5CD6"/>
    <w:rsid w:val="003E67DA"/>
    <w:rsid w:val="003E6F14"/>
    <w:rsid w:val="003E76E3"/>
    <w:rsid w:val="003E7CA2"/>
    <w:rsid w:val="003E7CC1"/>
    <w:rsid w:val="003E7D78"/>
    <w:rsid w:val="003F0096"/>
    <w:rsid w:val="003F009B"/>
    <w:rsid w:val="003F11A1"/>
    <w:rsid w:val="003F25DB"/>
    <w:rsid w:val="003F297F"/>
    <w:rsid w:val="003F2BA3"/>
    <w:rsid w:val="003F366C"/>
    <w:rsid w:val="003F36EE"/>
    <w:rsid w:val="003F37C4"/>
    <w:rsid w:val="003F4116"/>
    <w:rsid w:val="003F4D24"/>
    <w:rsid w:val="003F4EE1"/>
    <w:rsid w:val="003F5444"/>
    <w:rsid w:val="003F6339"/>
    <w:rsid w:val="003F72F7"/>
    <w:rsid w:val="003F7FF5"/>
    <w:rsid w:val="00400384"/>
    <w:rsid w:val="00400C3E"/>
    <w:rsid w:val="0040119D"/>
    <w:rsid w:val="0040289F"/>
    <w:rsid w:val="00402998"/>
    <w:rsid w:val="00403176"/>
    <w:rsid w:val="004035C8"/>
    <w:rsid w:val="004046E7"/>
    <w:rsid w:val="00404D24"/>
    <w:rsid w:val="00405D91"/>
    <w:rsid w:val="00406023"/>
    <w:rsid w:val="00406723"/>
    <w:rsid w:val="004069D4"/>
    <w:rsid w:val="00406E94"/>
    <w:rsid w:val="00407F60"/>
    <w:rsid w:val="00410EB4"/>
    <w:rsid w:val="00411B57"/>
    <w:rsid w:val="00412792"/>
    <w:rsid w:val="004127B5"/>
    <w:rsid w:val="00412A0F"/>
    <w:rsid w:val="00412E7C"/>
    <w:rsid w:val="0041440C"/>
    <w:rsid w:val="0041442C"/>
    <w:rsid w:val="004144E9"/>
    <w:rsid w:val="00414E83"/>
    <w:rsid w:val="004159A5"/>
    <w:rsid w:val="004168CB"/>
    <w:rsid w:val="004169BE"/>
    <w:rsid w:val="00417300"/>
    <w:rsid w:val="00417B95"/>
    <w:rsid w:val="004211FA"/>
    <w:rsid w:val="004217E1"/>
    <w:rsid w:val="00423AE8"/>
    <w:rsid w:val="00423D44"/>
    <w:rsid w:val="0042415F"/>
    <w:rsid w:val="00424723"/>
    <w:rsid w:val="00424F18"/>
    <w:rsid w:val="0042593B"/>
    <w:rsid w:val="00425E3D"/>
    <w:rsid w:val="00425E63"/>
    <w:rsid w:val="00425FFA"/>
    <w:rsid w:val="00426BA7"/>
    <w:rsid w:val="00426C95"/>
    <w:rsid w:val="00427FA5"/>
    <w:rsid w:val="00430389"/>
    <w:rsid w:val="00430BCE"/>
    <w:rsid w:val="00430D89"/>
    <w:rsid w:val="0043263E"/>
    <w:rsid w:val="004330AE"/>
    <w:rsid w:val="00433B85"/>
    <w:rsid w:val="004344AE"/>
    <w:rsid w:val="0043618B"/>
    <w:rsid w:val="00436284"/>
    <w:rsid w:val="00436468"/>
    <w:rsid w:val="004367A5"/>
    <w:rsid w:val="00436A97"/>
    <w:rsid w:val="004406B7"/>
    <w:rsid w:val="0044070E"/>
    <w:rsid w:val="004415E5"/>
    <w:rsid w:val="004416B2"/>
    <w:rsid w:val="00441FA8"/>
    <w:rsid w:val="004439ED"/>
    <w:rsid w:val="004439FB"/>
    <w:rsid w:val="00444AC1"/>
    <w:rsid w:val="00445085"/>
    <w:rsid w:val="0044583D"/>
    <w:rsid w:val="004459FD"/>
    <w:rsid w:val="00447956"/>
    <w:rsid w:val="00450946"/>
    <w:rsid w:val="00450C02"/>
    <w:rsid w:val="00450C41"/>
    <w:rsid w:val="00450FCF"/>
    <w:rsid w:val="004511DF"/>
    <w:rsid w:val="0045135C"/>
    <w:rsid w:val="00451546"/>
    <w:rsid w:val="00452C39"/>
    <w:rsid w:val="00452C9D"/>
    <w:rsid w:val="0045359E"/>
    <w:rsid w:val="0045375E"/>
    <w:rsid w:val="004558D7"/>
    <w:rsid w:val="00455C17"/>
    <w:rsid w:val="00455F7E"/>
    <w:rsid w:val="00456F07"/>
    <w:rsid w:val="0045766A"/>
    <w:rsid w:val="00457921"/>
    <w:rsid w:val="004579EC"/>
    <w:rsid w:val="00460037"/>
    <w:rsid w:val="004612CF"/>
    <w:rsid w:val="0046258C"/>
    <w:rsid w:val="00463046"/>
    <w:rsid w:val="0046322E"/>
    <w:rsid w:val="00463293"/>
    <w:rsid w:val="00463351"/>
    <w:rsid w:val="00464CD0"/>
    <w:rsid w:val="00464E3F"/>
    <w:rsid w:val="0046696D"/>
    <w:rsid w:val="00466D55"/>
    <w:rsid w:val="00466FB1"/>
    <w:rsid w:val="00467AA9"/>
    <w:rsid w:val="004713A6"/>
    <w:rsid w:val="00471474"/>
    <w:rsid w:val="0047256F"/>
    <w:rsid w:val="0047299D"/>
    <w:rsid w:val="00472CEB"/>
    <w:rsid w:val="00472F84"/>
    <w:rsid w:val="00473FAD"/>
    <w:rsid w:val="00474222"/>
    <w:rsid w:val="00474A0E"/>
    <w:rsid w:val="004766A9"/>
    <w:rsid w:val="00477E08"/>
    <w:rsid w:val="00482318"/>
    <w:rsid w:val="00482535"/>
    <w:rsid w:val="00482C06"/>
    <w:rsid w:val="00482EB8"/>
    <w:rsid w:val="004836BD"/>
    <w:rsid w:val="004849BB"/>
    <w:rsid w:val="00484AB4"/>
    <w:rsid w:val="00485017"/>
    <w:rsid w:val="004857F6"/>
    <w:rsid w:val="00486029"/>
    <w:rsid w:val="00486538"/>
    <w:rsid w:val="004872CD"/>
    <w:rsid w:val="00487CBE"/>
    <w:rsid w:val="004900A3"/>
    <w:rsid w:val="00490435"/>
    <w:rsid w:val="004906F1"/>
    <w:rsid w:val="00490C08"/>
    <w:rsid w:val="00490F59"/>
    <w:rsid w:val="00491910"/>
    <w:rsid w:val="00491E34"/>
    <w:rsid w:val="00491E97"/>
    <w:rsid w:val="00491FF0"/>
    <w:rsid w:val="00492293"/>
    <w:rsid w:val="00492FF4"/>
    <w:rsid w:val="00494197"/>
    <w:rsid w:val="00495EFC"/>
    <w:rsid w:val="00496C0E"/>
    <w:rsid w:val="00496F57"/>
    <w:rsid w:val="0049700C"/>
    <w:rsid w:val="00497580"/>
    <w:rsid w:val="00497632"/>
    <w:rsid w:val="00497735"/>
    <w:rsid w:val="00497834"/>
    <w:rsid w:val="00497914"/>
    <w:rsid w:val="004A05F3"/>
    <w:rsid w:val="004A08DF"/>
    <w:rsid w:val="004A114E"/>
    <w:rsid w:val="004A1479"/>
    <w:rsid w:val="004A1D38"/>
    <w:rsid w:val="004A23D7"/>
    <w:rsid w:val="004A312B"/>
    <w:rsid w:val="004A36AE"/>
    <w:rsid w:val="004A398C"/>
    <w:rsid w:val="004A4024"/>
    <w:rsid w:val="004A4EAB"/>
    <w:rsid w:val="004A52F5"/>
    <w:rsid w:val="004A59E5"/>
    <w:rsid w:val="004A6DE1"/>
    <w:rsid w:val="004A736B"/>
    <w:rsid w:val="004B0740"/>
    <w:rsid w:val="004B0AAE"/>
    <w:rsid w:val="004B1898"/>
    <w:rsid w:val="004B18D8"/>
    <w:rsid w:val="004B196F"/>
    <w:rsid w:val="004B1D90"/>
    <w:rsid w:val="004B299D"/>
    <w:rsid w:val="004B2AEE"/>
    <w:rsid w:val="004B301A"/>
    <w:rsid w:val="004B30D5"/>
    <w:rsid w:val="004B3431"/>
    <w:rsid w:val="004B36F0"/>
    <w:rsid w:val="004B3FEC"/>
    <w:rsid w:val="004B4DFD"/>
    <w:rsid w:val="004B5095"/>
    <w:rsid w:val="004B5240"/>
    <w:rsid w:val="004B5A31"/>
    <w:rsid w:val="004B7140"/>
    <w:rsid w:val="004B7781"/>
    <w:rsid w:val="004C0182"/>
    <w:rsid w:val="004C04FB"/>
    <w:rsid w:val="004C0AE1"/>
    <w:rsid w:val="004C1583"/>
    <w:rsid w:val="004C2C11"/>
    <w:rsid w:val="004C2C2B"/>
    <w:rsid w:val="004C39D3"/>
    <w:rsid w:val="004C4043"/>
    <w:rsid w:val="004C4137"/>
    <w:rsid w:val="004C4ABD"/>
    <w:rsid w:val="004C4E7B"/>
    <w:rsid w:val="004C5B5C"/>
    <w:rsid w:val="004C5C0C"/>
    <w:rsid w:val="004C5F0D"/>
    <w:rsid w:val="004C64BF"/>
    <w:rsid w:val="004C67C1"/>
    <w:rsid w:val="004C77AD"/>
    <w:rsid w:val="004D04F5"/>
    <w:rsid w:val="004D0873"/>
    <w:rsid w:val="004D17BF"/>
    <w:rsid w:val="004D2720"/>
    <w:rsid w:val="004D27D6"/>
    <w:rsid w:val="004D2B8C"/>
    <w:rsid w:val="004D3108"/>
    <w:rsid w:val="004D5983"/>
    <w:rsid w:val="004D63F2"/>
    <w:rsid w:val="004D6CB4"/>
    <w:rsid w:val="004D6E58"/>
    <w:rsid w:val="004E039D"/>
    <w:rsid w:val="004E05C5"/>
    <w:rsid w:val="004E066B"/>
    <w:rsid w:val="004E10E6"/>
    <w:rsid w:val="004E3D73"/>
    <w:rsid w:val="004E4CC7"/>
    <w:rsid w:val="004E4FEB"/>
    <w:rsid w:val="004E5C77"/>
    <w:rsid w:val="004E675F"/>
    <w:rsid w:val="004E6943"/>
    <w:rsid w:val="004E7227"/>
    <w:rsid w:val="004E7B0B"/>
    <w:rsid w:val="004F0B4E"/>
    <w:rsid w:val="004F0FBC"/>
    <w:rsid w:val="004F105D"/>
    <w:rsid w:val="004F1109"/>
    <w:rsid w:val="004F1513"/>
    <w:rsid w:val="004F2178"/>
    <w:rsid w:val="004F230B"/>
    <w:rsid w:val="004F28AC"/>
    <w:rsid w:val="004F2ECF"/>
    <w:rsid w:val="004F2F7D"/>
    <w:rsid w:val="004F3A41"/>
    <w:rsid w:val="004F479C"/>
    <w:rsid w:val="004F56D8"/>
    <w:rsid w:val="004F792A"/>
    <w:rsid w:val="0050015D"/>
    <w:rsid w:val="005017A3"/>
    <w:rsid w:val="00502587"/>
    <w:rsid w:val="00502664"/>
    <w:rsid w:val="005026F9"/>
    <w:rsid w:val="005029D2"/>
    <w:rsid w:val="00503633"/>
    <w:rsid w:val="00506951"/>
    <w:rsid w:val="00506D4B"/>
    <w:rsid w:val="0051022F"/>
    <w:rsid w:val="005102AB"/>
    <w:rsid w:val="00510F73"/>
    <w:rsid w:val="005113B8"/>
    <w:rsid w:val="00511A60"/>
    <w:rsid w:val="00511BAF"/>
    <w:rsid w:val="00511FE1"/>
    <w:rsid w:val="005131D7"/>
    <w:rsid w:val="0051392B"/>
    <w:rsid w:val="005139A7"/>
    <w:rsid w:val="00514C59"/>
    <w:rsid w:val="005163E8"/>
    <w:rsid w:val="00516BAD"/>
    <w:rsid w:val="0051712A"/>
    <w:rsid w:val="005178A7"/>
    <w:rsid w:val="0052006D"/>
    <w:rsid w:val="0052059D"/>
    <w:rsid w:val="00520645"/>
    <w:rsid w:val="0052130C"/>
    <w:rsid w:val="0052175B"/>
    <w:rsid w:val="005217A0"/>
    <w:rsid w:val="00521F8C"/>
    <w:rsid w:val="00522073"/>
    <w:rsid w:val="005228D3"/>
    <w:rsid w:val="00522C55"/>
    <w:rsid w:val="00522DE0"/>
    <w:rsid w:val="00522ED1"/>
    <w:rsid w:val="00522F87"/>
    <w:rsid w:val="00525602"/>
    <w:rsid w:val="0052707E"/>
    <w:rsid w:val="0052754A"/>
    <w:rsid w:val="00527CD1"/>
    <w:rsid w:val="00530465"/>
    <w:rsid w:val="00530C33"/>
    <w:rsid w:val="00530CAD"/>
    <w:rsid w:val="00531D9C"/>
    <w:rsid w:val="00531FEC"/>
    <w:rsid w:val="00532D6F"/>
    <w:rsid w:val="005330DD"/>
    <w:rsid w:val="00533FAE"/>
    <w:rsid w:val="005342D0"/>
    <w:rsid w:val="005369A9"/>
    <w:rsid w:val="00537875"/>
    <w:rsid w:val="00537C67"/>
    <w:rsid w:val="00537FA4"/>
    <w:rsid w:val="0054069D"/>
    <w:rsid w:val="005416C8"/>
    <w:rsid w:val="00541EA7"/>
    <w:rsid w:val="00542D3B"/>
    <w:rsid w:val="005440CB"/>
    <w:rsid w:val="00546BA9"/>
    <w:rsid w:val="00547752"/>
    <w:rsid w:val="00547A87"/>
    <w:rsid w:val="00551401"/>
    <w:rsid w:val="00551C15"/>
    <w:rsid w:val="00552192"/>
    <w:rsid w:val="00552685"/>
    <w:rsid w:val="00552ED9"/>
    <w:rsid w:val="0055444C"/>
    <w:rsid w:val="005560F0"/>
    <w:rsid w:val="005562EF"/>
    <w:rsid w:val="005571AA"/>
    <w:rsid w:val="0055733F"/>
    <w:rsid w:val="0055792A"/>
    <w:rsid w:val="00561FED"/>
    <w:rsid w:val="005620C4"/>
    <w:rsid w:val="00563912"/>
    <w:rsid w:val="00564428"/>
    <w:rsid w:val="00564601"/>
    <w:rsid w:val="00565461"/>
    <w:rsid w:val="005655FD"/>
    <w:rsid w:val="00565D27"/>
    <w:rsid w:val="00565EE2"/>
    <w:rsid w:val="00566726"/>
    <w:rsid w:val="0056680E"/>
    <w:rsid w:val="00566E33"/>
    <w:rsid w:val="005717A7"/>
    <w:rsid w:val="005721FA"/>
    <w:rsid w:val="005722E5"/>
    <w:rsid w:val="0057285C"/>
    <w:rsid w:val="005730B0"/>
    <w:rsid w:val="00573194"/>
    <w:rsid w:val="005733C9"/>
    <w:rsid w:val="00573FAF"/>
    <w:rsid w:val="00574098"/>
    <w:rsid w:val="00574150"/>
    <w:rsid w:val="00575E69"/>
    <w:rsid w:val="00577FA4"/>
    <w:rsid w:val="005800A5"/>
    <w:rsid w:val="005800B1"/>
    <w:rsid w:val="00581C1E"/>
    <w:rsid w:val="00582DD6"/>
    <w:rsid w:val="00582F79"/>
    <w:rsid w:val="00583688"/>
    <w:rsid w:val="00583C8B"/>
    <w:rsid w:val="00584336"/>
    <w:rsid w:val="005843B7"/>
    <w:rsid w:val="005852C9"/>
    <w:rsid w:val="00585CA2"/>
    <w:rsid w:val="0058626C"/>
    <w:rsid w:val="00586711"/>
    <w:rsid w:val="00587F5D"/>
    <w:rsid w:val="0059037C"/>
    <w:rsid w:val="005909E4"/>
    <w:rsid w:val="00590B41"/>
    <w:rsid w:val="00591BB3"/>
    <w:rsid w:val="0059216D"/>
    <w:rsid w:val="0059243D"/>
    <w:rsid w:val="00592E59"/>
    <w:rsid w:val="005931E6"/>
    <w:rsid w:val="00593A3C"/>
    <w:rsid w:val="005940E9"/>
    <w:rsid w:val="005943B1"/>
    <w:rsid w:val="00594BBA"/>
    <w:rsid w:val="00595B90"/>
    <w:rsid w:val="0059628D"/>
    <w:rsid w:val="0059796F"/>
    <w:rsid w:val="00597B54"/>
    <w:rsid w:val="00597FFB"/>
    <w:rsid w:val="005A19A9"/>
    <w:rsid w:val="005A1D72"/>
    <w:rsid w:val="005A2272"/>
    <w:rsid w:val="005A3445"/>
    <w:rsid w:val="005A358C"/>
    <w:rsid w:val="005A381F"/>
    <w:rsid w:val="005A4727"/>
    <w:rsid w:val="005A792D"/>
    <w:rsid w:val="005A7BF4"/>
    <w:rsid w:val="005B0E17"/>
    <w:rsid w:val="005B2012"/>
    <w:rsid w:val="005B214B"/>
    <w:rsid w:val="005B2D01"/>
    <w:rsid w:val="005B2EB5"/>
    <w:rsid w:val="005B367D"/>
    <w:rsid w:val="005B37FB"/>
    <w:rsid w:val="005B50D1"/>
    <w:rsid w:val="005B5A0A"/>
    <w:rsid w:val="005B5DC5"/>
    <w:rsid w:val="005B657E"/>
    <w:rsid w:val="005B66DA"/>
    <w:rsid w:val="005B6A92"/>
    <w:rsid w:val="005C1784"/>
    <w:rsid w:val="005C2884"/>
    <w:rsid w:val="005C2D2C"/>
    <w:rsid w:val="005C3C3B"/>
    <w:rsid w:val="005C3D39"/>
    <w:rsid w:val="005C3FAB"/>
    <w:rsid w:val="005C5460"/>
    <w:rsid w:val="005C5CA8"/>
    <w:rsid w:val="005C65C7"/>
    <w:rsid w:val="005C7043"/>
    <w:rsid w:val="005C7472"/>
    <w:rsid w:val="005C74EF"/>
    <w:rsid w:val="005C787B"/>
    <w:rsid w:val="005C799D"/>
    <w:rsid w:val="005C7F5F"/>
    <w:rsid w:val="005D1791"/>
    <w:rsid w:val="005D4D8A"/>
    <w:rsid w:val="005D6314"/>
    <w:rsid w:val="005D652D"/>
    <w:rsid w:val="005D6EA9"/>
    <w:rsid w:val="005D71D1"/>
    <w:rsid w:val="005E09F6"/>
    <w:rsid w:val="005E0E19"/>
    <w:rsid w:val="005E122B"/>
    <w:rsid w:val="005E1252"/>
    <w:rsid w:val="005E2C62"/>
    <w:rsid w:val="005E2EC4"/>
    <w:rsid w:val="005E31C4"/>
    <w:rsid w:val="005E3863"/>
    <w:rsid w:val="005E432F"/>
    <w:rsid w:val="005E43BF"/>
    <w:rsid w:val="005E4D69"/>
    <w:rsid w:val="005E5603"/>
    <w:rsid w:val="005E584D"/>
    <w:rsid w:val="005E5863"/>
    <w:rsid w:val="005E6250"/>
    <w:rsid w:val="005E7827"/>
    <w:rsid w:val="005F0AEA"/>
    <w:rsid w:val="005F1494"/>
    <w:rsid w:val="005F16EB"/>
    <w:rsid w:val="005F2B89"/>
    <w:rsid w:val="005F2E9C"/>
    <w:rsid w:val="005F38F0"/>
    <w:rsid w:val="005F40F4"/>
    <w:rsid w:val="005F48F4"/>
    <w:rsid w:val="005F5FB8"/>
    <w:rsid w:val="005F6CCA"/>
    <w:rsid w:val="005F6CDF"/>
    <w:rsid w:val="005F7334"/>
    <w:rsid w:val="005F7F6D"/>
    <w:rsid w:val="0060015E"/>
    <w:rsid w:val="00600DED"/>
    <w:rsid w:val="006011A8"/>
    <w:rsid w:val="006026E1"/>
    <w:rsid w:val="00602738"/>
    <w:rsid w:val="00602CBE"/>
    <w:rsid w:val="00603740"/>
    <w:rsid w:val="00603841"/>
    <w:rsid w:val="00603886"/>
    <w:rsid w:val="0060480B"/>
    <w:rsid w:val="00604AD4"/>
    <w:rsid w:val="00604DAB"/>
    <w:rsid w:val="006058C3"/>
    <w:rsid w:val="006060F1"/>
    <w:rsid w:val="0060611B"/>
    <w:rsid w:val="006063BC"/>
    <w:rsid w:val="00606477"/>
    <w:rsid w:val="0060666C"/>
    <w:rsid w:val="006070CE"/>
    <w:rsid w:val="00607415"/>
    <w:rsid w:val="0060746D"/>
    <w:rsid w:val="00607873"/>
    <w:rsid w:val="00607BDA"/>
    <w:rsid w:val="00607D4A"/>
    <w:rsid w:val="00610DD6"/>
    <w:rsid w:val="00611569"/>
    <w:rsid w:val="006121E1"/>
    <w:rsid w:val="00612A30"/>
    <w:rsid w:val="00612B41"/>
    <w:rsid w:val="006130D4"/>
    <w:rsid w:val="0061372C"/>
    <w:rsid w:val="00614152"/>
    <w:rsid w:val="00614285"/>
    <w:rsid w:val="006146CC"/>
    <w:rsid w:val="00616F27"/>
    <w:rsid w:val="006203A6"/>
    <w:rsid w:val="006217C8"/>
    <w:rsid w:val="00621F3E"/>
    <w:rsid w:val="006221E3"/>
    <w:rsid w:val="00623075"/>
    <w:rsid w:val="006231DA"/>
    <w:rsid w:val="0062465F"/>
    <w:rsid w:val="00624FF5"/>
    <w:rsid w:val="00625C64"/>
    <w:rsid w:val="00625FAF"/>
    <w:rsid w:val="0062608D"/>
    <w:rsid w:val="00626846"/>
    <w:rsid w:val="00626A1E"/>
    <w:rsid w:val="00630D1A"/>
    <w:rsid w:val="0063222C"/>
    <w:rsid w:val="00632A90"/>
    <w:rsid w:val="00632DE8"/>
    <w:rsid w:val="00633176"/>
    <w:rsid w:val="00634708"/>
    <w:rsid w:val="0063591D"/>
    <w:rsid w:val="00636B95"/>
    <w:rsid w:val="00637192"/>
    <w:rsid w:val="006371BF"/>
    <w:rsid w:val="00640A71"/>
    <w:rsid w:val="00640A9B"/>
    <w:rsid w:val="00642ED9"/>
    <w:rsid w:val="00642F60"/>
    <w:rsid w:val="00643859"/>
    <w:rsid w:val="0064394C"/>
    <w:rsid w:val="0064401F"/>
    <w:rsid w:val="00645259"/>
    <w:rsid w:val="00645A43"/>
    <w:rsid w:val="006464FB"/>
    <w:rsid w:val="00646E82"/>
    <w:rsid w:val="006470BC"/>
    <w:rsid w:val="0064767D"/>
    <w:rsid w:val="00650DE8"/>
    <w:rsid w:val="00651202"/>
    <w:rsid w:val="00651F05"/>
    <w:rsid w:val="0065256C"/>
    <w:rsid w:val="006526CE"/>
    <w:rsid w:val="00652923"/>
    <w:rsid w:val="00652F30"/>
    <w:rsid w:val="0065349D"/>
    <w:rsid w:val="006539D4"/>
    <w:rsid w:val="00654042"/>
    <w:rsid w:val="00654081"/>
    <w:rsid w:val="00654E2D"/>
    <w:rsid w:val="00657125"/>
    <w:rsid w:val="00660460"/>
    <w:rsid w:val="00661116"/>
    <w:rsid w:val="006615F2"/>
    <w:rsid w:val="00661B18"/>
    <w:rsid w:val="006624C3"/>
    <w:rsid w:val="00663267"/>
    <w:rsid w:val="006637C9"/>
    <w:rsid w:val="006640EE"/>
    <w:rsid w:val="006647A7"/>
    <w:rsid w:val="00664A8F"/>
    <w:rsid w:val="00665D51"/>
    <w:rsid w:val="00665EAF"/>
    <w:rsid w:val="00666FF1"/>
    <w:rsid w:val="006671AE"/>
    <w:rsid w:val="00667C96"/>
    <w:rsid w:val="00670651"/>
    <w:rsid w:val="006706D2"/>
    <w:rsid w:val="00670737"/>
    <w:rsid w:val="0067099E"/>
    <w:rsid w:val="00670B73"/>
    <w:rsid w:val="00671114"/>
    <w:rsid w:val="006730D6"/>
    <w:rsid w:val="00673533"/>
    <w:rsid w:val="00674586"/>
    <w:rsid w:val="00675CE6"/>
    <w:rsid w:val="00675F2B"/>
    <w:rsid w:val="00675F6A"/>
    <w:rsid w:val="006765EB"/>
    <w:rsid w:val="00676A86"/>
    <w:rsid w:val="00677410"/>
    <w:rsid w:val="00680602"/>
    <w:rsid w:val="00680FF9"/>
    <w:rsid w:val="006814B0"/>
    <w:rsid w:val="0068321F"/>
    <w:rsid w:val="006833D3"/>
    <w:rsid w:val="00683802"/>
    <w:rsid w:val="00684AA1"/>
    <w:rsid w:val="00685672"/>
    <w:rsid w:val="006857D9"/>
    <w:rsid w:val="0068583F"/>
    <w:rsid w:val="00685F98"/>
    <w:rsid w:val="00686ED1"/>
    <w:rsid w:val="006873A3"/>
    <w:rsid w:val="00690428"/>
    <w:rsid w:val="00690C52"/>
    <w:rsid w:val="006919BE"/>
    <w:rsid w:val="00691A84"/>
    <w:rsid w:val="00691D30"/>
    <w:rsid w:val="00691E7B"/>
    <w:rsid w:val="0069241F"/>
    <w:rsid w:val="00693A50"/>
    <w:rsid w:val="00693B3B"/>
    <w:rsid w:val="00693D52"/>
    <w:rsid w:val="00693FEF"/>
    <w:rsid w:val="0069418D"/>
    <w:rsid w:val="0069476E"/>
    <w:rsid w:val="00694F36"/>
    <w:rsid w:val="0069532D"/>
    <w:rsid w:val="0069605E"/>
    <w:rsid w:val="00696DA3"/>
    <w:rsid w:val="006A0628"/>
    <w:rsid w:val="006A1128"/>
    <w:rsid w:val="006A16DC"/>
    <w:rsid w:val="006A1F74"/>
    <w:rsid w:val="006A23D8"/>
    <w:rsid w:val="006A34A1"/>
    <w:rsid w:val="006A34E5"/>
    <w:rsid w:val="006A4D01"/>
    <w:rsid w:val="006A4F81"/>
    <w:rsid w:val="006A51CA"/>
    <w:rsid w:val="006A5267"/>
    <w:rsid w:val="006A5D31"/>
    <w:rsid w:val="006A6A96"/>
    <w:rsid w:val="006A6C73"/>
    <w:rsid w:val="006B03FA"/>
    <w:rsid w:val="006B04A5"/>
    <w:rsid w:val="006B1978"/>
    <w:rsid w:val="006B2395"/>
    <w:rsid w:val="006B309E"/>
    <w:rsid w:val="006B334E"/>
    <w:rsid w:val="006B39DC"/>
    <w:rsid w:val="006B3FF8"/>
    <w:rsid w:val="006B4040"/>
    <w:rsid w:val="006B5DAF"/>
    <w:rsid w:val="006B62E4"/>
    <w:rsid w:val="006B64B3"/>
    <w:rsid w:val="006B72E4"/>
    <w:rsid w:val="006B767B"/>
    <w:rsid w:val="006B773C"/>
    <w:rsid w:val="006C1525"/>
    <w:rsid w:val="006C1AAF"/>
    <w:rsid w:val="006C1C99"/>
    <w:rsid w:val="006C205C"/>
    <w:rsid w:val="006C3044"/>
    <w:rsid w:val="006C3AF1"/>
    <w:rsid w:val="006C4262"/>
    <w:rsid w:val="006C4EED"/>
    <w:rsid w:val="006C58FD"/>
    <w:rsid w:val="006C62D1"/>
    <w:rsid w:val="006C69B3"/>
    <w:rsid w:val="006C7533"/>
    <w:rsid w:val="006C7D96"/>
    <w:rsid w:val="006C7DFC"/>
    <w:rsid w:val="006D0998"/>
    <w:rsid w:val="006D0EE9"/>
    <w:rsid w:val="006D2D9B"/>
    <w:rsid w:val="006D3463"/>
    <w:rsid w:val="006D4799"/>
    <w:rsid w:val="006D48AE"/>
    <w:rsid w:val="006D501C"/>
    <w:rsid w:val="006D5036"/>
    <w:rsid w:val="006D5C59"/>
    <w:rsid w:val="006D60A6"/>
    <w:rsid w:val="006D62F9"/>
    <w:rsid w:val="006D64DD"/>
    <w:rsid w:val="006D69AE"/>
    <w:rsid w:val="006D6EB4"/>
    <w:rsid w:val="006D72A8"/>
    <w:rsid w:val="006D7300"/>
    <w:rsid w:val="006D7C23"/>
    <w:rsid w:val="006E042A"/>
    <w:rsid w:val="006E08CD"/>
    <w:rsid w:val="006E099F"/>
    <w:rsid w:val="006E0B6B"/>
    <w:rsid w:val="006E104D"/>
    <w:rsid w:val="006E13F7"/>
    <w:rsid w:val="006E193D"/>
    <w:rsid w:val="006E1C79"/>
    <w:rsid w:val="006E1E45"/>
    <w:rsid w:val="006E20F6"/>
    <w:rsid w:val="006E2651"/>
    <w:rsid w:val="006E3553"/>
    <w:rsid w:val="006E5197"/>
    <w:rsid w:val="006E720D"/>
    <w:rsid w:val="006E796C"/>
    <w:rsid w:val="006F07CA"/>
    <w:rsid w:val="006F3576"/>
    <w:rsid w:val="006F4AF5"/>
    <w:rsid w:val="006F6047"/>
    <w:rsid w:val="006F6B3E"/>
    <w:rsid w:val="006F7FB5"/>
    <w:rsid w:val="00700115"/>
    <w:rsid w:val="0070023E"/>
    <w:rsid w:val="007006D3"/>
    <w:rsid w:val="007019B3"/>
    <w:rsid w:val="007019DA"/>
    <w:rsid w:val="00701C84"/>
    <w:rsid w:val="007024F3"/>
    <w:rsid w:val="0070302B"/>
    <w:rsid w:val="007046B1"/>
    <w:rsid w:val="007051A6"/>
    <w:rsid w:val="00705B03"/>
    <w:rsid w:val="007063B9"/>
    <w:rsid w:val="0070680B"/>
    <w:rsid w:val="00706A91"/>
    <w:rsid w:val="00707CF7"/>
    <w:rsid w:val="00707D40"/>
    <w:rsid w:val="00707EE2"/>
    <w:rsid w:val="00710385"/>
    <w:rsid w:val="00711565"/>
    <w:rsid w:val="0071161E"/>
    <w:rsid w:val="00711779"/>
    <w:rsid w:val="00712C40"/>
    <w:rsid w:val="00713313"/>
    <w:rsid w:val="00713728"/>
    <w:rsid w:val="007139E0"/>
    <w:rsid w:val="00714B9C"/>
    <w:rsid w:val="00714E12"/>
    <w:rsid w:val="00715470"/>
    <w:rsid w:val="0071630C"/>
    <w:rsid w:val="00717AD3"/>
    <w:rsid w:val="00717C29"/>
    <w:rsid w:val="0072022F"/>
    <w:rsid w:val="007202FA"/>
    <w:rsid w:val="00720F18"/>
    <w:rsid w:val="00721714"/>
    <w:rsid w:val="0072221A"/>
    <w:rsid w:val="00722611"/>
    <w:rsid w:val="00722CF7"/>
    <w:rsid w:val="00722E06"/>
    <w:rsid w:val="0072325A"/>
    <w:rsid w:val="007238D9"/>
    <w:rsid w:val="00723A33"/>
    <w:rsid w:val="00723A9C"/>
    <w:rsid w:val="007245F6"/>
    <w:rsid w:val="0072475A"/>
    <w:rsid w:val="007250AD"/>
    <w:rsid w:val="007251C1"/>
    <w:rsid w:val="007269D7"/>
    <w:rsid w:val="00726B1F"/>
    <w:rsid w:val="007306F0"/>
    <w:rsid w:val="007314C6"/>
    <w:rsid w:val="00731EB4"/>
    <w:rsid w:val="00734BCB"/>
    <w:rsid w:val="00735D0A"/>
    <w:rsid w:val="0073696D"/>
    <w:rsid w:val="00736EEB"/>
    <w:rsid w:val="00737523"/>
    <w:rsid w:val="0073761F"/>
    <w:rsid w:val="00737A71"/>
    <w:rsid w:val="00737D47"/>
    <w:rsid w:val="0074082F"/>
    <w:rsid w:val="00740C5A"/>
    <w:rsid w:val="007414B9"/>
    <w:rsid w:val="007418C4"/>
    <w:rsid w:val="00741F18"/>
    <w:rsid w:val="007420B7"/>
    <w:rsid w:val="0074235D"/>
    <w:rsid w:val="0074261B"/>
    <w:rsid w:val="00742D12"/>
    <w:rsid w:val="00742FBF"/>
    <w:rsid w:val="007432B1"/>
    <w:rsid w:val="00743690"/>
    <w:rsid w:val="00743BAC"/>
    <w:rsid w:val="00743EA6"/>
    <w:rsid w:val="007445C7"/>
    <w:rsid w:val="00744743"/>
    <w:rsid w:val="0074558F"/>
    <w:rsid w:val="0074561C"/>
    <w:rsid w:val="00745B75"/>
    <w:rsid w:val="00745D63"/>
    <w:rsid w:val="00746BE1"/>
    <w:rsid w:val="00746E9B"/>
    <w:rsid w:val="00746F77"/>
    <w:rsid w:val="00747577"/>
    <w:rsid w:val="00747696"/>
    <w:rsid w:val="00747F44"/>
    <w:rsid w:val="00747FF3"/>
    <w:rsid w:val="00750236"/>
    <w:rsid w:val="00750841"/>
    <w:rsid w:val="00750F23"/>
    <w:rsid w:val="00750F61"/>
    <w:rsid w:val="00751493"/>
    <w:rsid w:val="00751CC6"/>
    <w:rsid w:val="007529DE"/>
    <w:rsid w:val="00752DEE"/>
    <w:rsid w:val="00753A51"/>
    <w:rsid w:val="00754B58"/>
    <w:rsid w:val="00754BBE"/>
    <w:rsid w:val="007556A5"/>
    <w:rsid w:val="007557A9"/>
    <w:rsid w:val="0075626B"/>
    <w:rsid w:val="00756826"/>
    <w:rsid w:val="007573EB"/>
    <w:rsid w:val="0075763D"/>
    <w:rsid w:val="00757ADD"/>
    <w:rsid w:val="00757BAA"/>
    <w:rsid w:val="00760384"/>
    <w:rsid w:val="00760DAF"/>
    <w:rsid w:val="007612D5"/>
    <w:rsid w:val="00761735"/>
    <w:rsid w:val="00761A26"/>
    <w:rsid w:val="00762155"/>
    <w:rsid w:val="0076262A"/>
    <w:rsid w:val="0076263E"/>
    <w:rsid w:val="007626EB"/>
    <w:rsid w:val="007633AC"/>
    <w:rsid w:val="00763A81"/>
    <w:rsid w:val="00763FCF"/>
    <w:rsid w:val="00764CD5"/>
    <w:rsid w:val="007655DB"/>
    <w:rsid w:val="00765766"/>
    <w:rsid w:val="00765992"/>
    <w:rsid w:val="00765EFA"/>
    <w:rsid w:val="00765F19"/>
    <w:rsid w:val="00766A9D"/>
    <w:rsid w:val="00766BEE"/>
    <w:rsid w:val="00767608"/>
    <w:rsid w:val="00767620"/>
    <w:rsid w:val="0076781E"/>
    <w:rsid w:val="007679A9"/>
    <w:rsid w:val="00767CC7"/>
    <w:rsid w:val="00770D57"/>
    <w:rsid w:val="0077187C"/>
    <w:rsid w:val="00771A0E"/>
    <w:rsid w:val="00771B83"/>
    <w:rsid w:val="00772623"/>
    <w:rsid w:val="00772CD7"/>
    <w:rsid w:val="00772F49"/>
    <w:rsid w:val="00773A85"/>
    <w:rsid w:val="00774021"/>
    <w:rsid w:val="00775562"/>
    <w:rsid w:val="007757A2"/>
    <w:rsid w:val="00775888"/>
    <w:rsid w:val="007779C7"/>
    <w:rsid w:val="00777A36"/>
    <w:rsid w:val="007800F3"/>
    <w:rsid w:val="007803E6"/>
    <w:rsid w:val="00780458"/>
    <w:rsid w:val="007809D4"/>
    <w:rsid w:val="0078297C"/>
    <w:rsid w:val="00782CF7"/>
    <w:rsid w:val="00782D00"/>
    <w:rsid w:val="00782EAA"/>
    <w:rsid w:val="0078333B"/>
    <w:rsid w:val="00783534"/>
    <w:rsid w:val="00783BAA"/>
    <w:rsid w:val="00784658"/>
    <w:rsid w:val="00784939"/>
    <w:rsid w:val="00784AD1"/>
    <w:rsid w:val="00784F26"/>
    <w:rsid w:val="00785FD9"/>
    <w:rsid w:val="007862AD"/>
    <w:rsid w:val="0078794F"/>
    <w:rsid w:val="00787986"/>
    <w:rsid w:val="00787E6A"/>
    <w:rsid w:val="00787F7D"/>
    <w:rsid w:val="00790CD6"/>
    <w:rsid w:val="00790CDA"/>
    <w:rsid w:val="007911F4"/>
    <w:rsid w:val="007913EA"/>
    <w:rsid w:val="00791D68"/>
    <w:rsid w:val="00792B41"/>
    <w:rsid w:val="00792DAB"/>
    <w:rsid w:val="00792E1B"/>
    <w:rsid w:val="00793626"/>
    <w:rsid w:val="00796276"/>
    <w:rsid w:val="007964B9"/>
    <w:rsid w:val="00796E70"/>
    <w:rsid w:val="00796F9A"/>
    <w:rsid w:val="0079733F"/>
    <w:rsid w:val="007A0A9E"/>
    <w:rsid w:val="007A1481"/>
    <w:rsid w:val="007A2E2C"/>
    <w:rsid w:val="007A3FDC"/>
    <w:rsid w:val="007A5839"/>
    <w:rsid w:val="007A5BFF"/>
    <w:rsid w:val="007A5E9A"/>
    <w:rsid w:val="007A640B"/>
    <w:rsid w:val="007A6844"/>
    <w:rsid w:val="007A6C90"/>
    <w:rsid w:val="007A7AAC"/>
    <w:rsid w:val="007B117F"/>
    <w:rsid w:val="007B1C8F"/>
    <w:rsid w:val="007B1DA9"/>
    <w:rsid w:val="007B2058"/>
    <w:rsid w:val="007B2A1E"/>
    <w:rsid w:val="007B2EF2"/>
    <w:rsid w:val="007B3061"/>
    <w:rsid w:val="007B3218"/>
    <w:rsid w:val="007B3B39"/>
    <w:rsid w:val="007B403B"/>
    <w:rsid w:val="007B4218"/>
    <w:rsid w:val="007B46C1"/>
    <w:rsid w:val="007B60E1"/>
    <w:rsid w:val="007B730B"/>
    <w:rsid w:val="007B7E81"/>
    <w:rsid w:val="007B7EB5"/>
    <w:rsid w:val="007B7EFF"/>
    <w:rsid w:val="007C0A11"/>
    <w:rsid w:val="007C1352"/>
    <w:rsid w:val="007C13C4"/>
    <w:rsid w:val="007C1EEB"/>
    <w:rsid w:val="007C2057"/>
    <w:rsid w:val="007C21C2"/>
    <w:rsid w:val="007C29DF"/>
    <w:rsid w:val="007C2D1F"/>
    <w:rsid w:val="007C35EE"/>
    <w:rsid w:val="007C3972"/>
    <w:rsid w:val="007C3B44"/>
    <w:rsid w:val="007C4090"/>
    <w:rsid w:val="007C47D4"/>
    <w:rsid w:val="007C494C"/>
    <w:rsid w:val="007C4CA5"/>
    <w:rsid w:val="007C50D7"/>
    <w:rsid w:val="007C603E"/>
    <w:rsid w:val="007C7F35"/>
    <w:rsid w:val="007D0C0A"/>
    <w:rsid w:val="007D2A26"/>
    <w:rsid w:val="007D32B8"/>
    <w:rsid w:val="007D4A96"/>
    <w:rsid w:val="007D60DA"/>
    <w:rsid w:val="007D62E0"/>
    <w:rsid w:val="007D69F9"/>
    <w:rsid w:val="007D7813"/>
    <w:rsid w:val="007D7AC2"/>
    <w:rsid w:val="007D7AE8"/>
    <w:rsid w:val="007D7C78"/>
    <w:rsid w:val="007E1DA5"/>
    <w:rsid w:val="007E1F5F"/>
    <w:rsid w:val="007E32BA"/>
    <w:rsid w:val="007E362E"/>
    <w:rsid w:val="007E3DBA"/>
    <w:rsid w:val="007E4511"/>
    <w:rsid w:val="007E61ED"/>
    <w:rsid w:val="007E70A7"/>
    <w:rsid w:val="007E721C"/>
    <w:rsid w:val="007E7740"/>
    <w:rsid w:val="007F0315"/>
    <w:rsid w:val="007F09AE"/>
    <w:rsid w:val="007F150E"/>
    <w:rsid w:val="007F1E67"/>
    <w:rsid w:val="007F20D7"/>
    <w:rsid w:val="007F223D"/>
    <w:rsid w:val="007F276C"/>
    <w:rsid w:val="007F3540"/>
    <w:rsid w:val="007F3C9F"/>
    <w:rsid w:val="007F3E6D"/>
    <w:rsid w:val="007F4A34"/>
    <w:rsid w:val="007F4E1C"/>
    <w:rsid w:val="007F5A9A"/>
    <w:rsid w:val="007F604F"/>
    <w:rsid w:val="007F6E11"/>
    <w:rsid w:val="007F6EA4"/>
    <w:rsid w:val="00800315"/>
    <w:rsid w:val="00800DC1"/>
    <w:rsid w:val="0080284E"/>
    <w:rsid w:val="00802C8D"/>
    <w:rsid w:val="00802F6F"/>
    <w:rsid w:val="00805297"/>
    <w:rsid w:val="008061DD"/>
    <w:rsid w:val="00806CC5"/>
    <w:rsid w:val="00806D0B"/>
    <w:rsid w:val="00811370"/>
    <w:rsid w:val="00811793"/>
    <w:rsid w:val="008121DC"/>
    <w:rsid w:val="00812B75"/>
    <w:rsid w:val="008130DD"/>
    <w:rsid w:val="00813E84"/>
    <w:rsid w:val="00814EE7"/>
    <w:rsid w:val="0081503E"/>
    <w:rsid w:val="0081585E"/>
    <w:rsid w:val="00815C0C"/>
    <w:rsid w:val="00816225"/>
    <w:rsid w:val="0081785E"/>
    <w:rsid w:val="0081790E"/>
    <w:rsid w:val="00817A38"/>
    <w:rsid w:val="00820042"/>
    <w:rsid w:val="00820D1B"/>
    <w:rsid w:val="008210A7"/>
    <w:rsid w:val="00821E6F"/>
    <w:rsid w:val="008222DE"/>
    <w:rsid w:val="00822EDC"/>
    <w:rsid w:val="008236D1"/>
    <w:rsid w:val="00823E1F"/>
    <w:rsid w:val="0082502C"/>
    <w:rsid w:val="00825161"/>
    <w:rsid w:val="00825DF0"/>
    <w:rsid w:val="00830486"/>
    <w:rsid w:val="0083257F"/>
    <w:rsid w:val="0083452C"/>
    <w:rsid w:val="008348FC"/>
    <w:rsid w:val="00834E38"/>
    <w:rsid w:val="00834E50"/>
    <w:rsid w:val="00834EE5"/>
    <w:rsid w:val="008351BA"/>
    <w:rsid w:val="00835227"/>
    <w:rsid w:val="00835345"/>
    <w:rsid w:val="00835563"/>
    <w:rsid w:val="00836845"/>
    <w:rsid w:val="008373BC"/>
    <w:rsid w:val="008379FC"/>
    <w:rsid w:val="00841706"/>
    <w:rsid w:val="00841B82"/>
    <w:rsid w:val="008427B8"/>
    <w:rsid w:val="0084348B"/>
    <w:rsid w:val="0084349E"/>
    <w:rsid w:val="00843F89"/>
    <w:rsid w:val="00844FAB"/>
    <w:rsid w:val="00845A30"/>
    <w:rsid w:val="00846598"/>
    <w:rsid w:val="00846B52"/>
    <w:rsid w:val="00846CE5"/>
    <w:rsid w:val="00847890"/>
    <w:rsid w:val="008502CE"/>
    <w:rsid w:val="0085093E"/>
    <w:rsid w:val="00850A42"/>
    <w:rsid w:val="0085100A"/>
    <w:rsid w:val="00851427"/>
    <w:rsid w:val="00851FCA"/>
    <w:rsid w:val="00853EB2"/>
    <w:rsid w:val="008548A5"/>
    <w:rsid w:val="0085518D"/>
    <w:rsid w:val="0085637F"/>
    <w:rsid w:val="008578DF"/>
    <w:rsid w:val="00857B1D"/>
    <w:rsid w:val="00857DAF"/>
    <w:rsid w:val="0086038F"/>
    <w:rsid w:val="008603E4"/>
    <w:rsid w:val="00861347"/>
    <w:rsid w:val="008614E6"/>
    <w:rsid w:val="0086189E"/>
    <w:rsid w:val="0086289E"/>
    <w:rsid w:val="0086295A"/>
    <w:rsid w:val="00864025"/>
    <w:rsid w:val="0086442E"/>
    <w:rsid w:val="00865028"/>
    <w:rsid w:val="00865DF4"/>
    <w:rsid w:val="008668DC"/>
    <w:rsid w:val="00866A34"/>
    <w:rsid w:val="00866B54"/>
    <w:rsid w:val="008675C0"/>
    <w:rsid w:val="0086790C"/>
    <w:rsid w:val="00867DC8"/>
    <w:rsid w:val="008706C2"/>
    <w:rsid w:val="00870E37"/>
    <w:rsid w:val="00871075"/>
    <w:rsid w:val="00871943"/>
    <w:rsid w:val="008734EB"/>
    <w:rsid w:val="0087575B"/>
    <w:rsid w:val="00876879"/>
    <w:rsid w:val="0087702A"/>
    <w:rsid w:val="0087756D"/>
    <w:rsid w:val="00877798"/>
    <w:rsid w:val="00877C97"/>
    <w:rsid w:val="00880936"/>
    <w:rsid w:val="008809A8"/>
    <w:rsid w:val="00880FEA"/>
    <w:rsid w:val="008820EC"/>
    <w:rsid w:val="00883B86"/>
    <w:rsid w:val="00884359"/>
    <w:rsid w:val="0088505D"/>
    <w:rsid w:val="0088573B"/>
    <w:rsid w:val="0088588A"/>
    <w:rsid w:val="00886430"/>
    <w:rsid w:val="008865A7"/>
    <w:rsid w:val="008874B4"/>
    <w:rsid w:val="008879C5"/>
    <w:rsid w:val="008905C6"/>
    <w:rsid w:val="00890F96"/>
    <w:rsid w:val="0089261D"/>
    <w:rsid w:val="00892863"/>
    <w:rsid w:val="00892D72"/>
    <w:rsid w:val="0089313A"/>
    <w:rsid w:val="00893ED3"/>
    <w:rsid w:val="00894B96"/>
    <w:rsid w:val="00894D76"/>
    <w:rsid w:val="0089589F"/>
    <w:rsid w:val="00895A51"/>
    <w:rsid w:val="00895B8B"/>
    <w:rsid w:val="00895F2C"/>
    <w:rsid w:val="00896A03"/>
    <w:rsid w:val="00896E9F"/>
    <w:rsid w:val="0089753E"/>
    <w:rsid w:val="00897ED6"/>
    <w:rsid w:val="008A116A"/>
    <w:rsid w:val="008A12BD"/>
    <w:rsid w:val="008A14CF"/>
    <w:rsid w:val="008A23D0"/>
    <w:rsid w:val="008A25A7"/>
    <w:rsid w:val="008A2C93"/>
    <w:rsid w:val="008A2E57"/>
    <w:rsid w:val="008A3068"/>
    <w:rsid w:val="008A3076"/>
    <w:rsid w:val="008A34F4"/>
    <w:rsid w:val="008A4E20"/>
    <w:rsid w:val="008A5ED2"/>
    <w:rsid w:val="008A6CD7"/>
    <w:rsid w:val="008A732C"/>
    <w:rsid w:val="008A7EF3"/>
    <w:rsid w:val="008B0209"/>
    <w:rsid w:val="008B05BF"/>
    <w:rsid w:val="008B1DE9"/>
    <w:rsid w:val="008B2D16"/>
    <w:rsid w:val="008B3732"/>
    <w:rsid w:val="008B38DC"/>
    <w:rsid w:val="008B4952"/>
    <w:rsid w:val="008B4ED7"/>
    <w:rsid w:val="008B53BA"/>
    <w:rsid w:val="008B721A"/>
    <w:rsid w:val="008C0DBE"/>
    <w:rsid w:val="008C1941"/>
    <w:rsid w:val="008C21A1"/>
    <w:rsid w:val="008C251B"/>
    <w:rsid w:val="008C27D6"/>
    <w:rsid w:val="008C2B3D"/>
    <w:rsid w:val="008C42C6"/>
    <w:rsid w:val="008C44B7"/>
    <w:rsid w:val="008C4606"/>
    <w:rsid w:val="008C563B"/>
    <w:rsid w:val="008C6386"/>
    <w:rsid w:val="008C64B2"/>
    <w:rsid w:val="008C7454"/>
    <w:rsid w:val="008C7B9F"/>
    <w:rsid w:val="008D0B76"/>
    <w:rsid w:val="008D1ECC"/>
    <w:rsid w:val="008D2627"/>
    <w:rsid w:val="008D2A07"/>
    <w:rsid w:val="008D3713"/>
    <w:rsid w:val="008D3A65"/>
    <w:rsid w:val="008D423A"/>
    <w:rsid w:val="008D4D07"/>
    <w:rsid w:val="008D53E1"/>
    <w:rsid w:val="008D588F"/>
    <w:rsid w:val="008D6886"/>
    <w:rsid w:val="008D6C50"/>
    <w:rsid w:val="008D7532"/>
    <w:rsid w:val="008D767D"/>
    <w:rsid w:val="008E08DC"/>
    <w:rsid w:val="008E0C73"/>
    <w:rsid w:val="008E13BF"/>
    <w:rsid w:val="008E1493"/>
    <w:rsid w:val="008E252B"/>
    <w:rsid w:val="008E298A"/>
    <w:rsid w:val="008E4D9F"/>
    <w:rsid w:val="008E52E9"/>
    <w:rsid w:val="008E60DD"/>
    <w:rsid w:val="008E611F"/>
    <w:rsid w:val="008E6441"/>
    <w:rsid w:val="008E715E"/>
    <w:rsid w:val="008E735C"/>
    <w:rsid w:val="008E7395"/>
    <w:rsid w:val="008F1A88"/>
    <w:rsid w:val="008F2CC6"/>
    <w:rsid w:val="008F2DE2"/>
    <w:rsid w:val="008F30A7"/>
    <w:rsid w:val="008F313E"/>
    <w:rsid w:val="008F3EBB"/>
    <w:rsid w:val="008F4C37"/>
    <w:rsid w:val="008F4DD2"/>
    <w:rsid w:val="00900183"/>
    <w:rsid w:val="009001E6"/>
    <w:rsid w:val="00900991"/>
    <w:rsid w:val="00900BD2"/>
    <w:rsid w:val="00901468"/>
    <w:rsid w:val="00901A39"/>
    <w:rsid w:val="00902089"/>
    <w:rsid w:val="009020E1"/>
    <w:rsid w:val="0090372D"/>
    <w:rsid w:val="00904417"/>
    <w:rsid w:val="00904490"/>
    <w:rsid w:val="00910739"/>
    <w:rsid w:val="00910958"/>
    <w:rsid w:val="00911C03"/>
    <w:rsid w:val="00911C2B"/>
    <w:rsid w:val="00911D9B"/>
    <w:rsid w:val="00911E9A"/>
    <w:rsid w:val="0091218A"/>
    <w:rsid w:val="00912CB6"/>
    <w:rsid w:val="00914565"/>
    <w:rsid w:val="00914F6F"/>
    <w:rsid w:val="009153D6"/>
    <w:rsid w:val="009161AD"/>
    <w:rsid w:val="0091664B"/>
    <w:rsid w:val="0091693E"/>
    <w:rsid w:val="00920922"/>
    <w:rsid w:val="009210E8"/>
    <w:rsid w:val="00921302"/>
    <w:rsid w:val="009214E2"/>
    <w:rsid w:val="009219B6"/>
    <w:rsid w:val="009229E9"/>
    <w:rsid w:val="00922DFE"/>
    <w:rsid w:val="0092314D"/>
    <w:rsid w:val="009232BF"/>
    <w:rsid w:val="009238B2"/>
    <w:rsid w:val="00924811"/>
    <w:rsid w:val="00924893"/>
    <w:rsid w:val="00924C65"/>
    <w:rsid w:val="00924EA1"/>
    <w:rsid w:val="00926660"/>
    <w:rsid w:val="009269C2"/>
    <w:rsid w:val="00926C8B"/>
    <w:rsid w:val="00927557"/>
    <w:rsid w:val="00931630"/>
    <w:rsid w:val="00931A1C"/>
    <w:rsid w:val="00931B18"/>
    <w:rsid w:val="00931DD1"/>
    <w:rsid w:val="0093378B"/>
    <w:rsid w:val="00935A12"/>
    <w:rsid w:val="00936427"/>
    <w:rsid w:val="00937525"/>
    <w:rsid w:val="00937A67"/>
    <w:rsid w:val="00940012"/>
    <w:rsid w:val="00940813"/>
    <w:rsid w:val="0094276D"/>
    <w:rsid w:val="00944EE1"/>
    <w:rsid w:val="00945F64"/>
    <w:rsid w:val="009465E2"/>
    <w:rsid w:val="00947082"/>
    <w:rsid w:val="00950853"/>
    <w:rsid w:val="009509FF"/>
    <w:rsid w:val="00950A07"/>
    <w:rsid w:val="00950C1D"/>
    <w:rsid w:val="00950DF2"/>
    <w:rsid w:val="0095107B"/>
    <w:rsid w:val="009521CF"/>
    <w:rsid w:val="00952CF1"/>
    <w:rsid w:val="00953428"/>
    <w:rsid w:val="00953DE1"/>
    <w:rsid w:val="00954419"/>
    <w:rsid w:val="009549AC"/>
    <w:rsid w:val="00955E2A"/>
    <w:rsid w:val="00956CDA"/>
    <w:rsid w:val="00957769"/>
    <w:rsid w:val="00960A82"/>
    <w:rsid w:val="00962456"/>
    <w:rsid w:val="009632C8"/>
    <w:rsid w:val="00963BC6"/>
    <w:rsid w:val="00963CEA"/>
    <w:rsid w:val="00964D3B"/>
    <w:rsid w:val="0096500D"/>
    <w:rsid w:val="00967B6F"/>
    <w:rsid w:val="0097269A"/>
    <w:rsid w:val="0097486A"/>
    <w:rsid w:val="00974C6C"/>
    <w:rsid w:val="00975012"/>
    <w:rsid w:val="00975519"/>
    <w:rsid w:val="00975720"/>
    <w:rsid w:val="00975DB7"/>
    <w:rsid w:val="00975F3E"/>
    <w:rsid w:val="00976612"/>
    <w:rsid w:val="00977BB9"/>
    <w:rsid w:val="009813F3"/>
    <w:rsid w:val="00982E22"/>
    <w:rsid w:val="009837AB"/>
    <w:rsid w:val="0098602C"/>
    <w:rsid w:val="00986B44"/>
    <w:rsid w:val="00986FEF"/>
    <w:rsid w:val="00987453"/>
    <w:rsid w:val="00987787"/>
    <w:rsid w:val="00990501"/>
    <w:rsid w:val="00990B08"/>
    <w:rsid w:val="00990E52"/>
    <w:rsid w:val="00991FB1"/>
    <w:rsid w:val="00992679"/>
    <w:rsid w:val="00992C0B"/>
    <w:rsid w:val="00993689"/>
    <w:rsid w:val="00993BCB"/>
    <w:rsid w:val="00993D09"/>
    <w:rsid w:val="00993E13"/>
    <w:rsid w:val="00994DA5"/>
    <w:rsid w:val="00994EC4"/>
    <w:rsid w:val="00995812"/>
    <w:rsid w:val="00995AEB"/>
    <w:rsid w:val="00995BD9"/>
    <w:rsid w:val="00995DE3"/>
    <w:rsid w:val="00995E58"/>
    <w:rsid w:val="00996170"/>
    <w:rsid w:val="00996286"/>
    <w:rsid w:val="0099659C"/>
    <w:rsid w:val="009973E5"/>
    <w:rsid w:val="009A0F92"/>
    <w:rsid w:val="009A178C"/>
    <w:rsid w:val="009A1A39"/>
    <w:rsid w:val="009A2D0C"/>
    <w:rsid w:val="009A42FB"/>
    <w:rsid w:val="009A4799"/>
    <w:rsid w:val="009A56EF"/>
    <w:rsid w:val="009A5798"/>
    <w:rsid w:val="009A5B4D"/>
    <w:rsid w:val="009A5B80"/>
    <w:rsid w:val="009A6289"/>
    <w:rsid w:val="009A651F"/>
    <w:rsid w:val="009A69B4"/>
    <w:rsid w:val="009A6CB4"/>
    <w:rsid w:val="009A7138"/>
    <w:rsid w:val="009A76A1"/>
    <w:rsid w:val="009A79BF"/>
    <w:rsid w:val="009B03AA"/>
    <w:rsid w:val="009B042D"/>
    <w:rsid w:val="009B1A84"/>
    <w:rsid w:val="009B242C"/>
    <w:rsid w:val="009B24B3"/>
    <w:rsid w:val="009B27C4"/>
    <w:rsid w:val="009B2D07"/>
    <w:rsid w:val="009B2E40"/>
    <w:rsid w:val="009B3B7C"/>
    <w:rsid w:val="009B4282"/>
    <w:rsid w:val="009B42A6"/>
    <w:rsid w:val="009B5070"/>
    <w:rsid w:val="009B5153"/>
    <w:rsid w:val="009B60D9"/>
    <w:rsid w:val="009B677C"/>
    <w:rsid w:val="009C0434"/>
    <w:rsid w:val="009C2A1D"/>
    <w:rsid w:val="009C3540"/>
    <w:rsid w:val="009C416F"/>
    <w:rsid w:val="009C4B02"/>
    <w:rsid w:val="009C4B67"/>
    <w:rsid w:val="009C687D"/>
    <w:rsid w:val="009C6FE1"/>
    <w:rsid w:val="009C71D4"/>
    <w:rsid w:val="009C7B1B"/>
    <w:rsid w:val="009D01D4"/>
    <w:rsid w:val="009D0BD4"/>
    <w:rsid w:val="009D0CBA"/>
    <w:rsid w:val="009D175A"/>
    <w:rsid w:val="009D2596"/>
    <w:rsid w:val="009D297F"/>
    <w:rsid w:val="009D2FF1"/>
    <w:rsid w:val="009D45C9"/>
    <w:rsid w:val="009D4EE2"/>
    <w:rsid w:val="009D53C3"/>
    <w:rsid w:val="009D53EF"/>
    <w:rsid w:val="009D5833"/>
    <w:rsid w:val="009D5A24"/>
    <w:rsid w:val="009D60D4"/>
    <w:rsid w:val="009D7B1A"/>
    <w:rsid w:val="009E02B9"/>
    <w:rsid w:val="009E1B05"/>
    <w:rsid w:val="009E2925"/>
    <w:rsid w:val="009E2E8B"/>
    <w:rsid w:val="009E3E72"/>
    <w:rsid w:val="009E4D16"/>
    <w:rsid w:val="009E52D5"/>
    <w:rsid w:val="009E5458"/>
    <w:rsid w:val="009E5547"/>
    <w:rsid w:val="009E57E2"/>
    <w:rsid w:val="009E69B3"/>
    <w:rsid w:val="009E7A86"/>
    <w:rsid w:val="009E7C02"/>
    <w:rsid w:val="009E7CEB"/>
    <w:rsid w:val="009F12E2"/>
    <w:rsid w:val="009F269B"/>
    <w:rsid w:val="009F293D"/>
    <w:rsid w:val="009F2C66"/>
    <w:rsid w:val="009F3989"/>
    <w:rsid w:val="009F3F52"/>
    <w:rsid w:val="009F47C8"/>
    <w:rsid w:val="009F48A3"/>
    <w:rsid w:val="009F5813"/>
    <w:rsid w:val="009F669B"/>
    <w:rsid w:val="009F7088"/>
    <w:rsid w:val="009F7ADC"/>
    <w:rsid w:val="009F7E49"/>
    <w:rsid w:val="00A00F78"/>
    <w:rsid w:val="00A02A1A"/>
    <w:rsid w:val="00A02F00"/>
    <w:rsid w:val="00A0319E"/>
    <w:rsid w:val="00A032D6"/>
    <w:rsid w:val="00A034A5"/>
    <w:rsid w:val="00A03E29"/>
    <w:rsid w:val="00A04760"/>
    <w:rsid w:val="00A0511A"/>
    <w:rsid w:val="00A059A0"/>
    <w:rsid w:val="00A06F09"/>
    <w:rsid w:val="00A07979"/>
    <w:rsid w:val="00A1017F"/>
    <w:rsid w:val="00A11121"/>
    <w:rsid w:val="00A1145D"/>
    <w:rsid w:val="00A11EDC"/>
    <w:rsid w:val="00A12070"/>
    <w:rsid w:val="00A122F5"/>
    <w:rsid w:val="00A1427E"/>
    <w:rsid w:val="00A143FA"/>
    <w:rsid w:val="00A15ACE"/>
    <w:rsid w:val="00A1709E"/>
    <w:rsid w:val="00A171A1"/>
    <w:rsid w:val="00A17289"/>
    <w:rsid w:val="00A1790B"/>
    <w:rsid w:val="00A17FC9"/>
    <w:rsid w:val="00A20304"/>
    <w:rsid w:val="00A20878"/>
    <w:rsid w:val="00A209EB"/>
    <w:rsid w:val="00A21194"/>
    <w:rsid w:val="00A21377"/>
    <w:rsid w:val="00A22152"/>
    <w:rsid w:val="00A221D9"/>
    <w:rsid w:val="00A22551"/>
    <w:rsid w:val="00A22F81"/>
    <w:rsid w:val="00A232D8"/>
    <w:rsid w:val="00A237CA"/>
    <w:rsid w:val="00A238B4"/>
    <w:rsid w:val="00A23D1C"/>
    <w:rsid w:val="00A23E40"/>
    <w:rsid w:val="00A2479A"/>
    <w:rsid w:val="00A24990"/>
    <w:rsid w:val="00A249E7"/>
    <w:rsid w:val="00A2598B"/>
    <w:rsid w:val="00A25C52"/>
    <w:rsid w:val="00A2680C"/>
    <w:rsid w:val="00A26DEE"/>
    <w:rsid w:val="00A271AB"/>
    <w:rsid w:val="00A272EF"/>
    <w:rsid w:val="00A27524"/>
    <w:rsid w:val="00A30302"/>
    <w:rsid w:val="00A30424"/>
    <w:rsid w:val="00A30CCB"/>
    <w:rsid w:val="00A325F7"/>
    <w:rsid w:val="00A32EBF"/>
    <w:rsid w:val="00A32F07"/>
    <w:rsid w:val="00A33982"/>
    <w:rsid w:val="00A33EEC"/>
    <w:rsid w:val="00A34B34"/>
    <w:rsid w:val="00A35039"/>
    <w:rsid w:val="00A35774"/>
    <w:rsid w:val="00A35B69"/>
    <w:rsid w:val="00A36069"/>
    <w:rsid w:val="00A37038"/>
    <w:rsid w:val="00A3727F"/>
    <w:rsid w:val="00A37DEA"/>
    <w:rsid w:val="00A41082"/>
    <w:rsid w:val="00A4226A"/>
    <w:rsid w:val="00A42588"/>
    <w:rsid w:val="00A42700"/>
    <w:rsid w:val="00A42D85"/>
    <w:rsid w:val="00A4379F"/>
    <w:rsid w:val="00A43D51"/>
    <w:rsid w:val="00A45E51"/>
    <w:rsid w:val="00A46112"/>
    <w:rsid w:val="00A46507"/>
    <w:rsid w:val="00A467BD"/>
    <w:rsid w:val="00A46A73"/>
    <w:rsid w:val="00A46BCF"/>
    <w:rsid w:val="00A46C1C"/>
    <w:rsid w:val="00A46C4C"/>
    <w:rsid w:val="00A50116"/>
    <w:rsid w:val="00A50A9A"/>
    <w:rsid w:val="00A519A4"/>
    <w:rsid w:val="00A545B5"/>
    <w:rsid w:val="00A54ABB"/>
    <w:rsid w:val="00A55272"/>
    <w:rsid w:val="00A554C0"/>
    <w:rsid w:val="00A55B69"/>
    <w:rsid w:val="00A55CFE"/>
    <w:rsid w:val="00A5678A"/>
    <w:rsid w:val="00A56AAD"/>
    <w:rsid w:val="00A570A3"/>
    <w:rsid w:val="00A57197"/>
    <w:rsid w:val="00A57A00"/>
    <w:rsid w:val="00A616B8"/>
    <w:rsid w:val="00A61FA3"/>
    <w:rsid w:val="00A6249D"/>
    <w:rsid w:val="00A62957"/>
    <w:rsid w:val="00A62D0A"/>
    <w:rsid w:val="00A639E1"/>
    <w:rsid w:val="00A64A5B"/>
    <w:rsid w:val="00A64EF5"/>
    <w:rsid w:val="00A64F58"/>
    <w:rsid w:val="00A652AA"/>
    <w:rsid w:val="00A67531"/>
    <w:rsid w:val="00A704A1"/>
    <w:rsid w:val="00A7097B"/>
    <w:rsid w:val="00A709EB"/>
    <w:rsid w:val="00A70DE6"/>
    <w:rsid w:val="00A70E86"/>
    <w:rsid w:val="00A71579"/>
    <w:rsid w:val="00A718E9"/>
    <w:rsid w:val="00A71A58"/>
    <w:rsid w:val="00A71A9A"/>
    <w:rsid w:val="00A7219B"/>
    <w:rsid w:val="00A73690"/>
    <w:rsid w:val="00A73868"/>
    <w:rsid w:val="00A73CDA"/>
    <w:rsid w:val="00A73EAB"/>
    <w:rsid w:val="00A74138"/>
    <w:rsid w:val="00A7517D"/>
    <w:rsid w:val="00A75419"/>
    <w:rsid w:val="00A76D7F"/>
    <w:rsid w:val="00A770BF"/>
    <w:rsid w:val="00A77310"/>
    <w:rsid w:val="00A77894"/>
    <w:rsid w:val="00A80234"/>
    <w:rsid w:val="00A8060A"/>
    <w:rsid w:val="00A80A5B"/>
    <w:rsid w:val="00A823BD"/>
    <w:rsid w:val="00A82B13"/>
    <w:rsid w:val="00A82C56"/>
    <w:rsid w:val="00A82C9C"/>
    <w:rsid w:val="00A82EAC"/>
    <w:rsid w:val="00A83A39"/>
    <w:rsid w:val="00A841DA"/>
    <w:rsid w:val="00A84E72"/>
    <w:rsid w:val="00A85E47"/>
    <w:rsid w:val="00A86501"/>
    <w:rsid w:val="00A8702B"/>
    <w:rsid w:val="00A8704A"/>
    <w:rsid w:val="00A87F72"/>
    <w:rsid w:val="00A904D9"/>
    <w:rsid w:val="00A92C21"/>
    <w:rsid w:val="00A93826"/>
    <w:rsid w:val="00A938C4"/>
    <w:rsid w:val="00A93D0D"/>
    <w:rsid w:val="00A93D5C"/>
    <w:rsid w:val="00A9554A"/>
    <w:rsid w:val="00A96707"/>
    <w:rsid w:val="00A96DE7"/>
    <w:rsid w:val="00A97723"/>
    <w:rsid w:val="00A978E8"/>
    <w:rsid w:val="00AA130D"/>
    <w:rsid w:val="00AA29C4"/>
    <w:rsid w:val="00AA3D20"/>
    <w:rsid w:val="00AA3ED2"/>
    <w:rsid w:val="00AA41AF"/>
    <w:rsid w:val="00AA4F05"/>
    <w:rsid w:val="00AA570A"/>
    <w:rsid w:val="00AA5F1E"/>
    <w:rsid w:val="00AA5FA4"/>
    <w:rsid w:val="00AA70EF"/>
    <w:rsid w:val="00AB07D3"/>
    <w:rsid w:val="00AB1EC9"/>
    <w:rsid w:val="00AB1EDA"/>
    <w:rsid w:val="00AB27A9"/>
    <w:rsid w:val="00AB2828"/>
    <w:rsid w:val="00AB301A"/>
    <w:rsid w:val="00AB32B5"/>
    <w:rsid w:val="00AB33F4"/>
    <w:rsid w:val="00AB362D"/>
    <w:rsid w:val="00AB3CF6"/>
    <w:rsid w:val="00AB4ADA"/>
    <w:rsid w:val="00AB4B1D"/>
    <w:rsid w:val="00AB50A2"/>
    <w:rsid w:val="00AB55D9"/>
    <w:rsid w:val="00AB5F62"/>
    <w:rsid w:val="00AB7672"/>
    <w:rsid w:val="00AB7D21"/>
    <w:rsid w:val="00AC0C96"/>
    <w:rsid w:val="00AC11C2"/>
    <w:rsid w:val="00AC11C6"/>
    <w:rsid w:val="00AC1650"/>
    <w:rsid w:val="00AC1A90"/>
    <w:rsid w:val="00AC38EB"/>
    <w:rsid w:val="00AC44AC"/>
    <w:rsid w:val="00AC6A07"/>
    <w:rsid w:val="00AC740F"/>
    <w:rsid w:val="00AC74D3"/>
    <w:rsid w:val="00AC769C"/>
    <w:rsid w:val="00AC7CA4"/>
    <w:rsid w:val="00AD0441"/>
    <w:rsid w:val="00AD0C8F"/>
    <w:rsid w:val="00AD11D6"/>
    <w:rsid w:val="00AD17A8"/>
    <w:rsid w:val="00AD2C95"/>
    <w:rsid w:val="00AD341D"/>
    <w:rsid w:val="00AD4B24"/>
    <w:rsid w:val="00AD4FC0"/>
    <w:rsid w:val="00AD5206"/>
    <w:rsid w:val="00AD53C7"/>
    <w:rsid w:val="00AD5CA6"/>
    <w:rsid w:val="00AD6454"/>
    <w:rsid w:val="00AD6497"/>
    <w:rsid w:val="00AD66A4"/>
    <w:rsid w:val="00AD71B4"/>
    <w:rsid w:val="00AD7F5D"/>
    <w:rsid w:val="00AD7F66"/>
    <w:rsid w:val="00AE087D"/>
    <w:rsid w:val="00AE1020"/>
    <w:rsid w:val="00AE26F1"/>
    <w:rsid w:val="00AE2EA2"/>
    <w:rsid w:val="00AE33A5"/>
    <w:rsid w:val="00AE38EF"/>
    <w:rsid w:val="00AE3A82"/>
    <w:rsid w:val="00AE4B78"/>
    <w:rsid w:val="00AE52B2"/>
    <w:rsid w:val="00AE5822"/>
    <w:rsid w:val="00AE590F"/>
    <w:rsid w:val="00AE6965"/>
    <w:rsid w:val="00AE6A4D"/>
    <w:rsid w:val="00AE7AE4"/>
    <w:rsid w:val="00AF11F8"/>
    <w:rsid w:val="00AF1B2B"/>
    <w:rsid w:val="00AF3D86"/>
    <w:rsid w:val="00AF3DF8"/>
    <w:rsid w:val="00AF4A54"/>
    <w:rsid w:val="00AF59D4"/>
    <w:rsid w:val="00AF634C"/>
    <w:rsid w:val="00AF647B"/>
    <w:rsid w:val="00AF6EA1"/>
    <w:rsid w:val="00AF7238"/>
    <w:rsid w:val="00AF77DD"/>
    <w:rsid w:val="00AF7E21"/>
    <w:rsid w:val="00B00068"/>
    <w:rsid w:val="00B00405"/>
    <w:rsid w:val="00B004C6"/>
    <w:rsid w:val="00B0128F"/>
    <w:rsid w:val="00B01435"/>
    <w:rsid w:val="00B01EB2"/>
    <w:rsid w:val="00B02860"/>
    <w:rsid w:val="00B02D12"/>
    <w:rsid w:val="00B02DB2"/>
    <w:rsid w:val="00B02E37"/>
    <w:rsid w:val="00B046DC"/>
    <w:rsid w:val="00B04C25"/>
    <w:rsid w:val="00B06291"/>
    <w:rsid w:val="00B068EB"/>
    <w:rsid w:val="00B069B2"/>
    <w:rsid w:val="00B06B54"/>
    <w:rsid w:val="00B07292"/>
    <w:rsid w:val="00B105CE"/>
    <w:rsid w:val="00B10CA1"/>
    <w:rsid w:val="00B12513"/>
    <w:rsid w:val="00B14389"/>
    <w:rsid w:val="00B1502E"/>
    <w:rsid w:val="00B156CB"/>
    <w:rsid w:val="00B15B83"/>
    <w:rsid w:val="00B161AF"/>
    <w:rsid w:val="00B16D3F"/>
    <w:rsid w:val="00B171E1"/>
    <w:rsid w:val="00B172F1"/>
    <w:rsid w:val="00B20EA1"/>
    <w:rsid w:val="00B21EDD"/>
    <w:rsid w:val="00B235D1"/>
    <w:rsid w:val="00B251D5"/>
    <w:rsid w:val="00B25280"/>
    <w:rsid w:val="00B262E1"/>
    <w:rsid w:val="00B26F23"/>
    <w:rsid w:val="00B275D6"/>
    <w:rsid w:val="00B2765D"/>
    <w:rsid w:val="00B30BC2"/>
    <w:rsid w:val="00B318AB"/>
    <w:rsid w:val="00B33EE5"/>
    <w:rsid w:val="00B341EA"/>
    <w:rsid w:val="00B34D4B"/>
    <w:rsid w:val="00B34D5B"/>
    <w:rsid w:val="00B35525"/>
    <w:rsid w:val="00B35F45"/>
    <w:rsid w:val="00B363CB"/>
    <w:rsid w:val="00B374B9"/>
    <w:rsid w:val="00B41339"/>
    <w:rsid w:val="00B41A3A"/>
    <w:rsid w:val="00B4326C"/>
    <w:rsid w:val="00B4391C"/>
    <w:rsid w:val="00B43B89"/>
    <w:rsid w:val="00B4417B"/>
    <w:rsid w:val="00B447C8"/>
    <w:rsid w:val="00B450CD"/>
    <w:rsid w:val="00B45505"/>
    <w:rsid w:val="00B4551B"/>
    <w:rsid w:val="00B45FF3"/>
    <w:rsid w:val="00B508E4"/>
    <w:rsid w:val="00B50C9F"/>
    <w:rsid w:val="00B51583"/>
    <w:rsid w:val="00B51A62"/>
    <w:rsid w:val="00B51B0F"/>
    <w:rsid w:val="00B51F0A"/>
    <w:rsid w:val="00B528F9"/>
    <w:rsid w:val="00B52ACC"/>
    <w:rsid w:val="00B52F7E"/>
    <w:rsid w:val="00B5362F"/>
    <w:rsid w:val="00B54D2E"/>
    <w:rsid w:val="00B5545A"/>
    <w:rsid w:val="00B55531"/>
    <w:rsid w:val="00B55B61"/>
    <w:rsid w:val="00B61E92"/>
    <w:rsid w:val="00B625DE"/>
    <w:rsid w:val="00B62C8C"/>
    <w:rsid w:val="00B64025"/>
    <w:rsid w:val="00B6429B"/>
    <w:rsid w:val="00B653F0"/>
    <w:rsid w:val="00B65539"/>
    <w:rsid w:val="00B65932"/>
    <w:rsid w:val="00B66DB3"/>
    <w:rsid w:val="00B67367"/>
    <w:rsid w:val="00B700DC"/>
    <w:rsid w:val="00B70328"/>
    <w:rsid w:val="00B72409"/>
    <w:rsid w:val="00B730B9"/>
    <w:rsid w:val="00B737AB"/>
    <w:rsid w:val="00B73C52"/>
    <w:rsid w:val="00B74B3D"/>
    <w:rsid w:val="00B75612"/>
    <w:rsid w:val="00B76261"/>
    <w:rsid w:val="00B768AC"/>
    <w:rsid w:val="00B77EA5"/>
    <w:rsid w:val="00B82CC5"/>
    <w:rsid w:val="00B833A2"/>
    <w:rsid w:val="00B836B6"/>
    <w:rsid w:val="00B83E03"/>
    <w:rsid w:val="00B84435"/>
    <w:rsid w:val="00B86487"/>
    <w:rsid w:val="00B866C5"/>
    <w:rsid w:val="00B86A42"/>
    <w:rsid w:val="00B87A4A"/>
    <w:rsid w:val="00B90700"/>
    <w:rsid w:val="00B913BF"/>
    <w:rsid w:val="00B9314A"/>
    <w:rsid w:val="00B93639"/>
    <w:rsid w:val="00B94513"/>
    <w:rsid w:val="00B94B2C"/>
    <w:rsid w:val="00B94E8D"/>
    <w:rsid w:val="00B95F0C"/>
    <w:rsid w:val="00B966D7"/>
    <w:rsid w:val="00B96C65"/>
    <w:rsid w:val="00B97826"/>
    <w:rsid w:val="00B97E8B"/>
    <w:rsid w:val="00BA0076"/>
    <w:rsid w:val="00BA0079"/>
    <w:rsid w:val="00BA04AC"/>
    <w:rsid w:val="00BA4C24"/>
    <w:rsid w:val="00BA4D96"/>
    <w:rsid w:val="00BA5D58"/>
    <w:rsid w:val="00BA6AFF"/>
    <w:rsid w:val="00BA6DF5"/>
    <w:rsid w:val="00BA736F"/>
    <w:rsid w:val="00BB078B"/>
    <w:rsid w:val="00BB08AD"/>
    <w:rsid w:val="00BB0A88"/>
    <w:rsid w:val="00BB0D14"/>
    <w:rsid w:val="00BB0DD6"/>
    <w:rsid w:val="00BB0F97"/>
    <w:rsid w:val="00BB1249"/>
    <w:rsid w:val="00BB1811"/>
    <w:rsid w:val="00BB269D"/>
    <w:rsid w:val="00BB3126"/>
    <w:rsid w:val="00BB31E4"/>
    <w:rsid w:val="00BB4B62"/>
    <w:rsid w:val="00BB4ED0"/>
    <w:rsid w:val="00BB662A"/>
    <w:rsid w:val="00BB668E"/>
    <w:rsid w:val="00BB6854"/>
    <w:rsid w:val="00BB6B53"/>
    <w:rsid w:val="00BB79AE"/>
    <w:rsid w:val="00BB7B94"/>
    <w:rsid w:val="00BC02EE"/>
    <w:rsid w:val="00BC035A"/>
    <w:rsid w:val="00BC0976"/>
    <w:rsid w:val="00BC147B"/>
    <w:rsid w:val="00BC1660"/>
    <w:rsid w:val="00BC1933"/>
    <w:rsid w:val="00BC198B"/>
    <w:rsid w:val="00BC22AD"/>
    <w:rsid w:val="00BC2B58"/>
    <w:rsid w:val="00BC354A"/>
    <w:rsid w:val="00BC3BC3"/>
    <w:rsid w:val="00BC40E8"/>
    <w:rsid w:val="00BC410C"/>
    <w:rsid w:val="00BC44E0"/>
    <w:rsid w:val="00BC48AC"/>
    <w:rsid w:val="00BC4BFA"/>
    <w:rsid w:val="00BC5FD0"/>
    <w:rsid w:val="00BC60A1"/>
    <w:rsid w:val="00BC68F5"/>
    <w:rsid w:val="00BC6D20"/>
    <w:rsid w:val="00BC73D4"/>
    <w:rsid w:val="00BC7B84"/>
    <w:rsid w:val="00BD01DB"/>
    <w:rsid w:val="00BD03DB"/>
    <w:rsid w:val="00BD0894"/>
    <w:rsid w:val="00BD1785"/>
    <w:rsid w:val="00BD1A37"/>
    <w:rsid w:val="00BD21A2"/>
    <w:rsid w:val="00BD2EE0"/>
    <w:rsid w:val="00BD33CE"/>
    <w:rsid w:val="00BD35D2"/>
    <w:rsid w:val="00BD3D4E"/>
    <w:rsid w:val="00BD4689"/>
    <w:rsid w:val="00BD4AAA"/>
    <w:rsid w:val="00BD5EFD"/>
    <w:rsid w:val="00BD67B1"/>
    <w:rsid w:val="00BD702F"/>
    <w:rsid w:val="00BD75F6"/>
    <w:rsid w:val="00BD7BB3"/>
    <w:rsid w:val="00BE0A55"/>
    <w:rsid w:val="00BE26FE"/>
    <w:rsid w:val="00BE2E17"/>
    <w:rsid w:val="00BE379B"/>
    <w:rsid w:val="00BE381E"/>
    <w:rsid w:val="00BE3BA2"/>
    <w:rsid w:val="00BE4A3D"/>
    <w:rsid w:val="00BE5E49"/>
    <w:rsid w:val="00BE5F44"/>
    <w:rsid w:val="00BE60FC"/>
    <w:rsid w:val="00BE6F30"/>
    <w:rsid w:val="00BE79DE"/>
    <w:rsid w:val="00BF02D1"/>
    <w:rsid w:val="00BF0CCC"/>
    <w:rsid w:val="00BF1357"/>
    <w:rsid w:val="00BF1F5D"/>
    <w:rsid w:val="00BF2361"/>
    <w:rsid w:val="00BF2ACB"/>
    <w:rsid w:val="00BF36A6"/>
    <w:rsid w:val="00BF3DD2"/>
    <w:rsid w:val="00BF44C7"/>
    <w:rsid w:val="00BF4B82"/>
    <w:rsid w:val="00BF59C3"/>
    <w:rsid w:val="00BF5A37"/>
    <w:rsid w:val="00BF615E"/>
    <w:rsid w:val="00BF65F9"/>
    <w:rsid w:val="00BF6BE0"/>
    <w:rsid w:val="00BF6E3B"/>
    <w:rsid w:val="00BF72BF"/>
    <w:rsid w:val="00C00706"/>
    <w:rsid w:val="00C0144F"/>
    <w:rsid w:val="00C018AC"/>
    <w:rsid w:val="00C018AF"/>
    <w:rsid w:val="00C01B67"/>
    <w:rsid w:val="00C02383"/>
    <w:rsid w:val="00C0350E"/>
    <w:rsid w:val="00C0404E"/>
    <w:rsid w:val="00C0432E"/>
    <w:rsid w:val="00C046ED"/>
    <w:rsid w:val="00C04FA7"/>
    <w:rsid w:val="00C051D4"/>
    <w:rsid w:val="00C0795F"/>
    <w:rsid w:val="00C07C48"/>
    <w:rsid w:val="00C10381"/>
    <w:rsid w:val="00C10970"/>
    <w:rsid w:val="00C127FE"/>
    <w:rsid w:val="00C1341B"/>
    <w:rsid w:val="00C139E5"/>
    <w:rsid w:val="00C157DB"/>
    <w:rsid w:val="00C163ED"/>
    <w:rsid w:val="00C16A5A"/>
    <w:rsid w:val="00C17469"/>
    <w:rsid w:val="00C1751F"/>
    <w:rsid w:val="00C1783A"/>
    <w:rsid w:val="00C20342"/>
    <w:rsid w:val="00C20B8C"/>
    <w:rsid w:val="00C21972"/>
    <w:rsid w:val="00C21F9E"/>
    <w:rsid w:val="00C23A55"/>
    <w:rsid w:val="00C24898"/>
    <w:rsid w:val="00C2504B"/>
    <w:rsid w:val="00C259B8"/>
    <w:rsid w:val="00C25A5A"/>
    <w:rsid w:val="00C25CD8"/>
    <w:rsid w:val="00C26F7E"/>
    <w:rsid w:val="00C27E63"/>
    <w:rsid w:val="00C302A0"/>
    <w:rsid w:val="00C30705"/>
    <w:rsid w:val="00C31031"/>
    <w:rsid w:val="00C3151A"/>
    <w:rsid w:val="00C3182E"/>
    <w:rsid w:val="00C32A46"/>
    <w:rsid w:val="00C335D8"/>
    <w:rsid w:val="00C33BAE"/>
    <w:rsid w:val="00C3644F"/>
    <w:rsid w:val="00C37075"/>
    <w:rsid w:val="00C37AA8"/>
    <w:rsid w:val="00C40C53"/>
    <w:rsid w:val="00C40F0A"/>
    <w:rsid w:val="00C41629"/>
    <w:rsid w:val="00C41E44"/>
    <w:rsid w:val="00C42352"/>
    <w:rsid w:val="00C42F4F"/>
    <w:rsid w:val="00C431EE"/>
    <w:rsid w:val="00C439DA"/>
    <w:rsid w:val="00C43CA0"/>
    <w:rsid w:val="00C44273"/>
    <w:rsid w:val="00C44BD3"/>
    <w:rsid w:val="00C452A9"/>
    <w:rsid w:val="00C455ED"/>
    <w:rsid w:val="00C45CA7"/>
    <w:rsid w:val="00C45E75"/>
    <w:rsid w:val="00C4675E"/>
    <w:rsid w:val="00C46F23"/>
    <w:rsid w:val="00C5019A"/>
    <w:rsid w:val="00C516FD"/>
    <w:rsid w:val="00C52A2E"/>
    <w:rsid w:val="00C53CC1"/>
    <w:rsid w:val="00C54211"/>
    <w:rsid w:val="00C542EE"/>
    <w:rsid w:val="00C54550"/>
    <w:rsid w:val="00C546E4"/>
    <w:rsid w:val="00C54A33"/>
    <w:rsid w:val="00C54CE4"/>
    <w:rsid w:val="00C5678F"/>
    <w:rsid w:val="00C574AB"/>
    <w:rsid w:val="00C57F47"/>
    <w:rsid w:val="00C61496"/>
    <w:rsid w:val="00C62193"/>
    <w:rsid w:val="00C63060"/>
    <w:rsid w:val="00C63371"/>
    <w:rsid w:val="00C636FE"/>
    <w:rsid w:val="00C637B7"/>
    <w:rsid w:val="00C63BB4"/>
    <w:rsid w:val="00C64F74"/>
    <w:rsid w:val="00C6598D"/>
    <w:rsid w:val="00C669E0"/>
    <w:rsid w:val="00C705D3"/>
    <w:rsid w:val="00C7150D"/>
    <w:rsid w:val="00C71575"/>
    <w:rsid w:val="00C722A8"/>
    <w:rsid w:val="00C726A1"/>
    <w:rsid w:val="00C72BED"/>
    <w:rsid w:val="00C7499C"/>
    <w:rsid w:val="00C749E4"/>
    <w:rsid w:val="00C7549A"/>
    <w:rsid w:val="00C76DAC"/>
    <w:rsid w:val="00C76FFB"/>
    <w:rsid w:val="00C77043"/>
    <w:rsid w:val="00C771DE"/>
    <w:rsid w:val="00C77AD0"/>
    <w:rsid w:val="00C80169"/>
    <w:rsid w:val="00C809C1"/>
    <w:rsid w:val="00C8124F"/>
    <w:rsid w:val="00C81CF8"/>
    <w:rsid w:val="00C831E4"/>
    <w:rsid w:val="00C836AA"/>
    <w:rsid w:val="00C84C2C"/>
    <w:rsid w:val="00C85A21"/>
    <w:rsid w:val="00C86397"/>
    <w:rsid w:val="00C86634"/>
    <w:rsid w:val="00C86677"/>
    <w:rsid w:val="00C87177"/>
    <w:rsid w:val="00C874D9"/>
    <w:rsid w:val="00C87516"/>
    <w:rsid w:val="00C87E49"/>
    <w:rsid w:val="00C9078D"/>
    <w:rsid w:val="00C91A43"/>
    <w:rsid w:val="00C92FD3"/>
    <w:rsid w:val="00C937B5"/>
    <w:rsid w:val="00C93B03"/>
    <w:rsid w:val="00C93D77"/>
    <w:rsid w:val="00C93D97"/>
    <w:rsid w:val="00C946B5"/>
    <w:rsid w:val="00C95BF9"/>
    <w:rsid w:val="00C961EB"/>
    <w:rsid w:val="00C96760"/>
    <w:rsid w:val="00C9780D"/>
    <w:rsid w:val="00C97C8B"/>
    <w:rsid w:val="00C97F04"/>
    <w:rsid w:val="00CA02F5"/>
    <w:rsid w:val="00CA0DEF"/>
    <w:rsid w:val="00CA11D8"/>
    <w:rsid w:val="00CA1718"/>
    <w:rsid w:val="00CA199D"/>
    <w:rsid w:val="00CA22A6"/>
    <w:rsid w:val="00CA26F9"/>
    <w:rsid w:val="00CA2711"/>
    <w:rsid w:val="00CA36D4"/>
    <w:rsid w:val="00CA3BBF"/>
    <w:rsid w:val="00CA3CBB"/>
    <w:rsid w:val="00CA3EE2"/>
    <w:rsid w:val="00CA41F7"/>
    <w:rsid w:val="00CA60B3"/>
    <w:rsid w:val="00CA6E64"/>
    <w:rsid w:val="00CA7C15"/>
    <w:rsid w:val="00CB0163"/>
    <w:rsid w:val="00CB1DC6"/>
    <w:rsid w:val="00CB32A2"/>
    <w:rsid w:val="00CB32BF"/>
    <w:rsid w:val="00CB3478"/>
    <w:rsid w:val="00CB36D5"/>
    <w:rsid w:val="00CB3811"/>
    <w:rsid w:val="00CB682D"/>
    <w:rsid w:val="00CC0AEE"/>
    <w:rsid w:val="00CC114D"/>
    <w:rsid w:val="00CC1FBA"/>
    <w:rsid w:val="00CC22EB"/>
    <w:rsid w:val="00CC300F"/>
    <w:rsid w:val="00CC32D2"/>
    <w:rsid w:val="00CC3B4E"/>
    <w:rsid w:val="00CC3C1F"/>
    <w:rsid w:val="00CC4392"/>
    <w:rsid w:val="00CC4CC5"/>
    <w:rsid w:val="00CC4D58"/>
    <w:rsid w:val="00CC53D6"/>
    <w:rsid w:val="00CC590E"/>
    <w:rsid w:val="00CC5D36"/>
    <w:rsid w:val="00CC5ED3"/>
    <w:rsid w:val="00CC6298"/>
    <w:rsid w:val="00CC6FDF"/>
    <w:rsid w:val="00CC7759"/>
    <w:rsid w:val="00CC7A3C"/>
    <w:rsid w:val="00CD0094"/>
    <w:rsid w:val="00CD01F9"/>
    <w:rsid w:val="00CD0EFA"/>
    <w:rsid w:val="00CD0F10"/>
    <w:rsid w:val="00CD173E"/>
    <w:rsid w:val="00CD23C2"/>
    <w:rsid w:val="00CD276C"/>
    <w:rsid w:val="00CD2865"/>
    <w:rsid w:val="00CD3023"/>
    <w:rsid w:val="00CD5AE0"/>
    <w:rsid w:val="00CD7409"/>
    <w:rsid w:val="00CD771C"/>
    <w:rsid w:val="00CD7CCD"/>
    <w:rsid w:val="00CD7E3E"/>
    <w:rsid w:val="00CE0587"/>
    <w:rsid w:val="00CE15AD"/>
    <w:rsid w:val="00CE1B91"/>
    <w:rsid w:val="00CE1C4E"/>
    <w:rsid w:val="00CE2BCD"/>
    <w:rsid w:val="00CE32A3"/>
    <w:rsid w:val="00CE3336"/>
    <w:rsid w:val="00CE33CE"/>
    <w:rsid w:val="00CF0257"/>
    <w:rsid w:val="00CF042D"/>
    <w:rsid w:val="00CF0C21"/>
    <w:rsid w:val="00CF0D3E"/>
    <w:rsid w:val="00CF12A8"/>
    <w:rsid w:val="00CF1574"/>
    <w:rsid w:val="00CF1EC5"/>
    <w:rsid w:val="00CF2587"/>
    <w:rsid w:val="00CF3DC0"/>
    <w:rsid w:val="00CF43FC"/>
    <w:rsid w:val="00CF512E"/>
    <w:rsid w:val="00CF550B"/>
    <w:rsid w:val="00CF67AB"/>
    <w:rsid w:val="00CF6A32"/>
    <w:rsid w:val="00CF6C41"/>
    <w:rsid w:val="00CF73F2"/>
    <w:rsid w:val="00CF7C33"/>
    <w:rsid w:val="00D00ACB"/>
    <w:rsid w:val="00D01E99"/>
    <w:rsid w:val="00D033A1"/>
    <w:rsid w:val="00D036C9"/>
    <w:rsid w:val="00D03FF7"/>
    <w:rsid w:val="00D040E8"/>
    <w:rsid w:val="00D04C3B"/>
    <w:rsid w:val="00D04DD5"/>
    <w:rsid w:val="00D05CAA"/>
    <w:rsid w:val="00D064F8"/>
    <w:rsid w:val="00D06D32"/>
    <w:rsid w:val="00D07F16"/>
    <w:rsid w:val="00D10BF6"/>
    <w:rsid w:val="00D13C6B"/>
    <w:rsid w:val="00D13F74"/>
    <w:rsid w:val="00D142B7"/>
    <w:rsid w:val="00D155EE"/>
    <w:rsid w:val="00D15715"/>
    <w:rsid w:val="00D163C7"/>
    <w:rsid w:val="00D1738F"/>
    <w:rsid w:val="00D178EC"/>
    <w:rsid w:val="00D17D24"/>
    <w:rsid w:val="00D20A4F"/>
    <w:rsid w:val="00D20A6A"/>
    <w:rsid w:val="00D214EE"/>
    <w:rsid w:val="00D21757"/>
    <w:rsid w:val="00D223EF"/>
    <w:rsid w:val="00D2354A"/>
    <w:rsid w:val="00D240B8"/>
    <w:rsid w:val="00D26885"/>
    <w:rsid w:val="00D26F78"/>
    <w:rsid w:val="00D2756B"/>
    <w:rsid w:val="00D27CA1"/>
    <w:rsid w:val="00D309C9"/>
    <w:rsid w:val="00D30CEC"/>
    <w:rsid w:val="00D31837"/>
    <w:rsid w:val="00D3268E"/>
    <w:rsid w:val="00D330D5"/>
    <w:rsid w:val="00D331E1"/>
    <w:rsid w:val="00D335C1"/>
    <w:rsid w:val="00D33985"/>
    <w:rsid w:val="00D33A97"/>
    <w:rsid w:val="00D33B78"/>
    <w:rsid w:val="00D344B6"/>
    <w:rsid w:val="00D3472E"/>
    <w:rsid w:val="00D35678"/>
    <w:rsid w:val="00D366B0"/>
    <w:rsid w:val="00D36F8A"/>
    <w:rsid w:val="00D37444"/>
    <w:rsid w:val="00D40313"/>
    <w:rsid w:val="00D406B3"/>
    <w:rsid w:val="00D40733"/>
    <w:rsid w:val="00D40831"/>
    <w:rsid w:val="00D40E41"/>
    <w:rsid w:val="00D40E8C"/>
    <w:rsid w:val="00D40E99"/>
    <w:rsid w:val="00D416B4"/>
    <w:rsid w:val="00D41890"/>
    <w:rsid w:val="00D42654"/>
    <w:rsid w:val="00D4296B"/>
    <w:rsid w:val="00D42E2E"/>
    <w:rsid w:val="00D43E93"/>
    <w:rsid w:val="00D44DCD"/>
    <w:rsid w:val="00D4551A"/>
    <w:rsid w:val="00D46986"/>
    <w:rsid w:val="00D4707C"/>
    <w:rsid w:val="00D475E4"/>
    <w:rsid w:val="00D4794F"/>
    <w:rsid w:val="00D50064"/>
    <w:rsid w:val="00D501C6"/>
    <w:rsid w:val="00D505FB"/>
    <w:rsid w:val="00D50864"/>
    <w:rsid w:val="00D50FBF"/>
    <w:rsid w:val="00D51B08"/>
    <w:rsid w:val="00D529E0"/>
    <w:rsid w:val="00D52D4A"/>
    <w:rsid w:val="00D531F9"/>
    <w:rsid w:val="00D53A8F"/>
    <w:rsid w:val="00D5419C"/>
    <w:rsid w:val="00D54205"/>
    <w:rsid w:val="00D558DF"/>
    <w:rsid w:val="00D55ADF"/>
    <w:rsid w:val="00D55F7E"/>
    <w:rsid w:val="00D56653"/>
    <w:rsid w:val="00D600AB"/>
    <w:rsid w:val="00D605F4"/>
    <w:rsid w:val="00D616B2"/>
    <w:rsid w:val="00D624F3"/>
    <w:rsid w:val="00D62793"/>
    <w:rsid w:val="00D62983"/>
    <w:rsid w:val="00D62B02"/>
    <w:rsid w:val="00D62B63"/>
    <w:rsid w:val="00D63230"/>
    <w:rsid w:val="00D63242"/>
    <w:rsid w:val="00D64D83"/>
    <w:rsid w:val="00D64E8F"/>
    <w:rsid w:val="00D64F8A"/>
    <w:rsid w:val="00D65FE3"/>
    <w:rsid w:val="00D66CA0"/>
    <w:rsid w:val="00D66CE4"/>
    <w:rsid w:val="00D66E26"/>
    <w:rsid w:val="00D67E46"/>
    <w:rsid w:val="00D7019D"/>
    <w:rsid w:val="00D714E4"/>
    <w:rsid w:val="00D725DA"/>
    <w:rsid w:val="00D72606"/>
    <w:rsid w:val="00D729A8"/>
    <w:rsid w:val="00D72FE4"/>
    <w:rsid w:val="00D73AE0"/>
    <w:rsid w:val="00D7481B"/>
    <w:rsid w:val="00D74E29"/>
    <w:rsid w:val="00D7505F"/>
    <w:rsid w:val="00D755CD"/>
    <w:rsid w:val="00D75789"/>
    <w:rsid w:val="00D76252"/>
    <w:rsid w:val="00D76885"/>
    <w:rsid w:val="00D76C32"/>
    <w:rsid w:val="00D80189"/>
    <w:rsid w:val="00D806D0"/>
    <w:rsid w:val="00D81790"/>
    <w:rsid w:val="00D8189C"/>
    <w:rsid w:val="00D82224"/>
    <w:rsid w:val="00D82E53"/>
    <w:rsid w:val="00D844E3"/>
    <w:rsid w:val="00D8491C"/>
    <w:rsid w:val="00D87C7A"/>
    <w:rsid w:val="00D87EC8"/>
    <w:rsid w:val="00D87F19"/>
    <w:rsid w:val="00D91683"/>
    <w:rsid w:val="00D92521"/>
    <w:rsid w:val="00D9472A"/>
    <w:rsid w:val="00D948A6"/>
    <w:rsid w:val="00D95427"/>
    <w:rsid w:val="00D95612"/>
    <w:rsid w:val="00D95F88"/>
    <w:rsid w:val="00D96EAA"/>
    <w:rsid w:val="00D97279"/>
    <w:rsid w:val="00D972EF"/>
    <w:rsid w:val="00D976FC"/>
    <w:rsid w:val="00D9777D"/>
    <w:rsid w:val="00D97C3B"/>
    <w:rsid w:val="00D97F2C"/>
    <w:rsid w:val="00DA00CC"/>
    <w:rsid w:val="00DA0621"/>
    <w:rsid w:val="00DA0FED"/>
    <w:rsid w:val="00DA12CC"/>
    <w:rsid w:val="00DA1399"/>
    <w:rsid w:val="00DA14DC"/>
    <w:rsid w:val="00DA1CB2"/>
    <w:rsid w:val="00DA2A4A"/>
    <w:rsid w:val="00DA3194"/>
    <w:rsid w:val="00DA4632"/>
    <w:rsid w:val="00DA5033"/>
    <w:rsid w:val="00DA5F18"/>
    <w:rsid w:val="00DA75BF"/>
    <w:rsid w:val="00DA7839"/>
    <w:rsid w:val="00DA7EF2"/>
    <w:rsid w:val="00DB0A9F"/>
    <w:rsid w:val="00DB16AD"/>
    <w:rsid w:val="00DB1A31"/>
    <w:rsid w:val="00DB1C1B"/>
    <w:rsid w:val="00DB1CE0"/>
    <w:rsid w:val="00DB2506"/>
    <w:rsid w:val="00DB2C4E"/>
    <w:rsid w:val="00DB2E93"/>
    <w:rsid w:val="00DB3770"/>
    <w:rsid w:val="00DB39C3"/>
    <w:rsid w:val="00DB4688"/>
    <w:rsid w:val="00DB51DA"/>
    <w:rsid w:val="00DB56D4"/>
    <w:rsid w:val="00DB5D56"/>
    <w:rsid w:val="00DB6230"/>
    <w:rsid w:val="00DB74E0"/>
    <w:rsid w:val="00DB7A08"/>
    <w:rsid w:val="00DC0131"/>
    <w:rsid w:val="00DC0290"/>
    <w:rsid w:val="00DC02D0"/>
    <w:rsid w:val="00DC15C0"/>
    <w:rsid w:val="00DC190D"/>
    <w:rsid w:val="00DC2590"/>
    <w:rsid w:val="00DC2B10"/>
    <w:rsid w:val="00DC2DF5"/>
    <w:rsid w:val="00DC2EC3"/>
    <w:rsid w:val="00DC4237"/>
    <w:rsid w:val="00DC493D"/>
    <w:rsid w:val="00DC5A81"/>
    <w:rsid w:val="00DC5F18"/>
    <w:rsid w:val="00DC7090"/>
    <w:rsid w:val="00DC794C"/>
    <w:rsid w:val="00DC7E1D"/>
    <w:rsid w:val="00DD0CE5"/>
    <w:rsid w:val="00DD232E"/>
    <w:rsid w:val="00DD25BC"/>
    <w:rsid w:val="00DD3217"/>
    <w:rsid w:val="00DD5111"/>
    <w:rsid w:val="00DD5DE6"/>
    <w:rsid w:val="00DD61A9"/>
    <w:rsid w:val="00DD650B"/>
    <w:rsid w:val="00DD659A"/>
    <w:rsid w:val="00DD65E2"/>
    <w:rsid w:val="00DD69B4"/>
    <w:rsid w:val="00DD76EE"/>
    <w:rsid w:val="00DD7FFB"/>
    <w:rsid w:val="00DE08E6"/>
    <w:rsid w:val="00DE0F49"/>
    <w:rsid w:val="00DE0F85"/>
    <w:rsid w:val="00DE1041"/>
    <w:rsid w:val="00DE12CD"/>
    <w:rsid w:val="00DE21CB"/>
    <w:rsid w:val="00DE406B"/>
    <w:rsid w:val="00DE4636"/>
    <w:rsid w:val="00DE571D"/>
    <w:rsid w:val="00DE580F"/>
    <w:rsid w:val="00DE5C5C"/>
    <w:rsid w:val="00DE640D"/>
    <w:rsid w:val="00DE6C8A"/>
    <w:rsid w:val="00DE7123"/>
    <w:rsid w:val="00DE7CB0"/>
    <w:rsid w:val="00DE7E13"/>
    <w:rsid w:val="00DF14DF"/>
    <w:rsid w:val="00DF20A4"/>
    <w:rsid w:val="00DF2115"/>
    <w:rsid w:val="00DF5524"/>
    <w:rsid w:val="00DF557A"/>
    <w:rsid w:val="00DF6C91"/>
    <w:rsid w:val="00DF6FA2"/>
    <w:rsid w:val="00DF71CF"/>
    <w:rsid w:val="00DF76B7"/>
    <w:rsid w:val="00DF7803"/>
    <w:rsid w:val="00DF7AFE"/>
    <w:rsid w:val="00DF7EB9"/>
    <w:rsid w:val="00E0070F"/>
    <w:rsid w:val="00E01212"/>
    <w:rsid w:val="00E01574"/>
    <w:rsid w:val="00E01652"/>
    <w:rsid w:val="00E01F09"/>
    <w:rsid w:val="00E01FAC"/>
    <w:rsid w:val="00E023B7"/>
    <w:rsid w:val="00E0291D"/>
    <w:rsid w:val="00E0316F"/>
    <w:rsid w:val="00E03941"/>
    <w:rsid w:val="00E03AEC"/>
    <w:rsid w:val="00E03B42"/>
    <w:rsid w:val="00E03DEF"/>
    <w:rsid w:val="00E03F76"/>
    <w:rsid w:val="00E0455F"/>
    <w:rsid w:val="00E04A71"/>
    <w:rsid w:val="00E04F97"/>
    <w:rsid w:val="00E055B6"/>
    <w:rsid w:val="00E064B2"/>
    <w:rsid w:val="00E06852"/>
    <w:rsid w:val="00E10038"/>
    <w:rsid w:val="00E104BC"/>
    <w:rsid w:val="00E10757"/>
    <w:rsid w:val="00E13828"/>
    <w:rsid w:val="00E1568B"/>
    <w:rsid w:val="00E1568F"/>
    <w:rsid w:val="00E17EB5"/>
    <w:rsid w:val="00E17F01"/>
    <w:rsid w:val="00E20D56"/>
    <w:rsid w:val="00E20FE6"/>
    <w:rsid w:val="00E21729"/>
    <w:rsid w:val="00E21E6D"/>
    <w:rsid w:val="00E22010"/>
    <w:rsid w:val="00E22EA3"/>
    <w:rsid w:val="00E2406E"/>
    <w:rsid w:val="00E2456A"/>
    <w:rsid w:val="00E273A0"/>
    <w:rsid w:val="00E300ED"/>
    <w:rsid w:val="00E3070B"/>
    <w:rsid w:val="00E3112A"/>
    <w:rsid w:val="00E319A5"/>
    <w:rsid w:val="00E32A94"/>
    <w:rsid w:val="00E32E4D"/>
    <w:rsid w:val="00E3321E"/>
    <w:rsid w:val="00E3390E"/>
    <w:rsid w:val="00E33F71"/>
    <w:rsid w:val="00E343B1"/>
    <w:rsid w:val="00E34784"/>
    <w:rsid w:val="00E34EDD"/>
    <w:rsid w:val="00E3533B"/>
    <w:rsid w:val="00E35D64"/>
    <w:rsid w:val="00E3705E"/>
    <w:rsid w:val="00E37783"/>
    <w:rsid w:val="00E37829"/>
    <w:rsid w:val="00E37BED"/>
    <w:rsid w:val="00E37E7A"/>
    <w:rsid w:val="00E4328A"/>
    <w:rsid w:val="00E436F1"/>
    <w:rsid w:val="00E442CB"/>
    <w:rsid w:val="00E44A76"/>
    <w:rsid w:val="00E45235"/>
    <w:rsid w:val="00E45687"/>
    <w:rsid w:val="00E461BE"/>
    <w:rsid w:val="00E46771"/>
    <w:rsid w:val="00E47503"/>
    <w:rsid w:val="00E50139"/>
    <w:rsid w:val="00E51B2D"/>
    <w:rsid w:val="00E52F93"/>
    <w:rsid w:val="00E541EB"/>
    <w:rsid w:val="00E542B7"/>
    <w:rsid w:val="00E54AB0"/>
    <w:rsid w:val="00E5607E"/>
    <w:rsid w:val="00E560B5"/>
    <w:rsid w:val="00E57BB4"/>
    <w:rsid w:val="00E60F28"/>
    <w:rsid w:val="00E6227C"/>
    <w:rsid w:val="00E62DD1"/>
    <w:rsid w:val="00E64676"/>
    <w:rsid w:val="00E64789"/>
    <w:rsid w:val="00E6498D"/>
    <w:rsid w:val="00E650E3"/>
    <w:rsid w:val="00E662EB"/>
    <w:rsid w:val="00E67B42"/>
    <w:rsid w:val="00E7064A"/>
    <w:rsid w:val="00E70863"/>
    <w:rsid w:val="00E71121"/>
    <w:rsid w:val="00E73B94"/>
    <w:rsid w:val="00E73CDF"/>
    <w:rsid w:val="00E75382"/>
    <w:rsid w:val="00E75BD8"/>
    <w:rsid w:val="00E76464"/>
    <w:rsid w:val="00E800E8"/>
    <w:rsid w:val="00E80988"/>
    <w:rsid w:val="00E80F84"/>
    <w:rsid w:val="00E813D8"/>
    <w:rsid w:val="00E8260C"/>
    <w:rsid w:val="00E82C40"/>
    <w:rsid w:val="00E83BAB"/>
    <w:rsid w:val="00E855AB"/>
    <w:rsid w:val="00E86124"/>
    <w:rsid w:val="00E86687"/>
    <w:rsid w:val="00E87355"/>
    <w:rsid w:val="00E913E4"/>
    <w:rsid w:val="00E91F2D"/>
    <w:rsid w:val="00E92A9D"/>
    <w:rsid w:val="00E92CBF"/>
    <w:rsid w:val="00E932D1"/>
    <w:rsid w:val="00E93EF7"/>
    <w:rsid w:val="00E94433"/>
    <w:rsid w:val="00E94A92"/>
    <w:rsid w:val="00E94D2A"/>
    <w:rsid w:val="00E95C25"/>
    <w:rsid w:val="00E960AE"/>
    <w:rsid w:val="00E96128"/>
    <w:rsid w:val="00E9646F"/>
    <w:rsid w:val="00E96D1A"/>
    <w:rsid w:val="00E97628"/>
    <w:rsid w:val="00E977C5"/>
    <w:rsid w:val="00EA03E2"/>
    <w:rsid w:val="00EA0713"/>
    <w:rsid w:val="00EA17A2"/>
    <w:rsid w:val="00EA188F"/>
    <w:rsid w:val="00EA214F"/>
    <w:rsid w:val="00EA21CE"/>
    <w:rsid w:val="00EA285A"/>
    <w:rsid w:val="00EA410A"/>
    <w:rsid w:val="00EA43E5"/>
    <w:rsid w:val="00EA4A4E"/>
    <w:rsid w:val="00EA5321"/>
    <w:rsid w:val="00EA58FA"/>
    <w:rsid w:val="00EA5ED3"/>
    <w:rsid w:val="00EA6626"/>
    <w:rsid w:val="00EA668C"/>
    <w:rsid w:val="00EB00B0"/>
    <w:rsid w:val="00EB0579"/>
    <w:rsid w:val="00EB2229"/>
    <w:rsid w:val="00EB2E67"/>
    <w:rsid w:val="00EB3CE2"/>
    <w:rsid w:val="00EB3DA6"/>
    <w:rsid w:val="00EB461D"/>
    <w:rsid w:val="00EB46D9"/>
    <w:rsid w:val="00EB476D"/>
    <w:rsid w:val="00EB57EA"/>
    <w:rsid w:val="00EB5855"/>
    <w:rsid w:val="00EB7ADF"/>
    <w:rsid w:val="00EC0BE7"/>
    <w:rsid w:val="00EC1147"/>
    <w:rsid w:val="00EC1501"/>
    <w:rsid w:val="00EC1A07"/>
    <w:rsid w:val="00EC1A2D"/>
    <w:rsid w:val="00EC24B6"/>
    <w:rsid w:val="00EC2E4A"/>
    <w:rsid w:val="00EC3255"/>
    <w:rsid w:val="00EC36A9"/>
    <w:rsid w:val="00EC38ED"/>
    <w:rsid w:val="00EC4073"/>
    <w:rsid w:val="00EC4954"/>
    <w:rsid w:val="00EC503E"/>
    <w:rsid w:val="00EC5604"/>
    <w:rsid w:val="00EC57FE"/>
    <w:rsid w:val="00EC5F3D"/>
    <w:rsid w:val="00EC6634"/>
    <w:rsid w:val="00EC693B"/>
    <w:rsid w:val="00EC7A8E"/>
    <w:rsid w:val="00EC7B09"/>
    <w:rsid w:val="00ED0518"/>
    <w:rsid w:val="00ED062F"/>
    <w:rsid w:val="00ED08A7"/>
    <w:rsid w:val="00ED2018"/>
    <w:rsid w:val="00ED39D0"/>
    <w:rsid w:val="00ED4809"/>
    <w:rsid w:val="00ED4DF6"/>
    <w:rsid w:val="00ED5283"/>
    <w:rsid w:val="00ED72BB"/>
    <w:rsid w:val="00ED7A86"/>
    <w:rsid w:val="00ED7DC4"/>
    <w:rsid w:val="00EE2091"/>
    <w:rsid w:val="00EE219F"/>
    <w:rsid w:val="00EE3D8F"/>
    <w:rsid w:val="00EE40BF"/>
    <w:rsid w:val="00EE4851"/>
    <w:rsid w:val="00EE51B5"/>
    <w:rsid w:val="00EE62BE"/>
    <w:rsid w:val="00EE63BD"/>
    <w:rsid w:val="00EE7671"/>
    <w:rsid w:val="00EE7AA7"/>
    <w:rsid w:val="00EF0F48"/>
    <w:rsid w:val="00EF16AD"/>
    <w:rsid w:val="00EF278B"/>
    <w:rsid w:val="00EF2F0A"/>
    <w:rsid w:val="00EF3512"/>
    <w:rsid w:val="00EF376F"/>
    <w:rsid w:val="00EF4003"/>
    <w:rsid w:val="00EF5741"/>
    <w:rsid w:val="00F00A4C"/>
    <w:rsid w:val="00F01167"/>
    <w:rsid w:val="00F013F3"/>
    <w:rsid w:val="00F02425"/>
    <w:rsid w:val="00F02467"/>
    <w:rsid w:val="00F02D7E"/>
    <w:rsid w:val="00F0312E"/>
    <w:rsid w:val="00F036B1"/>
    <w:rsid w:val="00F0396F"/>
    <w:rsid w:val="00F0485C"/>
    <w:rsid w:val="00F04A7F"/>
    <w:rsid w:val="00F056E2"/>
    <w:rsid w:val="00F057F2"/>
    <w:rsid w:val="00F05955"/>
    <w:rsid w:val="00F06C12"/>
    <w:rsid w:val="00F06F6C"/>
    <w:rsid w:val="00F0772F"/>
    <w:rsid w:val="00F1022F"/>
    <w:rsid w:val="00F1059E"/>
    <w:rsid w:val="00F1061A"/>
    <w:rsid w:val="00F10774"/>
    <w:rsid w:val="00F109B2"/>
    <w:rsid w:val="00F10F94"/>
    <w:rsid w:val="00F13BC6"/>
    <w:rsid w:val="00F1429F"/>
    <w:rsid w:val="00F1441F"/>
    <w:rsid w:val="00F144B5"/>
    <w:rsid w:val="00F154B3"/>
    <w:rsid w:val="00F1619E"/>
    <w:rsid w:val="00F16566"/>
    <w:rsid w:val="00F16FD3"/>
    <w:rsid w:val="00F21284"/>
    <w:rsid w:val="00F224E5"/>
    <w:rsid w:val="00F225BD"/>
    <w:rsid w:val="00F22D18"/>
    <w:rsid w:val="00F23DD7"/>
    <w:rsid w:val="00F24187"/>
    <w:rsid w:val="00F243D3"/>
    <w:rsid w:val="00F24BDD"/>
    <w:rsid w:val="00F255D7"/>
    <w:rsid w:val="00F2582E"/>
    <w:rsid w:val="00F259FA"/>
    <w:rsid w:val="00F25F53"/>
    <w:rsid w:val="00F26418"/>
    <w:rsid w:val="00F275DA"/>
    <w:rsid w:val="00F279A8"/>
    <w:rsid w:val="00F27B8C"/>
    <w:rsid w:val="00F301DA"/>
    <w:rsid w:val="00F30475"/>
    <w:rsid w:val="00F30B4C"/>
    <w:rsid w:val="00F313FD"/>
    <w:rsid w:val="00F33050"/>
    <w:rsid w:val="00F3360D"/>
    <w:rsid w:val="00F340F8"/>
    <w:rsid w:val="00F3518D"/>
    <w:rsid w:val="00F35CDB"/>
    <w:rsid w:val="00F36725"/>
    <w:rsid w:val="00F36A06"/>
    <w:rsid w:val="00F36A6D"/>
    <w:rsid w:val="00F3737F"/>
    <w:rsid w:val="00F37394"/>
    <w:rsid w:val="00F376D1"/>
    <w:rsid w:val="00F37DA2"/>
    <w:rsid w:val="00F403CB"/>
    <w:rsid w:val="00F40410"/>
    <w:rsid w:val="00F41540"/>
    <w:rsid w:val="00F41D40"/>
    <w:rsid w:val="00F421D1"/>
    <w:rsid w:val="00F42555"/>
    <w:rsid w:val="00F43478"/>
    <w:rsid w:val="00F43ACC"/>
    <w:rsid w:val="00F45824"/>
    <w:rsid w:val="00F45B4D"/>
    <w:rsid w:val="00F46229"/>
    <w:rsid w:val="00F46A1E"/>
    <w:rsid w:val="00F46DD5"/>
    <w:rsid w:val="00F46F27"/>
    <w:rsid w:val="00F50D41"/>
    <w:rsid w:val="00F5118C"/>
    <w:rsid w:val="00F514AA"/>
    <w:rsid w:val="00F528EC"/>
    <w:rsid w:val="00F52D39"/>
    <w:rsid w:val="00F52D80"/>
    <w:rsid w:val="00F52E7A"/>
    <w:rsid w:val="00F53202"/>
    <w:rsid w:val="00F532EA"/>
    <w:rsid w:val="00F53629"/>
    <w:rsid w:val="00F537D5"/>
    <w:rsid w:val="00F5459F"/>
    <w:rsid w:val="00F55D4D"/>
    <w:rsid w:val="00F569E5"/>
    <w:rsid w:val="00F5707E"/>
    <w:rsid w:val="00F570F8"/>
    <w:rsid w:val="00F5719D"/>
    <w:rsid w:val="00F57966"/>
    <w:rsid w:val="00F6020E"/>
    <w:rsid w:val="00F6085F"/>
    <w:rsid w:val="00F61889"/>
    <w:rsid w:val="00F63EBD"/>
    <w:rsid w:val="00F641CB"/>
    <w:rsid w:val="00F64D1A"/>
    <w:rsid w:val="00F64F9A"/>
    <w:rsid w:val="00F65476"/>
    <w:rsid w:val="00F65781"/>
    <w:rsid w:val="00F664E9"/>
    <w:rsid w:val="00F668EA"/>
    <w:rsid w:val="00F66EF2"/>
    <w:rsid w:val="00F67ABF"/>
    <w:rsid w:val="00F7053E"/>
    <w:rsid w:val="00F708B7"/>
    <w:rsid w:val="00F70AAD"/>
    <w:rsid w:val="00F713AF"/>
    <w:rsid w:val="00F72AA5"/>
    <w:rsid w:val="00F731D7"/>
    <w:rsid w:val="00F73B6E"/>
    <w:rsid w:val="00F743EF"/>
    <w:rsid w:val="00F75B3F"/>
    <w:rsid w:val="00F76FEF"/>
    <w:rsid w:val="00F77103"/>
    <w:rsid w:val="00F77534"/>
    <w:rsid w:val="00F777B9"/>
    <w:rsid w:val="00F77BC5"/>
    <w:rsid w:val="00F818D4"/>
    <w:rsid w:val="00F82119"/>
    <w:rsid w:val="00F86F95"/>
    <w:rsid w:val="00F873D3"/>
    <w:rsid w:val="00F90007"/>
    <w:rsid w:val="00F905FF"/>
    <w:rsid w:val="00F9069E"/>
    <w:rsid w:val="00F91B32"/>
    <w:rsid w:val="00F9278F"/>
    <w:rsid w:val="00F92856"/>
    <w:rsid w:val="00F92CA5"/>
    <w:rsid w:val="00F92E67"/>
    <w:rsid w:val="00F93036"/>
    <w:rsid w:val="00F933FD"/>
    <w:rsid w:val="00F93950"/>
    <w:rsid w:val="00F95A81"/>
    <w:rsid w:val="00FA0AC0"/>
    <w:rsid w:val="00FA0D85"/>
    <w:rsid w:val="00FA10FC"/>
    <w:rsid w:val="00FA1B6B"/>
    <w:rsid w:val="00FA20BE"/>
    <w:rsid w:val="00FA2D41"/>
    <w:rsid w:val="00FA4866"/>
    <w:rsid w:val="00FA5BD0"/>
    <w:rsid w:val="00FA60E7"/>
    <w:rsid w:val="00FA6C0B"/>
    <w:rsid w:val="00FA6C81"/>
    <w:rsid w:val="00FA6D2D"/>
    <w:rsid w:val="00FA75D6"/>
    <w:rsid w:val="00FB0E2F"/>
    <w:rsid w:val="00FB111A"/>
    <w:rsid w:val="00FB146A"/>
    <w:rsid w:val="00FB16F9"/>
    <w:rsid w:val="00FB25D6"/>
    <w:rsid w:val="00FB41BE"/>
    <w:rsid w:val="00FB4369"/>
    <w:rsid w:val="00FB4BA3"/>
    <w:rsid w:val="00FB541A"/>
    <w:rsid w:val="00FB691D"/>
    <w:rsid w:val="00FB6A07"/>
    <w:rsid w:val="00FB6ABE"/>
    <w:rsid w:val="00FB79B2"/>
    <w:rsid w:val="00FC016E"/>
    <w:rsid w:val="00FC062D"/>
    <w:rsid w:val="00FC15D2"/>
    <w:rsid w:val="00FC2230"/>
    <w:rsid w:val="00FC34EA"/>
    <w:rsid w:val="00FC3614"/>
    <w:rsid w:val="00FC649A"/>
    <w:rsid w:val="00FC6552"/>
    <w:rsid w:val="00FC6F73"/>
    <w:rsid w:val="00FC7122"/>
    <w:rsid w:val="00FC7578"/>
    <w:rsid w:val="00FC7CF1"/>
    <w:rsid w:val="00FC7F3D"/>
    <w:rsid w:val="00FD085C"/>
    <w:rsid w:val="00FD099C"/>
    <w:rsid w:val="00FD1C98"/>
    <w:rsid w:val="00FD20B1"/>
    <w:rsid w:val="00FD23AB"/>
    <w:rsid w:val="00FD32A6"/>
    <w:rsid w:val="00FD3474"/>
    <w:rsid w:val="00FD5159"/>
    <w:rsid w:val="00FD51BD"/>
    <w:rsid w:val="00FD642E"/>
    <w:rsid w:val="00FD6C15"/>
    <w:rsid w:val="00FD76DB"/>
    <w:rsid w:val="00FE09DF"/>
    <w:rsid w:val="00FE0CE3"/>
    <w:rsid w:val="00FE1167"/>
    <w:rsid w:val="00FE1567"/>
    <w:rsid w:val="00FE203F"/>
    <w:rsid w:val="00FE2EAD"/>
    <w:rsid w:val="00FE32CE"/>
    <w:rsid w:val="00FE3A58"/>
    <w:rsid w:val="00FE3AAB"/>
    <w:rsid w:val="00FE3D08"/>
    <w:rsid w:val="00FE446F"/>
    <w:rsid w:val="00FE5739"/>
    <w:rsid w:val="00FE683A"/>
    <w:rsid w:val="00FE6F63"/>
    <w:rsid w:val="00FE7358"/>
    <w:rsid w:val="00FE79E6"/>
    <w:rsid w:val="00FF0A95"/>
    <w:rsid w:val="00FF0BD7"/>
    <w:rsid w:val="00FF0C8F"/>
    <w:rsid w:val="00FF0E57"/>
    <w:rsid w:val="00FF16BD"/>
    <w:rsid w:val="00FF182D"/>
    <w:rsid w:val="00FF190B"/>
    <w:rsid w:val="00FF19EE"/>
    <w:rsid w:val="00FF3FEB"/>
    <w:rsid w:val="00FF4D50"/>
    <w:rsid w:val="00FF55A8"/>
    <w:rsid w:val="00FF5B79"/>
    <w:rsid w:val="00FF5B88"/>
    <w:rsid w:val="00FF6628"/>
    <w:rsid w:val="00FF6E73"/>
    <w:rsid w:val="00FF6E97"/>
    <w:rsid w:val="00FF78B6"/>
    <w:rsid w:val="00FF7D11"/>
    <w:rsid w:val="65211114"/>
    <w:rsid w:val="71ABDD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C4372"/>
  <w15:docId w15:val="{6A2F6986-7D96-994D-B0D7-F6466292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C86"/>
    <w:pPr>
      <w:jc w:val="both"/>
    </w:pPr>
    <w:rPr>
      <w:sz w:val="16"/>
      <w:szCs w:val="16"/>
      <w:lang w:eastAsia="es-ES_tradnl"/>
    </w:rPr>
  </w:style>
  <w:style w:type="paragraph" w:styleId="Ttulo1">
    <w:name w:val="heading 1"/>
    <w:basedOn w:val="Normal"/>
    <w:next w:val="Normal"/>
    <w:link w:val="Ttulo1Car"/>
    <w:uiPriority w:val="9"/>
    <w:qFormat/>
    <w:rsid w:val="00FF190B"/>
    <w:pPr>
      <w:keepNext/>
      <w:numPr>
        <w:numId w:val="5"/>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7D4A96"/>
    <w:pPr>
      <w:keepNext/>
      <w:numPr>
        <w:numId w:val="6"/>
      </w:numPr>
      <w:spacing w:before="360" w:after="180"/>
      <w:ind w:left="360"/>
      <w:jc w:val="left"/>
      <w:outlineLvl w:val="1"/>
    </w:pPr>
    <w:rPr>
      <w:rFonts w:eastAsia="Times New Roman" w:cs="Times New Roman"/>
      <w:b/>
      <w:bCs/>
      <w:iCs/>
      <w:sz w:val="24"/>
      <w:szCs w:val="28"/>
    </w:rPr>
  </w:style>
  <w:style w:type="paragraph" w:styleId="Ttulo3">
    <w:name w:val="heading 3"/>
    <w:basedOn w:val="Ttulo1"/>
    <w:next w:val="Normal"/>
    <w:link w:val="Ttulo3Car"/>
    <w:uiPriority w:val="9"/>
    <w:unhideWhenUsed/>
    <w:qFormat/>
    <w:rsid w:val="00E87355"/>
    <w:pPr>
      <w:numPr>
        <w:numId w:val="0"/>
      </w:numPr>
      <w:spacing w:before="240" w:after="240"/>
      <w:outlineLvl w:val="2"/>
    </w:pPr>
    <w:rPr>
      <w:b w:val="0"/>
      <w:b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7091"/>
    <w:pPr>
      <w:tabs>
        <w:tab w:val="center" w:pos="4252"/>
        <w:tab w:val="right" w:pos="8504"/>
      </w:tabs>
    </w:pPr>
  </w:style>
  <w:style w:type="character" w:customStyle="1" w:styleId="EncabezadoCar">
    <w:name w:val="Encabezado Car"/>
    <w:link w:val="Encabezado"/>
    <w:uiPriority w:val="99"/>
    <w:rsid w:val="00117091"/>
    <w:rPr>
      <w:sz w:val="18"/>
      <w:szCs w:val="24"/>
      <w:lang w:eastAsia="en-US"/>
    </w:rPr>
  </w:style>
  <w:style w:type="paragraph" w:styleId="Piedepgina">
    <w:name w:val="footer"/>
    <w:basedOn w:val="Normal"/>
    <w:link w:val="PiedepginaCar"/>
    <w:uiPriority w:val="99"/>
    <w:unhideWhenUsed/>
    <w:rsid w:val="00117091"/>
    <w:pPr>
      <w:tabs>
        <w:tab w:val="center" w:pos="4252"/>
        <w:tab w:val="right" w:pos="8504"/>
      </w:tabs>
    </w:pPr>
  </w:style>
  <w:style w:type="character" w:customStyle="1" w:styleId="PiedepginaCar">
    <w:name w:val="Pie de página Car"/>
    <w:link w:val="Piedepgina"/>
    <w:uiPriority w:val="99"/>
    <w:rsid w:val="00117091"/>
    <w:rPr>
      <w:sz w:val="18"/>
      <w:szCs w:val="24"/>
      <w:lang w:eastAsia="en-US"/>
    </w:rPr>
  </w:style>
  <w:style w:type="character" w:styleId="Hipervnculo">
    <w:name w:val="Hyperlink"/>
    <w:uiPriority w:val="99"/>
    <w:unhideWhenUsed/>
    <w:rsid w:val="00117091"/>
    <w:rPr>
      <w:color w:val="0563C1"/>
      <w:u w:val="single"/>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autoRedefine/>
    <w:uiPriority w:val="99"/>
    <w:unhideWhenUsed/>
    <w:qFormat/>
    <w:rsid w:val="003B7623"/>
    <w:rPr>
      <w:szCs w:val="20"/>
    </w:rPr>
  </w:style>
  <w:style w:type="character" w:customStyle="1" w:styleId="TextonotapieCar">
    <w:name w:val="Texto nota pie Car"/>
    <w:aliases w:val="Footnote Text Char Char Char Char Char Car1,Footnote Text Char Char Char Char Car1,Footnote reference Car1,FA Fu Car1,Footnote Text Char Char Char Car1,Footnote Text Char Car1,Footnote Text Char Char Char Char Char Char Char Char Car1"/>
    <w:link w:val="Textonotapie"/>
    <w:uiPriority w:val="99"/>
    <w:qFormat/>
    <w:rsid w:val="003B7623"/>
    <w:rPr>
      <w:sz w:val="16"/>
      <w:lang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8C0DBE"/>
    <w:rPr>
      <w:vertAlign w:val="superscript"/>
    </w:rPr>
  </w:style>
  <w:style w:type="character" w:customStyle="1" w:styleId="TextonotapieCar1">
    <w:name w:val="Texto nota pie Car1"/>
    <w:aliases w:val="Footnote Text Char Char Char Char Char Car,Footnote Text Char Char Char Char Car,Footnote reference Car,FA Fu Car,Footnote Text Char Char Char Car,Footnote Text Char Car,Footnote Text Char Char Char Char Char Char Char Char Car"/>
    <w:locked/>
    <w:rsid w:val="000C5DB7"/>
    <w:rPr>
      <w:rFonts w:ascii="Times New Roman" w:eastAsia="Times New Roman" w:hAnsi="Times New Roman"/>
      <w:b/>
      <w:bCs/>
      <w:sz w:val="24"/>
      <w:szCs w:val="24"/>
      <w:lang w:val="es-ES_tradnl"/>
    </w:rPr>
  </w:style>
  <w:style w:type="paragraph" w:customStyle="1" w:styleId="Textoindependiente21">
    <w:name w:val="Texto independiente 21"/>
    <w:basedOn w:val="Normal"/>
    <w:uiPriority w:val="99"/>
    <w:qFormat/>
    <w:rsid w:val="000C5DB7"/>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5DB7"/>
    <w:rPr>
      <w:rFonts w:ascii="Palatino Linotype" w:hAnsi="Palatino Linotype"/>
      <w:sz w:val="20"/>
      <w:szCs w:val="20"/>
      <w:vertAlign w:val="superscript"/>
    </w:rPr>
  </w:style>
  <w:style w:type="character" w:customStyle="1" w:styleId="Ttulo1Car">
    <w:name w:val="Título 1 Car"/>
    <w:link w:val="Ttulo1"/>
    <w:uiPriority w:val="9"/>
    <w:rsid w:val="00FF190B"/>
    <w:rPr>
      <w:rFonts w:eastAsia="Times New Roman" w:cs="Times New Roman"/>
      <w:b/>
      <w:bCs/>
      <w:caps/>
      <w:kern w:val="32"/>
      <w:sz w:val="24"/>
      <w:szCs w:val="32"/>
    </w:rPr>
  </w:style>
  <w:style w:type="character" w:customStyle="1" w:styleId="Ttulo2Car">
    <w:name w:val="Título 2 Car"/>
    <w:link w:val="Ttulo2"/>
    <w:uiPriority w:val="9"/>
    <w:rsid w:val="007D4A96"/>
    <w:rPr>
      <w:rFonts w:eastAsia="Times New Roman" w:cs="Times New Roman"/>
      <w:b/>
      <w:bCs/>
      <w:iCs/>
      <w:sz w:val="24"/>
      <w:szCs w:val="28"/>
      <w:lang w:val="es-CO" w:eastAsia="es-ES_tradnl"/>
    </w:rPr>
  </w:style>
  <w:style w:type="paragraph" w:styleId="Sinespaciado">
    <w:name w:val="No Spacing"/>
    <w:aliases w:val="Encabezado1"/>
    <w:link w:val="SinespaciadoCar"/>
    <w:autoRedefine/>
    <w:uiPriority w:val="1"/>
    <w:qFormat/>
    <w:rsid w:val="0013277B"/>
    <w:pPr>
      <w:spacing w:line="276" w:lineRule="auto"/>
      <w:ind w:left="709" w:hanging="709"/>
      <w:jc w:val="center"/>
    </w:pPr>
    <w:rPr>
      <w:b/>
      <w:caps/>
      <w:color w:val="000000"/>
      <w:sz w:val="24"/>
      <w:szCs w:val="16"/>
      <w:lang w:eastAsia="es-ES_tradnl"/>
    </w:rPr>
  </w:style>
  <w:style w:type="character" w:customStyle="1" w:styleId="SinespaciadoCar">
    <w:name w:val="Sin espaciado Car"/>
    <w:aliases w:val="Encabezado1 Car"/>
    <w:link w:val="Sinespaciado"/>
    <w:uiPriority w:val="1"/>
    <w:rsid w:val="0013277B"/>
    <w:rPr>
      <w:b/>
      <w:caps/>
      <w:color w:val="000000"/>
      <w:sz w:val="24"/>
      <w:szCs w:val="16"/>
      <w:lang w:eastAsia="es-ES_tradnl"/>
    </w:rPr>
  </w:style>
  <w:style w:type="paragraph" w:styleId="Cita">
    <w:name w:val="Quote"/>
    <w:basedOn w:val="Normal"/>
    <w:next w:val="Normal"/>
    <w:link w:val="CitaCar"/>
    <w:autoRedefine/>
    <w:uiPriority w:val="29"/>
    <w:qFormat/>
    <w:rsid w:val="00083B8F"/>
    <w:pPr>
      <w:ind w:left="862" w:right="862"/>
      <w:jc w:val="left"/>
    </w:pPr>
    <w:rPr>
      <w:i/>
      <w:iCs/>
      <w:color w:val="404040"/>
    </w:rPr>
  </w:style>
  <w:style w:type="character" w:customStyle="1" w:styleId="CitaCar">
    <w:name w:val="Cita Car"/>
    <w:link w:val="Cita"/>
    <w:uiPriority w:val="29"/>
    <w:rsid w:val="00083B8F"/>
    <w:rPr>
      <w:i/>
      <w:iCs/>
      <w:color w:val="404040"/>
      <w:sz w:val="16"/>
      <w:szCs w:val="16"/>
    </w:rPr>
  </w:style>
  <w:style w:type="character" w:customStyle="1" w:styleId="Ttulo3Car">
    <w:name w:val="Título 3 Car"/>
    <w:link w:val="Ttulo3"/>
    <w:uiPriority w:val="9"/>
    <w:rsid w:val="00E87355"/>
    <w:rPr>
      <w:rFonts w:eastAsia="Times New Roman" w:cs="Times New Roman"/>
      <w:caps/>
      <w:kern w:val="32"/>
      <w:sz w:val="24"/>
      <w:szCs w:val="26"/>
    </w:rPr>
  </w:style>
  <w:style w:type="paragraph" w:customStyle="1" w:styleId="RESUELVE">
    <w:name w:val="RESUELVE"/>
    <w:basedOn w:val="Ttulo3"/>
    <w:autoRedefine/>
    <w:qFormat/>
    <w:rsid w:val="00E87355"/>
    <w:pPr>
      <w:spacing w:before="360" w:after="360"/>
    </w:pPr>
    <w:rPr>
      <w:rFonts w:eastAsia="Verdana"/>
      <w:b/>
      <w:lang w:val="es-ES_tradnl"/>
    </w:rPr>
  </w:style>
  <w:style w:type="character" w:styleId="Refdecomentario">
    <w:name w:val="annotation reference"/>
    <w:uiPriority w:val="99"/>
    <w:semiHidden/>
    <w:unhideWhenUsed/>
    <w:rsid w:val="006146CC"/>
    <w:rPr>
      <w:sz w:val="16"/>
      <w:szCs w:val="16"/>
    </w:rPr>
  </w:style>
  <w:style w:type="paragraph" w:styleId="Textocomentario">
    <w:name w:val="annotation text"/>
    <w:basedOn w:val="Normal"/>
    <w:link w:val="TextocomentarioCar"/>
    <w:uiPriority w:val="99"/>
    <w:semiHidden/>
    <w:unhideWhenUsed/>
    <w:rsid w:val="006146CC"/>
    <w:pPr>
      <w:spacing w:after="160" w:line="259" w:lineRule="auto"/>
      <w:jc w:val="left"/>
    </w:pPr>
    <w:rPr>
      <w:rFonts w:ascii="Calibri" w:hAnsi="Calibri" w:cs="Times New Roman"/>
      <w:sz w:val="20"/>
      <w:szCs w:val="20"/>
      <w:lang w:val="es-ES" w:eastAsia="en-US"/>
    </w:rPr>
  </w:style>
  <w:style w:type="character" w:customStyle="1" w:styleId="TextocomentarioCar">
    <w:name w:val="Texto comentario Car"/>
    <w:link w:val="Textocomentario"/>
    <w:uiPriority w:val="99"/>
    <w:semiHidden/>
    <w:rsid w:val="006146CC"/>
    <w:rPr>
      <w:rFonts w:ascii="Calibri" w:hAnsi="Calibri" w:cs="Times New Roman"/>
      <w:lang w:val="es-ES" w:eastAsia="en-US"/>
    </w:rPr>
  </w:style>
  <w:style w:type="paragraph" w:styleId="Textodeglobo">
    <w:name w:val="Balloon Text"/>
    <w:basedOn w:val="Normal"/>
    <w:link w:val="TextodegloboCar"/>
    <w:uiPriority w:val="99"/>
    <w:semiHidden/>
    <w:unhideWhenUsed/>
    <w:rsid w:val="006146CC"/>
    <w:rPr>
      <w:rFonts w:ascii="Segoe UI" w:hAnsi="Segoe UI" w:cs="Segoe UI"/>
      <w:sz w:val="18"/>
      <w:szCs w:val="18"/>
    </w:rPr>
  </w:style>
  <w:style w:type="character" w:customStyle="1" w:styleId="TextodegloboCar">
    <w:name w:val="Texto de globo Car"/>
    <w:link w:val="Textodeglobo"/>
    <w:uiPriority w:val="99"/>
    <w:semiHidden/>
    <w:rsid w:val="006146CC"/>
    <w:rPr>
      <w:rFonts w:ascii="Segoe UI" w:hAnsi="Segoe UI" w:cs="Segoe UI"/>
      <w:sz w:val="18"/>
      <w:szCs w:val="18"/>
      <w:lang w:eastAsia="es-ES_tradnl"/>
    </w:rPr>
  </w:style>
  <w:style w:type="paragraph" w:styleId="Prrafodelista">
    <w:name w:val="List Paragraph"/>
    <w:basedOn w:val="Normal"/>
    <w:link w:val="PrrafodelistaCar"/>
    <w:uiPriority w:val="34"/>
    <w:qFormat/>
    <w:rsid w:val="00B82CC5"/>
    <w:pPr>
      <w:ind w:left="720"/>
      <w:contextualSpacing/>
    </w:pPr>
  </w:style>
  <w:style w:type="numbering" w:customStyle="1" w:styleId="Estilo1">
    <w:name w:val="Estilo1"/>
    <w:uiPriority w:val="99"/>
    <w:rsid w:val="00025115"/>
    <w:pPr>
      <w:numPr>
        <w:numId w:val="9"/>
      </w:numPr>
    </w:pPr>
  </w:style>
  <w:style w:type="paragraph" w:styleId="Lista">
    <w:name w:val="List"/>
    <w:basedOn w:val="Normal"/>
    <w:uiPriority w:val="99"/>
    <w:unhideWhenUsed/>
    <w:rsid w:val="005F1494"/>
    <w:pPr>
      <w:ind w:left="283" w:hanging="283"/>
      <w:contextualSpacing/>
    </w:pPr>
  </w:style>
  <w:style w:type="paragraph" w:styleId="Continuarlista">
    <w:name w:val="List Continue"/>
    <w:basedOn w:val="Normal"/>
    <w:uiPriority w:val="99"/>
    <w:unhideWhenUsed/>
    <w:rsid w:val="005F1494"/>
    <w:pPr>
      <w:spacing w:after="120"/>
      <w:ind w:left="283"/>
      <w:contextualSpacing/>
    </w:pPr>
  </w:style>
  <w:style w:type="paragraph" w:styleId="Continuarlista2">
    <w:name w:val="List Continue 2"/>
    <w:basedOn w:val="Normal"/>
    <w:uiPriority w:val="99"/>
    <w:unhideWhenUsed/>
    <w:rsid w:val="005F1494"/>
    <w:pPr>
      <w:spacing w:after="120"/>
      <w:ind w:left="566"/>
      <w:contextualSpacing/>
    </w:pPr>
  </w:style>
  <w:style w:type="paragraph" w:styleId="Textoindependiente">
    <w:name w:val="Body Text"/>
    <w:basedOn w:val="Normal"/>
    <w:link w:val="TextoindependienteCar"/>
    <w:uiPriority w:val="99"/>
    <w:unhideWhenUsed/>
    <w:rsid w:val="005F1494"/>
    <w:pPr>
      <w:spacing w:after="120"/>
    </w:pPr>
  </w:style>
  <w:style w:type="character" w:customStyle="1" w:styleId="TextoindependienteCar">
    <w:name w:val="Texto independiente Car"/>
    <w:basedOn w:val="Fuentedeprrafopredeter"/>
    <w:link w:val="Textoindependiente"/>
    <w:uiPriority w:val="99"/>
    <w:rsid w:val="005F1494"/>
    <w:rPr>
      <w:sz w:val="16"/>
      <w:szCs w:val="16"/>
      <w:lang w:eastAsia="es-ES_tradnl"/>
    </w:rPr>
  </w:style>
  <w:style w:type="table" w:styleId="Tablaconcuadrcula">
    <w:name w:val="Table Grid"/>
    <w:basedOn w:val="Tablanormal"/>
    <w:uiPriority w:val="39"/>
    <w:rsid w:val="007314C6"/>
    <w:rPr>
      <w:rFonts w:ascii="Calibri" w:eastAsiaTheme="minorHAns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2C73F8"/>
    <w:rPr>
      <w:color w:val="605E5C"/>
      <w:shd w:val="clear" w:color="auto" w:fill="E1DFDD"/>
    </w:rPr>
  </w:style>
  <w:style w:type="character" w:customStyle="1" w:styleId="Mencinsinresolver1">
    <w:name w:val="Mención sin resolver1"/>
    <w:basedOn w:val="Fuentedeprrafopredeter"/>
    <w:uiPriority w:val="99"/>
    <w:semiHidden/>
    <w:unhideWhenUsed/>
    <w:rsid w:val="00EC5604"/>
    <w:rPr>
      <w:color w:val="605E5C"/>
      <w:shd w:val="clear" w:color="auto" w:fill="E1DFDD"/>
    </w:rPr>
  </w:style>
  <w:style w:type="paragraph" w:styleId="Revisin">
    <w:name w:val="Revision"/>
    <w:hidden/>
    <w:uiPriority w:val="99"/>
    <w:semiHidden/>
    <w:rsid w:val="00EC5604"/>
    <w:rPr>
      <w:sz w:val="16"/>
      <w:szCs w:val="16"/>
      <w:lang w:eastAsia="es-ES_tradnl"/>
    </w:rPr>
  </w:style>
  <w:style w:type="character" w:customStyle="1" w:styleId="apple-converted-space">
    <w:name w:val="apple-converted-space"/>
    <w:rsid w:val="006A6A96"/>
  </w:style>
  <w:style w:type="paragraph" w:styleId="Bibliografa">
    <w:name w:val="Bibliography"/>
    <w:basedOn w:val="Normal"/>
    <w:next w:val="Normal"/>
    <w:uiPriority w:val="37"/>
    <w:unhideWhenUsed/>
    <w:rsid w:val="00990B08"/>
  </w:style>
  <w:style w:type="paragraph" w:styleId="Asuntodelcomentario">
    <w:name w:val="annotation subject"/>
    <w:basedOn w:val="Textocomentario"/>
    <w:next w:val="Textocomentario"/>
    <w:link w:val="AsuntodelcomentarioCar"/>
    <w:uiPriority w:val="99"/>
    <w:semiHidden/>
    <w:unhideWhenUsed/>
    <w:rsid w:val="0019417E"/>
    <w:pPr>
      <w:spacing w:after="0" w:line="240" w:lineRule="auto"/>
      <w:jc w:val="both"/>
    </w:pPr>
    <w:rPr>
      <w:rFonts w:ascii="Arial" w:hAnsi="Arial" w:cs="Arial"/>
      <w:b/>
      <w:bCs/>
      <w:lang w:val="es-CO" w:eastAsia="es-ES_tradnl"/>
    </w:rPr>
  </w:style>
  <w:style w:type="character" w:customStyle="1" w:styleId="AsuntodelcomentarioCar">
    <w:name w:val="Asunto del comentario Car"/>
    <w:basedOn w:val="TextocomentarioCar"/>
    <w:link w:val="Asuntodelcomentario"/>
    <w:uiPriority w:val="99"/>
    <w:semiHidden/>
    <w:rsid w:val="0019417E"/>
    <w:rPr>
      <w:rFonts w:ascii="Calibri" w:hAnsi="Calibri" w:cs="Times New Roman"/>
      <w:b/>
      <w:bCs/>
      <w:lang w:val="es-ES" w:eastAsia="es-ES_tradnl"/>
    </w:rPr>
  </w:style>
  <w:style w:type="paragraph" w:customStyle="1" w:styleId="Default">
    <w:name w:val="Default"/>
    <w:rsid w:val="00EC1A2D"/>
    <w:pPr>
      <w:autoSpaceDE w:val="0"/>
      <w:autoSpaceDN w:val="0"/>
      <w:adjustRightInd w:val="0"/>
    </w:pPr>
    <w:rPr>
      <w:rFonts w:ascii="Century Gothic" w:eastAsiaTheme="minorHAnsi" w:hAnsi="Century Gothic" w:cs="Century Gothic"/>
      <w:color w:val="000000"/>
      <w:sz w:val="24"/>
      <w:szCs w:val="24"/>
      <w:lang w:val="en-US" w:eastAsia="en-US"/>
    </w:rPr>
  </w:style>
  <w:style w:type="character" w:customStyle="1" w:styleId="PrrafodelistaCar">
    <w:name w:val="Párrafo de lista Car"/>
    <w:link w:val="Prrafodelista"/>
    <w:uiPriority w:val="34"/>
    <w:qFormat/>
    <w:locked/>
    <w:rsid w:val="00BD33CE"/>
    <w:rPr>
      <w:sz w:val="16"/>
      <w:szCs w:val="16"/>
      <w:lang w:eastAsia="es-ES_tradnl"/>
    </w:rPr>
  </w:style>
  <w:style w:type="paragraph" w:styleId="NormalWeb">
    <w:name w:val="Normal (Web)"/>
    <w:basedOn w:val="Normal"/>
    <w:uiPriority w:val="99"/>
    <w:unhideWhenUsed/>
    <w:rsid w:val="00490C08"/>
    <w:rPr>
      <w:rFonts w:ascii="Times New Roman" w:hAnsi="Times New Roman" w:cs="Times New Roman"/>
      <w:sz w:val="24"/>
      <w:szCs w:val="24"/>
    </w:rPr>
  </w:style>
  <w:style w:type="paragraph" w:customStyle="1" w:styleId="paragraph">
    <w:name w:val="paragraph"/>
    <w:basedOn w:val="Normal"/>
    <w:rsid w:val="003861C5"/>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eop">
    <w:name w:val="eop"/>
    <w:basedOn w:val="Fuentedeprrafopredeter"/>
    <w:rsid w:val="003861C5"/>
  </w:style>
  <w:style w:type="character" w:customStyle="1" w:styleId="normaltextrun">
    <w:name w:val="normaltextrun"/>
    <w:basedOn w:val="Fuentedeprrafopredeter"/>
    <w:rsid w:val="003861C5"/>
  </w:style>
  <w:style w:type="paragraph" w:customStyle="1" w:styleId="Textodecuerpo31">
    <w:name w:val="Texto de cuerpo 31"/>
    <w:basedOn w:val="Normal"/>
    <w:rsid w:val="00660460"/>
    <w:pPr>
      <w:tabs>
        <w:tab w:val="left" w:pos="851"/>
      </w:tabs>
      <w:spacing w:line="360" w:lineRule="auto"/>
    </w:pPr>
    <w:rPr>
      <w:rFonts w:eastAsia="Times New Roman" w:cs="Times New Roman"/>
      <w:sz w:val="24"/>
      <w:szCs w:val="20"/>
      <w:lang w:eastAsia="es-ES"/>
    </w:rPr>
  </w:style>
  <w:style w:type="character" w:customStyle="1" w:styleId="Mencinsinresolver2">
    <w:name w:val="Mención sin resolver2"/>
    <w:basedOn w:val="Fuentedeprrafopredeter"/>
    <w:uiPriority w:val="99"/>
    <w:semiHidden/>
    <w:unhideWhenUsed/>
    <w:rsid w:val="0045135C"/>
    <w:rPr>
      <w:color w:val="605E5C"/>
      <w:shd w:val="clear" w:color="auto" w:fill="E1DFDD"/>
    </w:rPr>
  </w:style>
  <w:style w:type="paragraph" w:styleId="Textonotaalfinal">
    <w:name w:val="endnote text"/>
    <w:basedOn w:val="Normal"/>
    <w:link w:val="TextonotaalfinalCar"/>
    <w:uiPriority w:val="99"/>
    <w:semiHidden/>
    <w:unhideWhenUsed/>
    <w:rsid w:val="00AE6965"/>
    <w:rPr>
      <w:sz w:val="20"/>
      <w:szCs w:val="20"/>
    </w:rPr>
  </w:style>
  <w:style w:type="character" w:customStyle="1" w:styleId="TextonotaalfinalCar">
    <w:name w:val="Texto nota al final Car"/>
    <w:basedOn w:val="Fuentedeprrafopredeter"/>
    <w:link w:val="Textonotaalfinal"/>
    <w:uiPriority w:val="99"/>
    <w:semiHidden/>
    <w:rsid w:val="00AE6965"/>
    <w:rPr>
      <w:lang w:eastAsia="es-ES_tradnl"/>
    </w:rPr>
  </w:style>
  <w:style w:type="character" w:styleId="Refdenotaalfinal">
    <w:name w:val="endnote reference"/>
    <w:basedOn w:val="Fuentedeprrafopredeter"/>
    <w:uiPriority w:val="99"/>
    <w:semiHidden/>
    <w:unhideWhenUsed/>
    <w:rsid w:val="00AE6965"/>
    <w:rPr>
      <w:vertAlign w:val="superscript"/>
    </w:rPr>
  </w:style>
  <w:style w:type="paragraph" w:customStyle="1" w:styleId="Cuadrculamedia21">
    <w:name w:val="Cuadrícula media 21"/>
    <w:uiPriority w:val="1"/>
    <w:qFormat/>
    <w:rsid w:val="00B02E37"/>
    <w:rPr>
      <w:rFonts w:ascii="Calibri" w:eastAsia="SimSun"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764">
      <w:bodyDiv w:val="1"/>
      <w:marLeft w:val="0"/>
      <w:marRight w:val="0"/>
      <w:marTop w:val="0"/>
      <w:marBottom w:val="0"/>
      <w:divBdr>
        <w:top w:val="none" w:sz="0" w:space="0" w:color="auto"/>
        <w:left w:val="none" w:sz="0" w:space="0" w:color="auto"/>
        <w:bottom w:val="none" w:sz="0" w:space="0" w:color="auto"/>
        <w:right w:val="none" w:sz="0" w:space="0" w:color="auto"/>
      </w:divBdr>
    </w:div>
    <w:div w:id="123697777">
      <w:bodyDiv w:val="1"/>
      <w:marLeft w:val="0"/>
      <w:marRight w:val="0"/>
      <w:marTop w:val="0"/>
      <w:marBottom w:val="0"/>
      <w:divBdr>
        <w:top w:val="none" w:sz="0" w:space="0" w:color="auto"/>
        <w:left w:val="none" w:sz="0" w:space="0" w:color="auto"/>
        <w:bottom w:val="none" w:sz="0" w:space="0" w:color="auto"/>
        <w:right w:val="none" w:sz="0" w:space="0" w:color="auto"/>
      </w:divBdr>
    </w:div>
    <w:div w:id="134027353">
      <w:bodyDiv w:val="1"/>
      <w:marLeft w:val="0"/>
      <w:marRight w:val="0"/>
      <w:marTop w:val="0"/>
      <w:marBottom w:val="0"/>
      <w:divBdr>
        <w:top w:val="none" w:sz="0" w:space="0" w:color="auto"/>
        <w:left w:val="none" w:sz="0" w:space="0" w:color="auto"/>
        <w:bottom w:val="none" w:sz="0" w:space="0" w:color="auto"/>
        <w:right w:val="none" w:sz="0" w:space="0" w:color="auto"/>
      </w:divBdr>
    </w:div>
    <w:div w:id="155150058">
      <w:bodyDiv w:val="1"/>
      <w:marLeft w:val="0"/>
      <w:marRight w:val="0"/>
      <w:marTop w:val="0"/>
      <w:marBottom w:val="0"/>
      <w:divBdr>
        <w:top w:val="none" w:sz="0" w:space="0" w:color="auto"/>
        <w:left w:val="none" w:sz="0" w:space="0" w:color="auto"/>
        <w:bottom w:val="none" w:sz="0" w:space="0" w:color="auto"/>
        <w:right w:val="none" w:sz="0" w:space="0" w:color="auto"/>
      </w:divBdr>
    </w:div>
    <w:div w:id="159545784">
      <w:bodyDiv w:val="1"/>
      <w:marLeft w:val="0"/>
      <w:marRight w:val="0"/>
      <w:marTop w:val="0"/>
      <w:marBottom w:val="0"/>
      <w:divBdr>
        <w:top w:val="none" w:sz="0" w:space="0" w:color="auto"/>
        <w:left w:val="none" w:sz="0" w:space="0" w:color="auto"/>
        <w:bottom w:val="none" w:sz="0" w:space="0" w:color="auto"/>
        <w:right w:val="none" w:sz="0" w:space="0" w:color="auto"/>
      </w:divBdr>
    </w:div>
    <w:div w:id="172112192">
      <w:bodyDiv w:val="1"/>
      <w:marLeft w:val="0"/>
      <w:marRight w:val="0"/>
      <w:marTop w:val="0"/>
      <w:marBottom w:val="0"/>
      <w:divBdr>
        <w:top w:val="none" w:sz="0" w:space="0" w:color="auto"/>
        <w:left w:val="none" w:sz="0" w:space="0" w:color="auto"/>
        <w:bottom w:val="none" w:sz="0" w:space="0" w:color="auto"/>
        <w:right w:val="none" w:sz="0" w:space="0" w:color="auto"/>
      </w:divBdr>
    </w:div>
    <w:div w:id="215749427">
      <w:bodyDiv w:val="1"/>
      <w:marLeft w:val="0"/>
      <w:marRight w:val="0"/>
      <w:marTop w:val="0"/>
      <w:marBottom w:val="0"/>
      <w:divBdr>
        <w:top w:val="none" w:sz="0" w:space="0" w:color="auto"/>
        <w:left w:val="none" w:sz="0" w:space="0" w:color="auto"/>
        <w:bottom w:val="none" w:sz="0" w:space="0" w:color="auto"/>
        <w:right w:val="none" w:sz="0" w:space="0" w:color="auto"/>
      </w:divBdr>
    </w:div>
    <w:div w:id="234585298">
      <w:bodyDiv w:val="1"/>
      <w:marLeft w:val="0"/>
      <w:marRight w:val="0"/>
      <w:marTop w:val="0"/>
      <w:marBottom w:val="0"/>
      <w:divBdr>
        <w:top w:val="none" w:sz="0" w:space="0" w:color="auto"/>
        <w:left w:val="none" w:sz="0" w:space="0" w:color="auto"/>
        <w:bottom w:val="none" w:sz="0" w:space="0" w:color="auto"/>
        <w:right w:val="none" w:sz="0" w:space="0" w:color="auto"/>
      </w:divBdr>
    </w:div>
    <w:div w:id="239103803">
      <w:bodyDiv w:val="1"/>
      <w:marLeft w:val="0"/>
      <w:marRight w:val="0"/>
      <w:marTop w:val="0"/>
      <w:marBottom w:val="0"/>
      <w:divBdr>
        <w:top w:val="none" w:sz="0" w:space="0" w:color="auto"/>
        <w:left w:val="none" w:sz="0" w:space="0" w:color="auto"/>
        <w:bottom w:val="none" w:sz="0" w:space="0" w:color="auto"/>
        <w:right w:val="none" w:sz="0" w:space="0" w:color="auto"/>
      </w:divBdr>
    </w:div>
    <w:div w:id="302852973">
      <w:bodyDiv w:val="1"/>
      <w:marLeft w:val="0"/>
      <w:marRight w:val="0"/>
      <w:marTop w:val="0"/>
      <w:marBottom w:val="0"/>
      <w:divBdr>
        <w:top w:val="none" w:sz="0" w:space="0" w:color="auto"/>
        <w:left w:val="none" w:sz="0" w:space="0" w:color="auto"/>
        <w:bottom w:val="none" w:sz="0" w:space="0" w:color="auto"/>
        <w:right w:val="none" w:sz="0" w:space="0" w:color="auto"/>
      </w:divBdr>
    </w:div>
    <w:div w:id="446194340">
      <w:bodyDiv w:val="1"/>
      <w:marLeft w:val="0"/>
      <w:marRight w:val="0"/>
      <w:marTop w:val="0"/>
      <w:marBottom w:val="0"/>
      <w:divBdr>
        <w:top w:val="none" w:sz="0" w:space="0" w:color="auto"/>
        <w:left w:val="none" w:sz="0" w:space="0" w:color="auto"/>
        <w:bottom w:val="none" w:sz="0" w:space="0" w:color="auto"/>
        <w:right w:val="none" w:sz="0" w:space="0" w:color="auto"/>
      </w:divBdr>
    </w:div>
    <w:div w:id="636111510">
      <w:bodyDiv w:val="1"/>
      <w:marLeft w:val="0"/>
      <w:marRight w:val="0"/>
      <w:marTop w:val="0"/>
      <w:marBottom w:val="0"/>
      <w:divBdr>
        <w:top w:val="none" w:sz="0" w:space="0" w:color="auto"/>
        <w:left w:val="none" w:sz="0" w:space="0" w:color="auto"/>
        <w:bottom w:val="none" w:sz="0" w:space="0" w:color="auto"/>
        <w:right w:val="none" w:sz="0" w:space="0" w:color="auto"/>
      </w:divBdr>
    </w:div>
    <w:div w:id="673336844">
      <w:bodyDiv w:val="1"/>
      <w:marLeft w:val="0"/>
      <w:marRight w:val="0"/>
      <w:marTop w:val="0"/>
      <w:marBottom w:val="0"/>
      <w:divBdr>
        <w:top w:val="none" w:sz="0" w:space="0" w:color="auto"/>
        <w:left w:val="none" w:sz="0" w:space="0" w:color="auto"/>
        <w:bottom w:val="none" w:sz="0" w:space="0" w:color="auto"/>
        <w:right w:val="none" w:sz="0" w:space="0" w:color="auto"/>
      </w:divBdr>
    </w:div>
    <w:div w:id="684862228">
      <w:bodyDiv w:val="1"/>
      <w:marLeft w:val="0"/>
      <w:marRight w:val="0"/>
      <w:marTop w:val="0"/>
      <w:marBottom w:val="0"/>
      <w:divBdr>
        <w:top w:val="none" w:sz="0" w:space="0" w:color="auto"/>
        <w:left w:val="none" w:sz="0" w:space="0" w:color="auto"/>
        <w:bottom w:val="none" w:sz="0" w:space="0" w:color="auto"/>
        <w:right w:val="none" w:sz="0" w:space="0" w:color="auto"/>
      </w:divBdr>
    </w:div>
    <w:div w:id="738938836">
      <w:bodyDiv w:val="1"/>
      <w:marLeft w:val="0"/>
      <w:marRight w:val="0"/>
      <w:marTop w:val="0"/>
      <w:marBottom w:val="0"/>
      <w:divBdr>
        <w:top w:val="none" w:sz="0" w:space="0" w:color="auto"/>
        <w:left w:val="none" w:sz="0" w:space="0" w:color="auto"/>
        <w:bottom w:val="none" w:sz="0" w:space="0" w:color="auto"/>
        <w:right w:val="none" w:sz="0" w:space="0" w:color="auto"/>
      </w:divBdr>
    </w:div>
    <w:div w:id="768235999">
      <w:bodyDiv w:val="1"/>
      <w:marLeft w:val="0"/>
      <w:marRight w:val="0"/>
      <w:marTop w:val="0"/>
      <w:marBottom w:val="0"/>
      <w:divBdr>
        <w:top w:val="none" w:sz="0" w:space="0" w:color="auto"/>
        <w:left w:val="none" w:sz="0" w:space="0" w:color="auto"/>
        <w:bottom w:val="none" w:sz="0" w:space="0" w:color="auto"/>
        <w:right w:val="none" w:sz="0" w:space="0" w:color="auto"/>
      </w:divBdr>
    </w:div>
    <w:div w:id="1012103912">
      <w:bodyDiv w:val="1"/>
      <w:marLeft w:val="0"/>
      <w:marRight w:val="0"/>
      <w:marTop w:val="0"/>
      <w:marBottom w:val="0"/>
      <w:divBdr>
        <w:top w:val="none" w:sz="0" w:space="0" w:color="auto"/>
        <w:left w:val="none" w:sz="0" w:space="0" w:color="auto"/>
        <w:bottom w:val="none" w:sz="0" w:space="0" w:color="auto"/>
        <w:right w:val="none" w:sz="0" w:space="0" w:color="auto"/>
      </w:divBdr>
    </w:div>
    <w:div w:id="1284994257">
      <w:bodyDiv w:val="1"/>
      <w:marLeft w:val="0"/>
      <w:marRight w:val="0"/>
      <w:marTop w:val="0"/>
      <w:marBottom w:val="0"/>
      <w:divBdr>
        <w:top w:val="none" w:sz="0" w:space="0" w:color="auto"/>
        <w:left w:val="none" w:sz="0" w:space="0" w:color="auto"/>
        <w:bottom w:val="none" w:sz="0" w:space="0" w:color="auto"/>
        <w:right w:val="none" w:sz="0" w:space="0" w:color="auto"/>
      </w:divBdr>
    </w:div>
    <w:div w:id="1299804521">
      <w:bodyDiv w:val="1"/>
      <w:marLeft w:val="0"/>
      <w:marRight w:val="0"/>
      <w:marTop w:val="0"/>
      <w:marBottom w:val="0"/>
      <w:divBdr>
        <w:top w:val="none" w:sz="0" w:space="0" w:color="auto"/>
        <w:left w:val="none" w:sz="0" w:space="0" w:color="auto"/>
        <w:bottom w:val="none" w:sz="0" w:space="0" w:color="auto"/>
        <w:right w:val="none" w:sz="0" w:space="0" w:color="auto"/>
      </w:divBdr>
    </w:div>
    <w:div w:id="1451433561">
      <w:bodyDiv w:val="1"/>
      <w:marLeft w:val="0"/>
      <w:marRight w:val="0"/>
      <w:marTop w:val="0"/>
      <w:marBottom w:val="0"/>
      <w:divBdr>
        <w:top w:val="none" w:sz="0" w:space="0" w:color="auto"/>
        <w:left w:val="none" w:sz="0" w:space="0" w:color="auto"/>
        <w:bottom w:val="none" w:sz="0" w:space="0" w:color="auto"/>
        <w:right w:val="none" w:sz="0" w:space="0" w:color="auto"/>
      </w:divBdr>
    </w:div>
    <w:div w:id="1524200981">
      <w:bodyDiv w:val="1"/>
      <w:marLeft w:val="0"/>
      <w:marRight w:val="0"/>
      <w:marTop w:val="0"/>
      <w:marBottom w:val="0"/>
      <w:divBdr>
        <w:top w:val="none" w:sz="0" w:space="0" w:color="auto"/>
        <w:left w:val="none" w:sz="0" w:space="0" w:color="auto"/>
        <w:bottom w:val="none" w:sz="0" w:space="0" w:color="auto"/>
        <w:right w:val="none" w:sz="0" w:space="0" w:color="auto"/>
      </w:divBdr>
    </w:div>
    <w:div w:id="1582327901">
      <w:bodyDiv w:val="1"/>
      <w:marLeft w:val="0"/>
      <w:marRight w:val="0"/>
      <w:marTop w:val="0"/>
      <w:marBottom w:val="0"/>
      <w:divBdr>
        <w:top w:val="none" w:sz="0" w:space="0" w:color="auto"/>
        <w:left w:val="none" w:sz="0" w:space="0" w:color="auto"/>
        <w:bottom w:val="none" w:sz="0" w:space="0" w:color="auto"/>
        <w:right w:val="none" w:sz="0" w:space="0" w:color="auto"/>
      </w:divBdr>
    </w:div>
    <w:div w:id="1681152697">
      <w:bodyDiv w:val="1"/>
      <w:marLeft w:val="0"/>
      <w:marRight w:val="0"/>
      <w:marTop w:val="0"/>
      <w:marBottom w:val="0"/>
      <w:divBdr>
        <w:top w:val="none" w:sz="0" w:space="0" w:color="auto"/>
        <w:left w:val="none" w:sz="0" w:space="0" w:color="auto"/>
        <w:bottom w:val="none" w:sz="0" w:space="0" w:color="auto"/>
        <w:right w:val="none" w:sz="0" w:space="0" w:color="auto"/>
      </w:divBdr>
    </w:div>
    <w:div w:id="1699235264">
      <w:bodyDiv w:val="1"/>
      <w:marLeft w:val="0"/>
      <w:marRight w:val="0"/>
      <w:marTop w:val="0"/>
      <w:marBottom w:val="0"/>
      <w:divBdr>
        <w:top w:val="none" w:sz="0" w:space="0" w:color="auto"/>
        <w:left w:val="none" w:sz="0" w:space="0" w:color="auto"/>
        <w:bottom w:val="none" w:sz="0" w:space="0" w:color="auto"/>
        <w:right w:val="none" w:sz="0" w:space="0" w:color="auto"/>
      </w:divBdr>
    </w:div>
    <w:div w:id="1727678666">
      <w:bodyDiv w:val="1"/>
      <w:marLeft w:val="0"/>
      <w:marRight w:val="0"/>
      <w:marTop w:val="0"/>
      <w:marBottom w:val="0"/>
      <w:divBdr>
        <w:top w:val="none" w:sz="0" w:space="0" w:color="auto"/>
        <w:left w:val="none" w:sz="0" w:space="0" w:color="auto"/>
        <w:bottom w:val="none" w:sz="0" w:space="0" w:color="auto"/>
        <w:right w:val="none" w:sz="0" w:space="0" w:color="auto"/>
      </w:divBdr>
    </w:div>
    <w:div w:id="1823351386">
      <w:bodyDiv w:val="1"/>
      <w:marLeft w:val="0"/>
      <w:marRight w:val="0"/>
      <w:marTop w:val="0"/>
      <w:marBottom w:val="0"/>
      <w:divBdr>
        <w:top w:val="none" w:sz="0" w:space="0" w:color="auto"/>
        <w:left w:val="none" w:sz="0" w:space="0" w:color="auto"/>
        <w:bottom w:val="none" w:sz="0" w:space="0" w:color="auto"/>
        <w:right w:val="none" w:sz="0" w:space="0" w:color="auto"/>
      </w:divBdr>
    </w:div>
    <w:div w:id="1852253772">
      <w:bodyDiv w:val="1"/>
      <w:marLeft w:val="0"/>
      <w:marRight w:val="0"/>
      <w:marTop w:val="0"/>
      <w:marBottom w:val="0"/>
      <w:divBdr>
        <w:top w:val="none" w:sz="0" w:space="0" w:color="auto"/>
        <w:left w:val="none" w:sz="0" w:space="0" w:color="auto"/>
        <w:bottom w:val="none" w:sz="0" w:space="0" w:color="auto"/>
        <w:right w:val="none" w:sz="0" w:space="0" w:color="auto"/>
      </w:divBdr>
    </w:div>
    <w:div w:id="1879270649">
      <w:bodyDiv w:val="1"/>
      <w:marLeft w:val="0"/>
      <w:marRight w:val="0"/>
      <w:marTop w:val="0"/>
      <w:marBottom w:val="0"/>
      <w:divBdr>
        <w:top w:val="none" w:sz="0" w:space="0" w:color="auto"/>
        <w:left w:val="none" w:sz="0" w:space="0" w:color="auto"/>
        <w:bottom w:val="none" w:sz="0" w:space="0" w:color="auto"/>
        <w:right w:val="none" w:sz="0" w:space="0" w:color="auto"/>
      </w:divBdr>
    </w:div>
    <w:div w:id="189400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Cop02</b:Tag>
    <b:SourceType>Book</b:SourceType>
    <b:Guid>{3A655269-3C6F-4714-9694-5D90FDA49406}</b:Guid>
    <b:Title>Introducción a la Lógica</b:Title>
    <b:Year>2002</b:Year>
    <b:City>México D.F.</b:City>
    <b:Publisher>Editorial Limusa</b:Publisher>
    <b:Author>
      <b:Author>
        <b:NameList>
          <b:Person>
            <b:Last>Copi</b:Last>
            <b:Middle>M.</b:Middle>
            <b:First>Irving</b:First>
          </b:Person>
          <b:Person>
            <b:Last>Cohen</b:Last>
            <b:First>Carl</b:First>
          </b:Person>
        </b:NameList>
      </b:Author>
      <b:Translator>
        <b:NameList>
          <b:Person>
            <b:Last>González Ruiz</b:Last>
            <b:Middle>Antonio</b:Middle>
            <b:First>Edgar</b:First>
          </b:Person>
        </b:NameList>
      </b:Translator>
    </b:Author>
    <b:RefOrder>1</b:RefOrder>
  </b:Source>
</b:Sources>
</file>

<file path=customXml/itemProps1.xml><?xml version="1.0" encoding="utf-8"?>
<ds:datastoreItem xmlns:ds="http://schemas.openxmlformats.org/officeDocument/2006/customXml" ds:itemID="{637D0C19-3B11-45D1-B824-2E3C1D4D7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701F8-230E-4F4A-B900-C2B394D0F577}">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3.xml><?xml version="1.0" encoding="utf-8"?>
<ds:datastoreItem xmlns:ds="http://schemas.openxmlformats.org/officeDocument/2006/customXml" ds:itemID="{8696DFCD-62D7-4D54-99ED-51E1D40E2FC5}">
  <ds:schemaRefs>
    <ds:schemaRef ds:uri="http://schemas.microsoft.com/sharepoint/v3/contenttype/forms"/>
  </ds:schemaRefs>
</ds:datastoreItem>
</file>

<file path=customXml/itemProps4.xml><?xml version="1.0" encoding="utf-8"?>
<ds:datastoreItem xmlns:ds="http://schemas.openxmlformats.org/officeDocument/2006/customXml" ds:itemID="{648A9A81-AFA5-4EC3-8BB5-969D5335C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5252</Words>
  <Characters>28892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Calle 12 No. 7-65 – Tel: (57-1) 350-6700 – Bogotá D.C. – Colombiawww.consejodeestado.gov.co</dc:creator>
  <cp:lastModifiedBy>Sonia Esther Jaimes Valencia</cp:lastModifiedBy>
  <cp:revision>13</cp:revision>
  <cp:lastPrinted>2021-08-11T16:02:00Z</cp:lastPrinted>
  <dcterms:created xsi:type="dcterms:W3CDTF">2022-06-16T21:17:00Z</dcterms:created>
  <dcterms:modified xsi:type="dcterms:W3CDTF">2022-07-13T17:14:00Z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