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DB7" w:rsidRPr="00766FA2" w:rsidRDefault="00A02E90" w:rsidP="00863D39">
      <w:pPr>
        <w:pStyle w:val="Cuadrculamedia21"/>
      </w:pPr>
      <w:r>
        <w:rPr>
          <w:caps w:val="0"/>
        </w:rPr>
        <w:t>Magistrado</w:t>
      </w:r>
      <w:r w:rsidRPr="00766FA2">
        <w:rPr>
          <w:caps w:val="0"/>
        </w:rPr>
        <w:t xml:space="preserve"> </w:t>
      </w:r>
      <w:r w:rsidR="00711E39">
        <w:rPr>
          <w:caps w:val="0"/>
        </w:rPr>
        <w:t>p</w:t>
      </w:r>
      <w:r w:rsidRPr="00766FA2">
        <w:rPr>
          <w:caps w:val="0"/>
        </w:rPr>
        <w:t xml:space="preserve">onente: </w:t>
      </w:r>
      <w:r w:rsidR="000C5DB7" w:rsidRPr="00766FA2">
        <w:t>JAIME ENRIQUE RODRÍGUEZ NAVAS</w:t>
      </w:r>
    </w:p>
    <w:p w:rsidR="00F91B32" w:rsidRPr="00766FA2" w:rsidRDefault="00F91B32" w:rsidP="00863D39">
      <w:pPr>
        <w:contextualSpacing/>
        <w:rPr>
          <w:b/>
          <w:bCs/>
          <w:sz w:val="24"/>
          <w:szCs w:val="24"/>
        </w:rPr>
      </w:pPr>
    </w:p>
    <w:p w:rsidR="000C5DB7" w:rsidRPr="00A02E90" w:rsidRDefault="000C5DB7" w:rsidP="00863D39">
      <w:pPr>
        <w:contextualSpacing/>
        <w:rPr>
          <w:b/>
          <w:sz w:val="24"/>
          <w:szCs w:val="24"/>
        </w:rPr>
      </w:pPr>
      <w:r w:rsidRPr="00A02E90">
        <w:rPr>
          <w:b/>
          <w:sz w:val="24"/>
          <w:szCs w:val="24"/>
        </w:rPr>
        <w:t>Bogotá D.C.,</w:t>
      </w:r>
      <w:r w:rsidR="004E30F5" w:rsidRPr="00A02E90">
        <w:rPr>
          <w:b/>
          <w:sz w:val="24"/>
          <w:szCs w:val="24"/>
        </w:rPr>
        <w:t xml:space="preserve"> </w:t>
      </w:r>
      <w:r w:rsidR="0017761E">
        <w:rPr>
          <w:b/>
          <w:sz w:val="24"/>
          <w:szCs w:val="24"/>
        </w:rPr>
        <w:t>dos</w:t>
      </w:r>
      <w:r w:rsidR="00E969B1" w:rsidRPr="00A02E90">
        <w:rPr>
          <w:b/>
          <w:sz w:val="24"/>
          <w:szCs w:val="24"/>
        </w:rPr>
        <w:t xml:space="preserve"> (</w:t>
      </w:r>
      <w:r w:rsidR="0017761E">
        <w:rPr>
          <w:b/>
          <w:sz w:val="24"/>
          <w:szCs w:val="24"/>
        </w:rPr>
        <w:t>2</w:t>
      </w:r>
      <w:r w:rsidR="004E30F5" w:rsidRPr="00A02E90">
        <w:rPr>
          <w:b/>
          <w:sz w:val="24"/>
          <w:szCs w:val="24"/>
        </w:rPr>
        <w:t>)</w:t>
      </w:r>
      <w:r w:rsidR="0047256F" w:rsidRPr="00A02E90">
        <w:rPr>
          <w:b/>
          <w:sz w:val="24"/>
          <w:szCs w:val="24"/>
        </w:rPr>
        <w:t xml:space="preserve"> </w:t>
      </w:r>
      <w:r w:rsidRPr="00A02E90">
        <w:rPr>
          <w:b/>
          <w:sz w:val="24"/>
          <w:szCs w:val="24"/>
        </w:rPr>
        <w:t>de</w:t>
      </w:r>
      <w:r w:rsidR="0047256F" w:rsidRPr="00A02E90">
        <w:rPr>
          <w:b/>
          <w:sz w:val="24"/>
          <w:szCs w:val="24"/>
        </w:rPr>
        <w:t xml:space="preserve"> </w:t>
      </w:r>
      <w:r w:rsidR="0017761E">
        <w:rPr>
          <w:b/>
          <w:sz w:val="24"/>
          <w:szCs w:val="24"/>
        </w:rPr>
        <w:t>septiembre</w:t>
      </w:r>
      <w:r w:rsidR="00C90D32" w:rsidRPr="00A02E90">
        <w:rPr>
          <w:b/>
          <w:sz w:val="24"/>
          <w:szCs w:val="24"/>
        </w:rPr>
        <w:t xml:space="preserve"> </w:t>
      </w:r>
      <w:r w:rsidR="000572B4" w:rsidRPr="00A02E90">
        <w:rPr>
          <w:b/>
          <w:sz w:val="24"/>
          <w:szCs w:val="24"/>
        </w:rPr>
        <w:t xml:space="preserve">de </w:t>
      </w:r>
      <w:r w:rsidRPr="00A02E90">
        <w:rPr>
          <w:b/>
          <w:sz w:val="24"/>
          <w:szCs w:val="24"/>
        </w:rPr>
        <w:t xml:space="preserve">dos mil </w:t>
      </w:r>
      <w:r w:rsidR="00C87516" w:rsidRPr="00A02E90">
        <w:rPr>
          <w:b/>
          <w:sz w:val="24"/>
          <w:szCs w:val="24"/>
        </w:rPr>
        <w:t>veint</w:t>
      </w:r>
      <w:r w:rsidR="004A40D6" w:rsidRPr="00A02E90">
        <w:rPr>
          <w:b/>
          <w:sz w:val="24"/>
          <w:szCs w:val="24"/>
        </w:rPr>
        <w:t>i</w:t>
      </w:r>
      <w:r w:rsidR="00E969B1" w:rsidRPr="00A02E90">
        <w:rPr>
          <w:b/>
          <w:sz w:val="24"/>
          <w:szCs w:val="24"/>
        </w:rPr>
        <w:t>dós</w:t>
      </w:r>
      <w:r w:rsidRPr="00A02E90">
        <w:rPr>
          <w:b/>
          <w:sz w:val="24"/>
          <w:szCs w:val="24"/>
        </w:rPr>
        <w:t xml:space="preserve"> (</w:t>
      </w:r>
      <w:r w:rsidR="00C87516" w:rsidRPr="00A02E90">
        <w:rPr>
          <w:b/>
          <w:sz w:val="24"/>
          <w:szCs w:val="24"/>
        </w:rPr>
        <w:t>202</w:t>
      </w:r>
      <w:r w:rsidR="00E969B1" w:rsidRPr="00A02E90">
        <w:rPr>
          <w:b/>
          <w:sz w:val="24"/>
          <w:szCs w:val="24"/>
        </w:rPr>
        <w:t>2</w:t>
      </w:r>
      <w:r w:rsidRPr="00A02E90">
        <w:rPr>
          <w:b/>
          <w:sz w:val="24"/>
          <w:szCs w:val="24"/>
        </w:rPr>
        <w:t>).</w:t>
      </w:r>
    </w:p>
    <w:p w:rsidR="00F91B32" w:rsidRPr="00766FA2" w:rsidRDefault="00F91B32" w:rsidP="00863D39">
      <w:pPr>
        <w:contextualSpacing/>
        <w:rPr>
          <w:b/>
          <w:sz w:val="24"/>
          <w:szCs w:val="24"/>
        </w:rPr>
      </w:pPr>
    </w:p>
    <w:p w:rsidR="000C5DB7" w:rsidRPr="00C90D32" w:rsidRDefault="000C5DB7" w:rsidP="00863D39">
      <w:pPr>
        <w:tabs>
          <w:tab w:val="left" w:pos="1985"/>
        </w:tabs>
        <w:contextualSpacing/>
        <w:rPr>
          <w:bCs/>
          <w:sz w:val="24"/>
          <w:szCs w:val="24"/>
        </w:rPr>
      </w:pPr>
      <w:r w:rsidRPr="00766FA2">
        <w:rPr>
          <w:b/>
          <w:sz w:val="24"/>
          <w:szCs w:val="24"/>
        </w:rPr>
        <w:t>Radica</w:t>
      </w:r>
      <w:r w:rsidR="00A02E90">
        <w:rPr>
          <w:b/>
          <w:sz w:val="24"/>
          <w:szCs w:val="24"/>
        </w:rPr>
        <w:t>do número</w:t>
      </w:r>
      <w:r w:rsidRPr="00766FA2">
        <w:rPr>
          <w:b/>
          <w:sz w:val="24"/>
          <w:szCs w:val="24"/>
        </w:rPr>
        <w:t>:</w:t>
      </w:r>
      <w:r w:rsidRPr="00766FA2">
        <w:rPr>
          <w:b/>
          <w:sz w:val="24"/>
          <w:szCs w:val="24"/>
        </w:rPr>
        <w:tab/>
      </w:r>
      <w:r w:rsidR="00A02E90">
        <w:rPr>
          <w:b/>
          <w:sz w:val="24"/>
          <w:szCs w:val="24"/>
        </w:rPr>
        <w:tab/>
      </w:r>
      <w:r w:rsidR="00C90D32" w:rsidRPr="00C90D32">
        <w:rPr>
          <w:bCs/>
          <w:sz w:val="24"/>
          <w:szCs w:val="24"/>
        </w:rPr>
        <w:t>11001-03-15-000-202</w:t>
      </w:r>
      <w:r w:rsidR="00E969B1">
        <w:rPr>
          <w:bCs/>
          <w:sz w:val="24"/>
          <w:szCs w:val="24"/>
        </w:rPr>
        <w:t>2</w:t>
      </w:r>
      <w:r w:rsidR="00C90D32" w:rsidRPr="00C90D32">
        <w:rPr>
          <w:bCs/>
          <w:sz w:val="24"/>
          <w:szCs w:val="24"/>
        </w:rPr>
        <w:t>-0</w:t>
      </w:r>
      <w:r w:rsidR="00557CEA">
        <w:rPr>
          <w:bCs/>
          <w:sz w:val="24"/>
          <w:szCs w:val="24"/>
        </w:rPr>
        <w:t>4053</w:t>
      </w:r>
      <w:r w:rsidR="00C90D32" w:rsidRPr="00C90D32">
        <w:rPr>
          <w:bCs/>
          <w:sz w:val="24"/>
          <w:szCs w:val="24"/>
        </w:rPr>
        <w:t>-00</w:t>
      </w:r>
      <w:r w:rsidR="009A75AE">
        <w:rPr>
          <w:bCs/>
          <w:sz w:val="24"/>
          <w:szCs w:val="24"/>
        </w:rPr>
        <w:t>.</w:t>
      </w:r>
    </w:p>
    <w:p w:rsidR="000C5DB7" w:rsidRPr="00766FA2" w:rsidRDefault="000C5DB7" w:rsidP="00863D39">
      <w:pPr>
        <w:tabs>
          <w:tab w:val="left" w:pos="1985"/>
        </w:tabs>
        <w:ind w:left="1980" w:hanging="1980"/>
        <w:contextualSpacing/>
        <w:rPr>
          <w:sz w:val="24"/>
          <w:szCs w:val="24"/>
        </w:rPr>
      </w:pPr>
      <w:r w:rsidRPr="00766FA2">
        <w:rPr>
          <w:b/>
          <w:sz w:val="24"/>
          <w:szCs w:val="24"/>
        </w:rPr>
        <w:t>Accionante:</w:t>
      </w:r>
      <w:r w:rsidRPr="00766FA2">
        <w:rPr>
          <w:b/>
          <w:sz w:val="24"/>
          <w:szCs w:val="24"/>
        </w:rPr>
        <w:tab/>
      </w:r>
      <w:r w:rsidR="00A02E90">
        <w:rPr>
          <w:b/>
          <w:sz w:val="24"/>
          <w:szCs w:val="24"/>
        </w:rPr>
        <w:tab/>
      </w:r>
      <w:r w:rsidR="00A02E90">
        <w:rPr>
          <w:b/>
          <w:sz w:val="24"/>
          <w:szCs w:val="24"/>
        </w:rPr>
        <w:tab/>
      </w:r>
      <w:r w:rsidR="00A02E90">
        <w:rPr>
          <w:b/>
          <w:sz w:val="24"/>
          <w:szCs w:val="24"/>
        </w:rPr>
        <w:tab/>
      </w:r>
      <w:r w:rsidR="00557CEA">
        <w:rPr>
          <w:sz w:val="24"/>
          <w:szCs w:val="24"/>
        </w:rPr>
        <w:t>Alberto de Jesús Martelo Camacho</w:t>
      </w:r>
      <w:r w:rsidR="009A75AE">
        <w:rPr>
          <w:sz w:val="24"/>
          <w:szCs w:val="24"/>
        </w:rPr>
        <w:t>.</w:t>
      </w:r>
    </w:p>
    <w:p w:rsidR="000C5DB7" w:rsidRDefault="000C5DB7" w:rsidP="00A02E90">
      <w:pPr>
        <w:tabs>
          <w:tab w:val="left" w:pos="1985"/>
        </w:tabs>
        <w:ind w:left="2832" w:hanging="2832"/>
        <w:rPr>
          <w:bCs/>
          <w:sz w:val="24"/>
          <w:szCs w:val="24"/>
        </w:rPr>
      </w:pPr>
      <w:r w:rsidRPr="00766FA2">
        <w:rPr>
          <w:b/>
          <w:sz w:val="24"/>
          <w:szCs w:val="24"/>
        </w:rPr>
        <w:t>Accionado</w:t>
      </w:r>
      <w:r w:rsidR="009748DA">
        <w:rPr>
          <w:b/>
          <w:sz w:val="24"/>
          <w:szCs w:val="24"/>
        </w:rPr>
        <w:t>s</w:t>
      </w:r>
      <w:r w:rsidRPr="00766FA2">
        <w:rPr>
          <w:b/>
          <w:sz w:val="24"/>
          <w:szCs w:val="24"/>
        </w:rPr>
        <w:t>:</w:t>
      </w:r>
      <w:r w:rsidRPr="00766FA2">
        <w:rPr>
          <w:b/>
          <w:sz w:val="24"/>
          <w:szCs w:val="24"/>
        </w:rPr>
        <w:tab/>
      </w:r>
      <w:r w:rsidR="00A02E90">
        <w:rPr>
          <w:b/>
          <w:sz w:val="24"/>
          <w:szCs w:val="24"/>
        </w:rPr>
        <w:tab/>
      </w:r>
      <w:r w:rsidR="00557CEA">
        <w:rPr>
          <w:sz w:val="24"/>
          <w:szCs w:val="24"/>
          <w:lang w:val="es-ES" w:eastAsia="en-US"/>
        </w:rPr>
        <w:t>Consejo de Estado, Sección Tercera, Subsección B</w:t>
      </w:r>
      <w:r w:rsidR="009A75AE">
        <w:rPr>
          <w:sz w:val="24"/>
          <w:szCs w:val="24"/>
          <w:lang w:val="es-ES" w:eastAsia="en-US"/>
        </w:rPr>
        <w:t>.</w:t>
      </w:r>
    </w:p>
    <w:p w:rsidR="00A02E90" w:rsidRPr="00766FA2" w:rsidRDefault="00A02E90" w:rsidP="00A02E90">
      <w:pPr>
        <w:ind w:left="1985" w:hanging="1985"/>
        <w:contextualSpacing/>
        <w:rPr>
          <w:b/>
          <w:sz w:val="24"/>
          <w:szCs w:val="24"/>
        </w:rPr>
      </w:pPr>
      <w:r w:rsidRPr="00766FA2">
        <w:rPr>
          <w:b/>
          <w:sz w:val="24"/>
          <w:szCs w:val="24"/>
        </w:rPr>
        <w:t xml:space="preserve">Referencia: </w:t>
      </w:r>
      <w:r w:rsidRPr="00766FA2">
        <w:rPr>
          <w:b/>
          <w:sz w:val="24"/>
          <w:szCs w:val="24"/>
        </w:rPr>
        <w:tab/>
      </w:r>
      <w:r>
        <w:rPr>
          <w:b/>
          <w:sz w:val="24"/>
          <w:szCs w:val="24"/>
        </w:rPr>
        <w:tab/>
      </w:r>
      <w:r>
        <w:rPr>
          <w:b/>
          <w:sz w:val="24"/>
          <w:szCs w:val="24"/>
        </w:rPr>
        <w:tab/>
      </w:r>
      <w:r w:rsidRPr="00766FA2">
        <w:rPr>
          <w:sz w:val="24"/>
          <w:szCs w:val="24"/>
        </w:rPr>
        <w:t>Acción de tutela</w:t>
      </w:r>
      <w:r w:rsidR="009A75AE">
        <w:rPr>
          <w:sz w:val="24"/>
          <w:szCs w:val="24"/>
        </w:rPr>
        <w:t>.</w:t>
      </w:r>
    </w:p>
    <w:p w:rsidR="004150F5" w:rsidRDefault="004150F5" w:rsidP="00C55F2E">
      <w:pPr>
        <w:tabs>
          <w:tab w:val="left" w:pos="1985"/>
        </w:tabs>
        <w:ind w:left="1985" w:right="51" w:hanging="1985"/>
        <w:contextualSpacing/>
        <w:rPr>
          <w:b/>
          <w:sz w:val="24"/>
          <w:szCs w:val="24"/>
        </w:rPr>
      </w:pPr>
    </w:p>
    <w:p w:rsidR="00A02E90" w:rsidRPr="00CE4B2E" w:rsidRDefault="00D478FB" w:rsidP="00D478FB">
      <w:pPr>
        <w:tabs>
          <w:tab w:val="left" w:pos="0"/>
        </w:tabs>
        <w:ind w:right="51"/>
        <w:contextualSpacing/>
        <w:rPr>
          <w:bCs/>
          <w:sz w:val="20"/>
          <w:szCs w:val="20"/>
        </w:rPr>
      </w:pPr>
      <w:r w:rsidRPr="00CE4B2E">
        <w:rPr>
          <w:b/>
          <w:sz w:val="20"/>
          <w:szCs w:val="20"/>
        </w:rPr>
        <w:t xml:space="preserve">Tema: </w:t>
      </w:r>
      <w:r w:rsidR="00CE4B2E">
        <w:rPr>
          <w:bCs/>
          <w:sz w:val="20"/>
          <w:szCs w:val="20"/>
        </w:rPr>
        <w:t>acción de t</w:t>
      </w:r>
      <w:r w:rsidRPr="00CE4B2E">
        <w:rPr>
          <w:bCs/>
          <w:sz w:val="20"/>
          <w:szCs w:val="20"/>
        </w:rPr>
        <w:t xml:space="preserve">utela contra providencia judicial. </w:t>
      </w:r>
    </w:p>
    <w:p w:rsidR="00A02E90" w:rsidRPr="00CE4B2E" w:rsidRDefault="00D478FB" w:rsidP="00D478FB">
      <w:pPr>
        <w:tabs>
          <w:tab w:val="left" w:pos="0"/>
        </w:tabs>
        <w:ind w:right="51"/>
        <w:contextualSpacing/>
        <w:rPr>
          <w:bCs/>
          <w:sz w:val="20"/>
          <w:szCs w:val="20"/>
        </w:rPr>
      </w:pPr>
      <w:r w:rsidRPr="00CE4B2E">
        <w:rPr>
          <w:b/>
          <w:sz w:val="20"/>
          <w:szCs w:val="20"/>
        </w:rPr>
        <w:t>Subtema 1:</w:t>
      </w:r>
      <w:r w:rsidRPr="00CE4B2E">
        <w:rPr>
          <w:bCs/>
          <w:sz w:val="20"/>
          <w:szCs w:val="20"/>
        </w:rPr>
        <w:t xml:space="preserve"> </w:t>
      </w:r>
      <w:r w:rsidR="00CE4B2E">
        <w:rPr>
          <w:bCs/>
          <w:sz w:val="20"/>
          <w:szCs w:val="20"/>
        </w:rPr>
        <w:t>r</w:t>
      </w:r>
      <w:r w:rsidRPr="00CE4B2E">
        <w:rPr>
          <w:bCs/>
          <w:sz w:val="20"/>
          <w:szCs w:val="20"/>
        </w:rPr>
        <w:t xml:space="preserve">equisitos generales de la acción de tutela contra providencia judicial. </w:t>
      </w:r>
    </w:p>
    <w:p w:rsidR="00D478FB" w:rsidRPr="00A02E90" w:rsidRDefault="00D478FB" w:rsidP="00D478FB">
      <w:pPr>
        <w:tabs>
          <w:tab w:val="left" w:pos="0"/>
        </w:tabs>
        <w:ind w:right="51"/>
        <w:contextualSpacing/>
        <w:rPr>
          <w:bCs/>
          <w:sz w:val="20"/>
          <w:szCs w:val="20"/>
        </w:rPr>
      </w:pPr>
      <w:r w:rsidRPr="00CE4B2E">
        <w:rPr>
          <w:b/>
          <w:sz w:val="20"/>
          <w:szCs w:val="20"/>
        </w:rPr>
        <w:t xml:space="preserve">Subtema 2: </w:t>
      </w:r>
      <w:r w:rsidR="00CE4B2E">
        <w:rPr>
          <w:bCs/>
          <w:sz w:val="20"/>
          <w:szCs w:val="20"/>
        </w:rPr>
        <w:t>i</w:t>
      </w:r>
      <w:r w:rsidR="00CE4B2E" w:rsidRPr="00CE4B2E">
        <w:rPr>
          <w:bCs/>
          <w:sz w:val="20"/>
          <w:szCs w:val="20"/>
        </w:rPr>
        <w:t>mprocedencia</w:t>
      </w:r>
      <w:r w:rsidR="007364D3">
        <w:rPr>
          <w:bCs/>
          <w:sz w:val="20"/>
          <w:szCs w:val="20"/>
        </w:rPr>
        <w:t xml:space="preserve"> por falta de r</w:t>
      </w:r>
      <w:r w:rsidRPr="00CE4B2E">
        <w:rPr>
          <w:bCs/>
          <w:sz w:val="20"/>
          <w:szCs w:val="20"/>
        </w:rPr>
        <w:t xml:space="preserve">elevancia </w:t>
      </w:r>
      <w:r w:rsidR="007364D3">
        <w:rPr>
          <w:bCs/>
          <w:sz w:val="20"/>
          <w:szCs w:val="20"/>
        </w:rPr>
        <w:t>c</w:t>
      </w:r>
      <w:r w:rsidRPr="00CE4B2E">
        <w:rPr>
          <w:bCs/>
          <w:sz w:val="20"/>
          <w:szCs w:val="20"/>
        </w:rPr>
        <w:t>onstitucional.</w:t>
      </w:r>
    </w:p>
    <w:p w:rsidR="00D478FB" w:rsidRPr="00766FA2" w:rsidRDefault="00D478FB" w:rsidP="00C55F2E">
      <w:pPr>
        <w:tabs>
          <w:tab w:val="left" w:pos="1985"/>
        </w:tabs>
        <w:ind w:left="1985" w:right="51" w:hanging="1985"/>
        <w:contextualSpacing/>
        <w:rPr>
          <w:b/>
          <w:sz w:val="24"/>
          <w:szCs w:val="24"/>
        </w:rPr>
      </w:pPr>
    </w:p>
    <w:p w:rsidR="000C5DB7" w:rsidRPr="00766FA2" w:rsidRDefault="000C5DB7" w:rsidP="00863D39">
      <w:pPr>
        <w:pBdr>
          <w:bottom w:val="single" w:sz="12" w:space="0" w:color="auto"/>
        </w:pBdr>
        <w:ind w:left="2832" w:hanging="2832"/>
        <w:contextualSpacing/>
        <w:rPr>
          <w:b/>
          <w:sz w:val="24"/>
          <w:szCs w:val="24"/>
        </w:rPr>
      </w:pPr>
      <w:r w:rsidRPr="00766FA2">
        <w:rPr>
          <w:b/>
          <w:sz w:val="24"/>
          <w:szCs w:val="24"/>
        </w:rPr>
        <w:t xml:space="preserve">SENTENCIA DE </w:t>
      </w:r>
      <w:r w:rsidR="00E81297" w:rsidRPr="00766FA2">
        <w:rPr>
          <w:b/>
          <w:sz w:val="24"/>
          <w:szCs w:val="24"/>
        </w:rPr>
        <w:t>PRIMERA</w:t>
      </w:r>
      <w:r w:rsidRPr="00766FA2">
        <w:rPr>
          <w:b/>
          <w:sz w:val="24"/>
          <w:szCs w:val="24"/>
        </w:rPr>
        <w:t xml:space="preserve"> INSTANCIA</w:t>
      </w:r>
    </w:p>
    <w:p w:rsidR="00E81297" w:rsidRPr="00766FA2" w:rsidRDefault="00E81297" w:rsidP="00863D39">
      <w:pPr>
        <w:tabs>
          <w:tab w:val="left" w:pos="0"/>
        </w:tabs>
        <w:contextualSpacing/>
        <w:rPr>
          <w:sz w:val="24"/>
          <w:szCs w:val="24"/>
        </w:rPr>
      </w:pPr>
    </w:p>
    <w:p w:rsidR="00E81297" w:rsidRPr="00766FA2" w:rsidRDefault="00E81297" w:rsidP="00E969B1">
      <w:pPr>
        <w:pStyle w:val="Textoindependiente21"/>
        <w:ind w:left="0"/>
        <w:jc w:val="both"/>
        <w:rPr>
          <w:rFonts w:cs="Arial"/>
          <w:sz w:val="24"/>
          <w:szCs w:val="24"/>
        </w:rPr>
      </w:pPr>
      <w:r w:rsidRPr="00766FA2">
        <w:rPr>
          <w:rFonts w:cs="Arial"/>
          <w:sz w:val="24"/>
          <w:szCs w:val="24"/>
        </w:rPr>
        <w:t>La Sala decide en primera instancia la acción de tutela in</w:t>
      </w:r>
      <w:r w:rsidR="00B70FE5">
        <w:rPr>
          <w:rFonts w:cs="Arial"/>
          <w:sz w:val="24"/>
          <w:szCs w:val="24"/>
        </w:rPr>
        <w:t>coada</w:t>
      </w:r>
      <w:r w:rsidRPr="00766FA2">
        <w:rPr>
          <w:rFonts w:cs="Arial"/>
          <w:sz w:val="24"/>
          <w:szCs w:val="24"/>
        </w:rPr>
        <w:t xml:space="preserve"> por </w:t>
      </w:r>
      <w:r w:rsidR="003D0DA6">
        <w:rPr>
          <w:rFonts w:cs="Arial"/>
          <w:sz w:val="24"/>
          <w:szCs w:val="24"/>
        </w:rPr>
        <w:t xml:space="preserve">Alberto de Jesús Martelo Camacho </w:t>
      </w:r>
      <w:r w:rsidR="000A2069">
        <w:rPr>
          <w:rFonts w:cs="Arial"/>
          <w:sz w:val="24"/>
          <w:szCs w:val="24"/>
        </w:rPr>
        <w:t>en contra de</w:t>
      </w:r>
      <w:r w:rsidR="003D0DA6">
        <w:rPr>
          <w:rFonts w:cs="Arial"/>
          <w:sz w:val="24"/>
          <w:szCs w:val="24"/>
        </w:rPr>
        <w:t xml:space="preserve"> la Subsección B de la Sección Tercera de esta Corporación</w:t>
      </w:r>
      <w:r w:rsidR="00717546">
        <w:rPr>
          <w:rFonts w:cs="Arial"/>
          <w:sz w:val="24"/>
          <w:szCs w:val="24"/>
        </w:rPr>
        <w:t>.</w:t>
      </w:r>
    </w:p>
    <w:p w:rsidR="00E81297" w:rsidRPr="00766FA2" w:rsidRDefault="00E81297" w:rsidP="00863D39">
      <w:pPr>
        <w:tabs>
          <w:tab w:val="left" w:pos="0"/>
        </w:tabs>
        <w:contextualSpacing/>
        <w:rPr>
          <w:sz w:val="24"/>
          <w:szCs w:val="24"/>
        </w:rPr>
      </w:pPr>
    </w:p>
    <w:p w:rsidR="000C5DB7" w:rsidRPr="00766FA2" w:rsidRDefault="000C5DB7" w:rsidP="00863D39">
      <w:pPr>
        <w:pStyle w:val="Ttulo1"/>
        <w:spacing w:before="0" w:after="0" w:line="240" w:lineRule="auto"/>
        <w:rPr>
          <w:rFonts w:cs="Arial"/>
          <w:szCs w:val="24"/>
        </w:rPr>
      </w:pPr>
      <w:r w:rsidRPr="00766FA2">
        <w:rPr>
          <w:rFonts w:cs="Arial"/>
          <w:szCs w:val="24"/>
        </w:rPr>
        <w:t>ANTECEDENTES</w:t>
      </w:r>
    </w:p>
    <w:p w:rsidR="003E02F0" w:rsidRPr="003E02F0" w:rsidRDefault="003E02F0" w:rsidP="00863D39">
      <w:pPr>
        <w:pStyle w:val="Ttulo2"/>
        <w:numPr>
          <w:ilvl w:val="0"/>
          <w:numId w:val="0"/>
        </w:numPr>
        <w:spacing w:before="0" w:after="0"/>
        <w:ind w:left="360" w:hanging="360"/>
        <w:rPr>
          <w:rFonts w:cs="Arial"/>
          <w:color w:val="000000"/>
          <w:szCs w:val="24"/>
          <w:lang w:eastAsia="es-ES"/>
        </w:rPr>
      </w:pPr>
      <w:r w:rsidRPr="003E02F0">
        <w:rPr>
          <w:rFonts w:cs="Arial"/>
          <w:color w:val="000000"/>
          <w:szCs w:val="24"/>
          <w:lang w:eastAsia="es-ES"/>
        </w:rPr>
        <w:t>1.1. Solicitud de tutela</w:t>
      </w:r>
    </w:p>
    <w:p w:rsidR="003E02F0" w:rsidRPr="003E02F0" w:rsidRDefault="003E02F0" w:rsidP="00863D39">
      <w:pPr>
        <w:overflowPunct w:val="0"/>
        <w:autoSpaceDE w:val="0"/>
        <w:autoSpaceDN w:val="0"/>
        <w:adjustRightInd w:val="0"/>
        <w:contextualSpacing/>
        <w:textAlignment w:val="baseline"/>
        <w:rPr>
          <w:color w:val="000000"/>
          <w:sz w:val="24"/>
          <w:szCs w:val="24"/>
        </w:rPr>
      </w:pPr>
    </w:p>
    <w:p w:rsidR="00C71904" w:rsidRPr="00C71904" w:rsidRDefault="00317502" w:rsidP="00C71904">
      <w:pPr>
        <w:tabs>
          <w:tab w:val="left" w:pos="1985"/>
        </w:tabs>
        <w:rPr>
          <w:rFonts w:eastAsia="Times New Roman"/>
          <w:sz w:val="24"/>
          <w:szCs w:val="24"/>
        </w:rPr>
      </w:pPr>
      <w:r>
        <w:rPr>
          <w:bCs/>
          <w:color w:val="000000"/>
          <w:sz w:val="24"/>
          <w:szCs w:val="24"/>
        </w:rPr>
        <w:t>Alberto de Jesús</w:t>
      </w:r>
      <w:r w:rsidR="005C0B8F">
        <w:rPr>
          <w:bCs/>
          <w:color w:val="000000"/>
          <w:sz w:val="24"/>
          <w:szCs w:val="24"/>
        </w:rPr>
        <w:t xml:space="preserve"> Martelo Camacho por medio de apoderado</w:t>
      </w:r>
      <w:r w:rsidR="005C0B8F">
        <w:rPr>
          <w:rStyle w:val="Refdenotaalpie"/>
          <w:bCs/>
          <w:color w:val="000000"/>
          <w:sz w:val="24"/>
          <w:szCs w:val="24"/>
        </w:rPr>
        <w:footnoteReference w:id="1"/>
      </w:r>
      <w:r w:rsidR="005C0B8F">
        <w:rPr>
          <w:bCs/>
          <w:color w:val="000000"/>
          <w:sz w:val="24"/>
          <w:szCs w:val="24"/>
        </w:rPr>
        <w:t>,</w:t>
      </w:r>
      <w:r w:rsidR="009243EC">
        <w:rPr>
          <w:bCs/>
          <w:color w:val="000000"/>
          <w:sz w:val="24"/>
          <w:szCs w:val="24"/>
        </w:rPr>
        <w:t xml:space="preserve"> presentó </w:t>
      </w:r>
      <w:r w:rsidR="007512EE">
        <w:rPr>
          <w:bCs/>
          <w:color w:val="000000"/>
          <w:sz w:val="24"/>
          <w:szCs w:val="24"/>
        </w:rPr>
        <w:t>acción de tutela</w:t>
      </w:r>
      <w:r w:rsidR="009243EC">
        <w:rPr>
          <w:sz w:val="24"/>
          <w:szCs w:val="24"/>
        </w:rPr>
        <w:t xml:space="preserve"> en la que deprecó el amparo</w:t>
      </w:r>
      <w:r w:rsidR="00322E59" w:rsidRPr="00766FA2">
        <w:rPr>
          <w:sz w:val="24"/>
          <w:szCs w:val="24"/>
        </w:rPr>
        <w:t xml:space="preserve"> de </w:t>
      </w:r>
      <w:r w:rsidR="00E54103">
        <w:rPr>
          <w:sz w:val="24"/>
          <w:szCs w:val="24"/>
        </w:rPr>
        <w:t>los</w:t>
      </w:r>
      <w:r w:rsidR="00322E59" w:rsidRPr="00766FA2">
        <w:rPr>
          <w:sz w:val="24"/>
          <w:szCs w:val="24"/>
        </w:rPr>
        <w:t xml:space="preserve"> derechos fundamentales</w:t>
      </w:r>
      <w:r w:rsidR="007512EE" w:rsidRPr="007512EE">
        <w:rPr>
          <w:sz w:val="24"/>
          <w:szCs w:val="24"/>
        </w:rPr>
        <w:t xml:space="preserve"> </w:t>
      </w:r>
      <w:r w:rsidR="0036789B">
        <w:rPr>
          <w:sz w:val="24"/>
          <w:szCs w:val="24"/>
        </w:rPr>
        <w:t xml:space="preserve">a la </w:t>
      </w:r>
      <w:r w:rsidR="00E54103">
        <w:rPr>
          <w:sz w:val="24"/>
          <w:szCs w:val="24"/>
        </w:rPr>
        <w:t xml:space="preserve">igualdad, </w:t>
      </w:r>
      <w:r w:rsidR="0036789B">
        <w:rPr>
          <w:sz w:val="24"/>
          <w:szCs w:val="24"/>
        </w:rPr>
        <w:t xml:space="preserve">al </w:t>
      </w:r>
      <w:r w:rsidR="00E54103">
        <w:rPr>
          <w:sz w:val="24"/>
          <w:szCs w:val="24"/>
        </w:rPr>
        <w:t xml:space="preserve">debido proceso, </w:t>
      </w:r>
      <w:r w:rsidR="0036789B">
        <w:rPr>
          <w:sz w:val="24"/>
          <w:szCs w:val="24"/>
        </w:rPr>
        <w:t xml:space="preserve">a la </w:t>
      </w:r>
      <w:r w:rsidR="00E54103">
        <w:rPr>
          <w:sz w:val="24"/>
          <w:szCs w:val="24"/>
        </w:rPr>
        <w:t>prevalencia del derecho sustancial,</w:t>
      </w:r>
      <w:r w:rsidR="0036789B">
        <w:rPr>
          <w:sz w:val="24"/>
          <w:szCs w:val="24"/>
        </w:rPr>
        <w:t xml:space="preserve"> al</w:t>
      </w:r>
      <w:r w:rsidR="00E54103">
        <w:rPr>
          <w:sz w:val="24"/>
          <w:szCs w:val="24"/>
        </w:rPr>
        <w:t xml:space="preserve"> acceso a la administración de justicia y</w:t>
      </w:r>
      <w:r w:rsidR="0036789B">
        <w:rPr>
          <w:sz w:val="24"/>
          <w:szCs w:val="24"/>
        </w:rPr>
        <w:t xml:space="preserve"> a la </w:t>
      </w:r>
      <w:r w:rsidR="00E54103">
        <w:rPr>
          <w:sz w:val="24"/>
          <w:szCs w:val="24"/>
        </w:rPr>
        <w:t>dignidad</w:t>
      </w:r>
      <w:r w:rsidR="007512EE">
        <w:rPr>
          <w:sz w:val="24"/>
          <w:szCs w:val="24"/>
        </w:rPr>
        <w:t>,</w:t>
      </w:r>
      <w:r w:rsidR="00322E59">
        <w:rPr>
          <w:sz w:val="24"/>
          <w:szCs w:val="24"/>
        </w:rPr>
        <w:t xml:space="preserve"> que consideró</w:t>
      </w:r>
      <w:r w:rsidR="00322E59" w:rsidRPr="00766FA2">
        <w:rPr>
          <w:sz w:val="24"/>
          <w:szCs w:val="24"/>
        </w:rPr>
        <w:t xml:space="preserve"> vulnerados</w:t>
      </w:r>
      <w:r w:rsidR="003E02F0" w:rsidRPr="003E02F0">
        <w:rPr>
          <w:color w:val="000000"/>
          <w:sz w:val="24"/>
          <w:szCs w:val="24"/>
        </w:rPr>
        <w:t xml:space="preserve"> </w:t>
      </w:r>
      <w:r w:rsidR="003E02F0" w:rsidRPr="00E07C43">
        <w:rPr>
          <w:color w:val="000000"/>
          <w:sz w:val="24"/>
          <w:szCs w:val="24"/>
        </w:rPr>
        <w:t xml:space="preserve">por </w:t>
      </w:r>
      <w:r w:rsidR="00E54103">
        <w:rPr>
          <w:sz w:val="24"/>
          <w:szCs w:val="24"/>
        </w:rPr>
        <w:t>la Subsección B de la Sección Tercera del Consejo de Estado</w:t>
      </w:r>
      <w:r w:rsidR="009243EC">
        <w:rPr>
          <w:bCs/>
          <w:sz w:val="24"/>
          <w:szCs w:val="24"/>
        </w:rPr>
        <w:t xml:space="preserve"> </w:t>
      </w:r>
      <w:r w:rsidR="0059616E">
        <w:rPr>
          <w:sz w:val="24"/>
          <w:szCs w:val="24"/>
        </w:rPr>
        <w:t xml:space="preserve">con ocasión de la sentencia </w:t>
      </w:r>
      <w:r w:rsidR="00C71904">
        <w:rPr>
          <w:sz w:val="24"/>
          <w:szCs w:val="24"/>
        </w:rPr>
        <w:t>del 18 de noviembre de 2021</w:t>
      </w:r>
      <w:r w:rsidR="0059616E">
        <w:rPr>
          <w:sz w:val="24"/>
          <w:szCs w:val="24"/>
        </w:rPr>
        <w:t xml:space="preserve"> proferida por la mencionada autoridad, en la qu</w:t>
      </w:r>
      <w:r w:rsidR="00C71904">
        <w:rPr>
          <w:sz w:val="24"/>
          <w:szCs w:val="24"/>
        </w:rPr>
        <w:t>e</w:t>
      </w:r>
      <w:r w:rsidR="00C71904" w:rsidRPr="00C71904">
        <w:rPr>
          <w:rFonts w:eastAsia="Times New Roman"/>
          <w:sz w:val="24"/>
          <w:szCs w:val="24"/>
        </w:rPr>
        <w:t xml:space="preserve"> confirmó el fallo del 20 de marzo de 2014 del Tribunal Administrativo de Sucre que negó las pretensiones de la demanda que promovió el señor José Rodrigo Martelo Paniza (fallecido) padre del accionante, dentro del proceso de reparación directa identificado con radicado número </w:t>
      </w:r>
      <w:r w:rsidR="00D131F2">
        <w:rPr>
          <w:rFonts w:eastAsia="Times New Roman"/>
          <w:sz w:val="24"/>
          <w:szCs w:val="24"/>
        </w:rPr>
        <w:t>70001</w:t>
      </w:r>
      <w:r w:rsidR="00C71904" w:rsidRPr="00C71904">
        <w:rPr>
          <w:rFonts w:eastAsia="Times New Roman"/>
          <w:sz w:val="24"/>
          <w:szCs w:val="24"/>
        </w:rPr>
        <w:t>-23-33-000-2012-00121-00/01(51.104).</w:t>
      </w:r>
    </w:p>
    <w:p w:rsidR="007512EE" w:rsidRPr="007512EE" w:rsidRDefault="007512EE" w:rsidP="007512EE">
      <w:pPr>
        <w:tabs>
          <w:tab w:val="left" w:pos="1985"/>
        </w:tabs>
        <w:rPr>
          <w:rFonts w:eastAsia="Times New Roman"/>
          <w:sz w:val="24"/>
          <w:szCs w:val="24"/>
        </w:rPr>
      </w:pPr>
    </w:p>
    <w:p w:rsidR="003E02F0" w:rsidRPr="003E02F0" w:rsidRDefault="003E02F0" w:rsidP="00863D39">
      <w:pPr>
        <w:contextualSpacing/>
        <w:rPr>
          <w:rFonts w:eastAsia="Verdana"/>
          <w:b/>
          <w:color w:val="000000"/>
          <w:sz w:val="24"/>
          <w:szCs w:val="24"/>
        </w:rPr>
      </w:pPr>
      <w:r w:rsidRPr="003E02F0">
        <w:rPr>
          <w:rFonts w:eastAsia="Verdana"/>
          <w:b/>
          <w:bCs/>
          <w:color w:val="000000"/>
          <w:sz w:val="24"/>
          <w:szCs w:val="24"/>
        </w:rPr>
        <w:t>1.2.</w:t>
      </w:r>
      <w:r w:rsidRPr="003E02F0">
        <w:rPr>
          <w:rFonts w:eastAsia="Verdana"/>
          <w:color w:val="000000"/>
          <w:sz w:val="24"/>
          <w:szCs w:val="24"/>
        </w:rPr>
        <w:t xml:space="preserve"> </w:t>
      </w:r>
      <w:r w:rsidRPr="003E02F0">
        <w:rPr>
          <w:rFonts w:eastAsia="Verdana"/>
          <w:b/>
          <w:color w:val="000000"/>
          <w:sz w:val="24"/>
          <w:szCs w:val="24"/>
        </w:rPr>
        <w:t>Hechos</w:t>
      </w:r>
      <w:r w:rsidR="005E7881">
        <w:rPr>
          <w:rFonts w:eastAsia="Verdana"/>
          <w:b/>
          <w:color w:val="000000"/>
          <w:sz w:val="24"/>
          <w:szCs w:val="24"/>
        </w:rPr>
        <w:t xml:space="preserve"> probados</w:t>
      </w:r>
    </w:p>
    <w:p w:rsidR="0010200E" w:rsidRDefault="0010200E" w:rsidP="00863D39">
      <w:pPr>
        <w:contextualSpacing/>
        <w:rPr>
          <w:rFonts w:eastAsia="Verdana"/>
          <w:b/>
          <w:sz w:val="24"/>
          <w:szCs w:val="24"/>
        </w:rPr>
      </w:pPr>
    </w:p>
    <w:p w:rsidR="00B433B9" w:rsidRDefault="0036270F" w:rsidP="00863D39">
      <w:pPr>
        <w:contextualSpacing/>
        <w:rPr>
          <w:rFonts w:eastAsia="Verdana"/>
          <w:bCs/>
          <w:sz w:val="24"/>
          <w:szCs w:val="24"/>
        </w:rPr>
      </w:pPr>
      <w:r>
        <w:rPr>
          <w:rFonts w:eastAsia="Verdana"/>
          <w:bCs/>
          <w:color w:val="000000"/>
          <w:sz w:val="24"/>
          <w:szCs w:val="24"/>
        </w:rPr>
        <w:t xml:space="preserve">Conforme </w:t>
      </w:r>
      <w:r w:rsidR="00A12CD9">
        <w:rPr>
          <w:rFonts w:eastAsia="Verdana"/>
          <w:bCs/>
          <w:color w:val="000000"/>
          <w:sz w:val="24"/>
          <w:szCs w:val="24"/>
        </w:rPr>
        <w:t>a</w:t>
      </w:r>
      <w:r>
        <w:rPr>
          <w:rFonts w:eastAsia="Verdana"/>
          <w:bCs/>
          <w:color w:val="000000"/>
          <w:sz w:val="24"/>
          <w:szCs w:val="24"/>
        </w:rPr>
        <w:t xml:space="preserve"> las pruebas allegadas al expediente, </w:t>
      </w:r>
      <w:r>
        <w:rPr>
          <w:color w:val="000000"/>
          <w:sz w:val="24"/>
          <w:szCs w:val="24"/>
        </w:rPr>
        <w:t xml:space="preserve">la Sala expone </w:t>
      </w:r>
      <w:r w:rsidR="00A12CD9">
        <w:rPr>
          <w:color w:val="000000"/>
          <w:sz w:val="24"/>
          <w:szCs w:val="24"/>
        </w:rPr>
        <w:t>los siguientes hechos</w:t>
      </w:r>
      <w:r>
        <w:rPr>
          <w:color w:val="000000"/>
          <w:sz w:val="24"/>
          <w:szCs w:val="24"/>
        </w:rPr>
        <w:t>:</w:t>
      </w:r>
    </w:p>
    <w:p w:rsidR="005E7881" w:rsidRDefault="005E7881" w:rsidP="00863D39">
      <w:pPr>
        <w:contextualSpacing/>
        <w:rPr>
          <w:rFonts w:eastAsia="Verdana"/>
          <w:b/>
          <w:sz w:val="24"/>
          <w:szCs w:val="24"/>
        </w:rPr>
      </w:pPr>
    </w:p>
    <w:p w:rsidR="005E7881" w:rsidRDefault="00D718FC" w:rsidP="00863D39">
      <w:pPr>
        <w:contextualSpacing/>
        <w:rPr>
          <w:rFonts w:eastAsia="Verdana"/>
          <w:sz w:val="24"/>
          <w:szCs w:val="24"/>
        </w:rPr>
      </w:pPr>
      <w:r>
        <w:rPr>
          <w:rFonts w:eastAsia="Verdana"/>
          <w:sz w:val="24"/>
          <w:szCs w:val="24"/>
        </w:rPr>
        <w:t>1</w:t>
      </w:r>
      <w:r w:rsidR="00EE1313" w:rsidRPr="001376E0">
        <w:rPr>
          <w:rFonts w:eastAsia="Verdana"/>
          <w:sz w:val="24"/>
          <w:szCs w:val="24"/>
        </w:rPr>
        <w:t>.2.</w:t>
      </w:r>
      <w:r w:rsidR="005E7881">
        <w:rPr>
          <w:rFonts w:eastAsia="Verdana"/>
          <w:sz w:val="24"/>
          <w:szCs w:val="24"/>
        </w:rPr>
        <w:t>1</w:t>
      </w:r>
      <w:r w:rsidR="00EE1313" w:rsidRPr="001376E0">
        <w:rPr>
          <w:rFonts w:eastAsia="Verdana"/>
          <w:sz w:val="24"/>
          <w:szCs w:val="24"/>
        </w:rPr>
        <w:t>.</w:t>
      </w:r>
      <w:r w:rsidR="00EE1313">
        <w:rPr>
          <w:rFonts w:eastAsia="Verdana"/>
          <w:b/>
          <w:bCs/>
          <w:sz w:val="24"/>
          <w:szCs w:val="24"/>
        </w:rPr>
        <w:t xml:space="preserve"> </w:t>
      </w:r>
      <w:r>
        <w:rPr>
          <w:rFonts w:eastAsia="Verdana"/>
          <w:sz w:val="24"/>
          <w:szCs w:val="24"/>
        </w:rPr>
        <w:t>El señor José Rodrigo Martelo Paniza (fallecido)</w:t>
      </w:r>
      <w:r w:rsidR="00281755">
        <w:rPr>
          <w:rFonts w:eastAsia="Verdana"/>
          <w:sz w:val="24"/>
          <w:szCs w:val="24"/>
        </w:rPr>
        <w:t xml:space="preserve"> por medio de apoderado judicial, f</w:t>
      </w:r>
      <w:r w:rsidR="00062D6A">
        <w:rPr>
          <w:rFonts w:eastAsia="Verdana"/>
          <w:bCs/>
          <w:sz w:val="24"/>
          <w:szCs w:val="24"/>
        </w:rPr>
        <w:t xml:space="preserve">ormuló </w:t>
      </w:r>
      <w:r w:rsidR="0010200E">
        <w:rPr>
          <w:rFonts w:eastAsia="Verdana"/>
          <w:sz w:val="24"/>
          <w:szCs w:val="24"/>
        </w:rPr>
        <w:t xml:space="preserve">demanda de </w:t>
      </w:r>
      <w:r w:rsidR="007279B1">
        <w:rPr>
          <w:rFonts w:eastAsia="Verdana"/>
          <w:sz w:val="24"/>
          <w:szCs w:val="24"/>
        </w:rPr>
        <w:t xml:space="preserve">reparación directa en contra de la </w:t>
      </w:r>
      <w:r>
        <w:rPr>
          <w:rFonts w:eastAsia="Verdana"/>
          <w:sz w:val="24"/>
          <w:szCs w:val="24"/>
        </w:rPr>
        <w:t xml:space="preserve">Nación, Ministerio de Transporte, Instituto Nacional de Vías – INVIAS, Departamento de Sucre, Municipio de San Benito </w:t>
      </w:r>
      <w:r w:rsidR="006D2B25">
        <w:rPr>
          <w:rFonts w:eastAsia="Verdana"/>
          <w:sz w:val="24"/>
          <w:szCs w:val="24"/>
        </w:rPr>
        <w:t>Abad orientada</w:t>
      </w:r>
      <w:r w:rsidR="0010200E">
        <w:rPr>
          <w:rFonts w:eastAsia="Verdana"/>
          <w:sz w:val="24"/>
          <w:szCs w:val="24"/>
        </w:rPr>
        <w:t xml:space="preserve"> a obtener </w:t>
      </w:r>
      <w:r w:rsidR="007279B1">
        <w:rPr>
          <w:rFonts w:eastAsia="Verdana"/>
          <w:sz w:val="24"/>
          <w:szCs w:val="24"/>
        </w:rPr>
        <w:t>el reconocimiento de perjuicios por los daños ocasionados en su predio</w:t>
      </w:r>
      <w:r w:rsidR="00B65652">
        <w:rPr>
          <w:rFonts w:eastAsia="Verdana"/>
          <w:sz w:val="24"/>
          <w:szCs w:val="24"/>
        </w:rPr>
        <w:t>.</w:t>
      </w:r>
    </w:p>
    <w:p w:rsidR="005E7881" w:rsidRDefault="005E7881" w:rsidP="00863D39">
      <w:pPr>
        <w:contextualSpacing/>
        <w:rPr>
          <w:rFonts w:eastAsia="Verdana"/>
          <w:sz w:val="24"/>
          <w:szCs w:val="24"/>
        </w:rPr>
      </w:pPr>
    </w:p>
    <w:p w:rsidR="00EE1313" w:rsidRDefault="00EE1313" w:rsidP="00863D39">
      <w:pPr>
        <w:contextualSpacing/>
        <w:rPr>
          <w:rFonts w:eastAsia="Verdana"/>
          <w:sz w:val="24"/>
          <w:szCs w:val="24"/>
        </w:rPr>
      </w:pPr>
      <w:r>
        <w:rPr>
          <w:rFonts w:eastAsia="Verdana"/>
          <w:sz w:val="24"/>
          <w:szCs w:val="24"/>
        </w:rPr>
        <w:t xml:space="preserve">El proceso fue conocido en primera instancia por </w:t>
      </w:r>
      <w:r w:rsidR="00281755">
        <w:rPr>
          <w:rFonts w:eastAsia="Verdana"/>
          <w:sz w:val="24"/>
          <w:szCs w:val="24"/>
        </w:rPr>
        <w:t xml:space="preserve">el </w:t>
      </w:r>
      <w:r w:rsidR="006D2B25">
        <w:rPr>
          <w:rFonts w:eastAsia="Verdana"/>
          <w:sz w:val="24"/>
          <w:szCs w:val="24"/>
        </w:rPr>
        <w:t>Tribunal Administrativo de Sucre, Sala Tercera de Decisión Oral</w:t>
      </w:r>
      <w:r>
        <w:rPr>
          <w:rFonts w:eastAsia="Verdana"/>
          <w:sz w:val="24"/>
          <w:szCs w:val="24"/>
        </w:rPr>
        <w:t xml:space="preserve"> </w:t>
      </w:r>
      <w:r w:rsidR="004E30F5">
        <w:rPr>
          <w:rFonts w:eastAsia="Verdana"/>
          <w:sz w:val="24"/>
          <w:szCs w:val="24"/>
        </w:rPr>
        <w:t>que</w:t>
      </w:r>
      <w:r w:rsidR="00C85928">
        <w:rPr>
          <w:rFonts w:eastAsia="Verdana"/>
          <w:sz w:val="24"/>
          <w:szCs w:val="24"/>
        </w:rPr>
        <w:t xml:space="preserve"> </w:t>
      </w:r>
      <w:r>
        <w:rPr>
          <w:rFonts w:eastAsia="Verdana"/>
          <w:sz w:val="24"/>
          <w:szCs w:val="24"/>
        </w:rPr>
        <w:t xml:space="preserve">mediante sentencia </w:t>
      </w:r>
      <w:r w:rsidR="009A75AE">
        <w:rPr>
          <w:rFonts w:eastAsia="Verdana"/>
          <w:sz w:val="24"/>
          <w:szCs w:val="24"/>
        </w:rPr>
        <w:t xml:space="preserve">del 20 de marzo de </w:t>
      </w:r>
      <w:r w:rsidR="006D2B25" w:rsidRPr="00C57DCA">
        <w:rPr>
          <w:rFonts w:eastAsia="Verdana"/>
          <w:sz w:val="24"/>
          <w:szCs w:val="24"/>
        </w:rPr>
        <w:t>2014</w:t>
      </w:r>
      <w:r w:rsidR="007A73FE" w:rsidRPr="00C57DCA">
        <w:rPr>
          <w:rStyle w:val="Refdenotaalpie"/>
          <w:rFonts w:eastAsia="Verdana"/>
          <w:sz w:val="24"/>
          <w:szCs w:val="24"/>
        </w:rPr>
        <w:footnoteReference w:id="2"/>
      </w:r>
      <w:r w:rsidR="006830CB" w:rsidRPr="00C57DCA">
        <w:rPr>
          <w:rFonts w:eastAsia="Verdana"/>
          <w:sz w:val="24"/>
          <w:szCs w:val="24"/>
        </w:rPr>
        <w:t>,</w:t>
      </w:r>
      <w:r w:rsidR="00A5769F" w:rsidRPr="00C57DCA">
        <w:rPr>
          <w:rFonts w:eastAsia="Verdana"/>
          <w:sz w:val="24"/>
          <w:szCs w:val="24"/>
        </w:rPr>
        <w:t xml:space="preserve"> r</w:t>
      </w:r>
      <w:r w:rsidRPr="00C57DCA">
        <w:rPr>
          <w:rFonts w:eastAsia="Verdana"/>
          <w:sz w:val="24"/>
          <w:szCs w:val="24"/>
        </w:rPr>
        <w:t>esolvió</w:t>
      </w:r>
      <w:r>
        <w:rPr>
          <w:rFonts w:eastAsia="Verdana"/>
          <w:sz w:val="24"/>
          <w:szCs w:val="24"/>
        </w:rPr>
        <w:t xml:space="preserve"> </w:t>
      </w:r>
      <w:r w:rsidR="006D2B25">
        <w:rPr>
          <w:rFonts w:eastAsia="Verdana"/>
          <w:sz w:val="24"/>
          <w:szCs w:val="24"/>
        </w:rPr>
        <w:t>negar las</w:t>
      </w:r>
      <w:r w:rsidR="00D52648">
        <w:rPr>
          <w:rFonts w:eastAsia="Verdana"/>
          <w:sz w:val="24"/>
          <w:szCs w:val="24"/>
        </w:rPr>
        <w:t xml:space="preserve"> pretensiones de la demanda. </w:t>
      </w:r>
      <w:r w:rsidR="00542DAB">
        <w:rPr>
          <w:rFonts w:eastAsia="Verdana"/>
          <w:sz w:val="24"/>
          <w:szCs w:val="24"/>
        </w:rPr>
        <w:t xml:space="preserve">Al respecto </w:t>
      </w:r>
      <w:r w:rsidR="006D2B25">
        <w:rPr>
          <w:rFonts w:eastAsia="Verdana"/>
          <w:sz w:val="24"/>
          <w:szCs w:val="24"/>
        </w:rPr>
        <w:t xml:space="preserve">la mencionada autoridad judicial </w:t>
      </w:r>
      <w:r w:rsidR="006501F3">
        <w:rPr>
          <w:rFonts w:eastAsia="Verdana"/>
          <w:sz w:val="24"/>
          <w:szCs w:val="24"/>
        </w:rPr>
        <w:t>estimó</w:t>
      </w:r>
      <w:r w:rsidR="00D52648" w:rsidRPr="00C57DCA">
        <w:rPr>
          <w:rFonts w:eastAsia="Verdana"/>
          <w:sz w:val="24"/>
          <w:szCs w:val="24"/>
        </w:rPr>
        <w:t>:</w:t>
      </w:r>
    </w:p>
    <w:p w:rsidR="000F785E" w:rsidRDefault="000F785E" w:rsidP="00863D39">
      <w:pPr>
        <w:contextualSpacing/>
        <w:rPr>
          <w:rFonts w:eastAsia="Verdana"/>
          <w:sz w:val="24"/>
          <w:szCs w:val="24"/>
        </w:rPr>
      </w:pPr>
    </w:p>
    <w:p w:rsidR="000F785E" w:rsidRDefault="006501F3" w:rsidP="00863D39">
      <w:pPr>
        <w:contextualSpacing/>
        <w:rPr>
          <w:rFonts w:eastAsia="Verdana"/>
          <w:sz w:val="24"/>
          <w:szCs w:val="24"/>
        </w:rPr>
      </w:pPr>
      <w:r>
        <w:rPr>
          <w:rFonts w:eastAsia="Verdana"/>
          <w:sz w:val="24"/>
          <w:szCs w:val="24"/>
        </w:rPr>
        <w:lastRenderedPageBreak/>
        <w:t xml:space="preserve">1.2.2.1. El régimen de responsabilidad aplicable al caso es la falla probada del servicio, por lo que conforme a lo dispuesto en el artículo 90 de la Constitución Política es necesario: i) probar la existencia de un daño antijurídico; ii) probar el nexo causal; </w:t>
      </w:r>
      <w:r w:rsidR="00982838">
        <w:rPr>
          <w:rFonts w:eastAsia="Verdana"/>
          <w:sz w:val="24"/>
          <w:szCs w:val="24"/>
        </w:rPr>
        <w:t xml:space="preserve">y </w:t>
      </w:r>
      <w:r>
        <w:rPr>
          <w:rFonts w:eastAsia="Verdana"/>
          <w:sz w:val="24"/>
          <w:szCs w:val="24"/>
        </w:rPr>
        <w:t xml:space="preserve">iii) probar la acción u omisión de la autoridad pública a quien se le imputa como causante del daño. </w:t>
      </w:r>
    </w:p>
    <w:p w:rsidR="00982838" w:rsidRDefault="00982838" w:rsidP="00863D39">
      <w:pPr>
        <w:contextualSpacing/>
        <w:rPr>
          <w:rFonts w:eastAsia="Verdana"/>
          <w:sz w:val="24"/>
          <w:szCs w:val="24"/>
        </w:rPr>
      </w:pPr>
    </w:p>
    <w:p w:rsidR="00982838" w:rsidRDefault="00982838" w:rsidP="00863D39">
      <w:pPr>
        <w:contextualSpacing/>
        <w:rPr>
          <w:rFonts w:eastAsia="Verdana"/>
          <w:sz w:val="24"/>
          <w:szCs w:val="24"/>
        </w:rPr>
      </w:pPr>
      <w:r>
        <w:rPr>
          <w:rFonts w:eastAsia="Verdana"/>
          <w:sz w:val="24"/>
          <w:szCs w:val="24"/>
        </w:rPr>
        <w:t>Al respecto indicó que la jurisprudencia del Consejo de Estado ha establecido que la configuración de la falla del servicio en el caso de fenómenos naturales como el desbordamiento de ríos y quebradas</w:t>
      </w:r>
      <w:r w:rsidR="003A570A">
        <w:rPr>
          <w:rFonts w:eastAsia="Verdana"/>
          <w:sz w:val="24"/>
          <w:szCs w:val="24"/>
        </w:rPr>
        <w:t>,</w:t>
      </w:r>
      <w:r>
        <w:rPr>
          <w:rFonts w:eastAsia="Verdana"/>
          <w:sz w:val="24"/>
          <w:szCs w:val="24"/>
        </w:rPr>
        <w:t xml:space="preserve"> debe demostrarse que la entidad demandada incumplió con su deber de vigilancia y cuidado y se abstuvo de adoptar las medidas de prevención requerida</w:t>
      </w:r>
      <w:r w:rsidR="0036789B">
        <w:rPr>
          <w:rFonts w:eastAsia="Verdana"/>
          <w:sz w:val="24"/>
          <w:szCs w:val="24"/>
        </w:rPr>
        <w:t>s</w:t>
      </w:r>
      <w:r>
        <w:rPr>
          <w:rFonts w:eastAsia="Verdana"/>
          <w:sz w:val="24"/>
          <w:szCs w:val="24"/>
        </w:rPr>
        <w:t xml:space="preserve"> a pesar de haber tenido conocimiento de la posible ocurrencia del hecho</w:t>
      </w:r>
      <w:r>
        <w:rPr>
          <w:rStyle w:val="Refdenotaalpie"/>
          <w:rFonts w:eastAsia="Verdana"/>
          <w:sz w:val="24"/>
          <w:szCs w:val="24"/>
        </w:rPr>
        <w:footnoteReference w:id="3"/>
      </w:r>
      <w:r>
        <w:rPr>
          <w:rFonts w:eastAsia="Verdana"/>
          <w:sz w:val="24"/>
          <w:szCs w:val="24"/>
        </w:rPr>
        <w:t xml:space="preserve">. </w:t>
      </w:r>
    </w:p>
    <w:p w:rsidR="006501F3" w:rsidRDefault="006501F3" w:rsidP="00863D39">
      <w:pPr>
        <w:contextualSpacing/>
        <w:rPr>
          <w:rFonts w:eastAsia="Verdana"/>
          <w:sz w:val="24"/>
          <w:szCs w:val="24"/>
        </w:rPr>
      </w:pPr>
    </w:p>
    <w:p w:rsidR="006501F3" w:rsidRDefault="006501F3" w:rsidP="00863D39">
      <w:pPr>
        <w:contextualSpacing/>
        <w:rPr>
          <w:rFonts w:eastAsia="Verdana"/>
          <w:sz w:val="24"/>
          <w:szCs w:val="24"/>
        </w:rPr>
      </w:pPr>
      <w:r>
        <w:rPr>
          <w:rFonts w:eastAsia="Verdana"/>
          <w:sz w:val="24"/>
          <w:szCs w:val="24"/>
        </w:rPr>
        <w:t xml:space="preserve">1.2.2.2. </w:t>
      </w:r>
      <w:r w:rsidR="006561D5">
        <w:rPr>
          <w:rFonts w:eastAsia="Verdana"/>
          <w:sz w:val="24"/>
          <w:szCs w:val="24"/>
        </w:rPr>
        <w:t>El demandante no logró demostrar la falla del servicio, como quiera que</w:t>
      </w:r>
      <w:r w:rsidR="003A570A">
        <w:rPr>
          <w:rFonts w:eastAsia="Verdana"/>
          <w:sz w:val="24"/>
          <w:szCs w:val="24"/>
        </w:rPr>
        <w:t>,</w:t>
      </w:r>
      <w:r w:rsidR="006561D5">
        <w:rPr>
          <w:rFonts w:eastAsia="Verdana"/>
          <w:sz w:val="24"/>
          <w:szCs w:val="24"/>
        </w:rPr>
        <w:t xml:space="preserve"> de</w:t>
      </w:r>
      <w:r w:rsidR="009F0218">
        <w:rPr>
          <w:rFonts w:eastAsia="Verdana"/>
          <w:sz w:val="24"/>
          <w:szCs w:val="24"/>
        </w:rPr>
        <w:t xml:space="preserve"> las pruebas aportadas </w:t>
      </w:r>
      <w:r w:rsidR="006561D5">
        <w:rPr>
          <w:rFonts w:eastAsia="Verdana"/>
          <w:sz w:val="24"/>
          <w:szCs w:val="24"/>
        </w:rPr>
        <w:t>al expediente solo es viable concluir que la entidad demandada act</w:t>
      </w:r>
      <w:r w:rsidR="00381805">
        <w:rPr>
          <w:rFonts w:eastAsia="Verdana"/>
          <w:sz w:val="24"/>
          <w:szCs w:val="24"/>
        </w:rPr>
        <w:t>uó</w:t>
      </w:r>
      <w:r w:rsidR="006561D5">
        <w:rPr>
          <w:rFonts w:eastAsia="Verdana"/>
          <w:sz w:val="24"/>
          <w:szCs w:val="24"/>
        </w:rPr>
        <w:t xml:space="preserve"> diligente, eficiente y oportunamente en la ejecución de los contratos, cumpliendo las directrices del documento CONPES </w:t>
      </w:r>
      <w:r w:rsidR="003A570A">
        <w:rPr>
          <w:rFonts w:eastAsia="Verdana"/>
          <w:sz w:val="24"/>
          <w:szCs w:val="24"/>
        </w:rPr>
        <w:t>y</w:t>
      </w:r>
      <w:r w:rsidR="006561D5">
        <w:rPr>
          <w:rFonts w:eastAsia="Verdana"/>
          <w:sz w:val="24"/>
          <w:szCs w:val="24"/>
        </w:rPr>
        <w:t xml:space="preserve"> los estudios realizados por la Universidad Nacional de Colombia, sede Medellín. </w:t>
      </w:r>
    </w:p>
    <w:p w:rsidR="006561D5" w:rsidRDefault="006561D5" w:rsidP="00863D39">
      <w:pPr>
        <w:contextualSpacing/>
        <w:rPr>
          <w:rFonts w:eastAsia="Verdana"/>
          <w:sz w:val="24"/>
          <w:szCs w:val="24"/>
        </w:rPr>
      </w:pPr>
    </w:p>
    <w:p w:rsidR="006561D5" w:rsidRDefault="006561D5" w:rsidP="00863D39">
      <w:pPr>
        <w:contextualSpacing/>
        <w:rPr>
          <w:rFonts w:eastAsia="Verdana"/>
          <w:sz w:val="24"/>
          <w:szCs w:val="24"/>
        </w:rPr>
      </w:pPr>
      <w:r>
        <w:rPr>
          <w:rFonts w:eastAsia="Verdana"/>
          <w:sz w:val="24"/>
          <w:szCs w:val="24"/>
        </w:rPr>
        <w:t>No fue allegada prueba técnica que permitiera determinar que la inundación se produjo como consecuencia de errores en la construcción del dique a la margen izquierda del Río Cauca, en el tramo comprendido entre la Boca del Canal y Morro Hermoso, para así acreditar una posible falla del servicio como origen de los perjuicios causados al demandante.</w:t>
      </w:r>
    </w:p>
    <w:p w:rsidR="006561D5" w:rsidRDefault="006561D5" w:rsidP="00863D39">
      <w:pPr>
        <w:contextualSpacing/>
        <w:rPr>
          <w:rFonts w:eastAsia="Verdana"/>
          <w:sz w:val="24"/>
          <w:szCs w:val="24"/>
        </w:rPr>
      </w:pPr>
    </w:p>
    <w:p w:rsidR="006561D5" w:rsidRDefault="006561D5" w:rsidP="00863D39">
      <w:pPr>
        <w:contextualSpacing/>
        <w:rPr>
          <w:rFonts w:eastAsia="Verdana"/>
          <w:sz w:val="24"/>
          <w:szCs w:val="24"/>
        </w:rPr>
      </w:pPr>
      <w:r>
        <w:rPr>
          <w:rFonts w:eastAsia="Verdana"/>
          <w:sz w:val="24"/>
          <w:szCs w:val="24"/>
        </w:rPr>
        <w:t>El dictamen pericial allegado con la presentación de la demanda estuvo orientado a determinar el monto d</w:t>
      </w:r>
      <w:r w:rsidR="00A33041">
        <w:rPr>
          <w:rFonts w:eastAsia="Verdana"/>
          <w:sz w:val="24"/>
          <w:szCs w:val="24"/>
        </w:rPr>
        <w:t>e</w:t>
      </w:r>
      <w:r>
        <w:rPr>
          <w:rFonts w:eastAsia="Verdana"/>
          <w:sz w:val="24"/>
          <w:szCs w:val="24"/>
        </w:rPr>
        <w:t xml:space="preserve"> </w:t>
      </w:r>
      <w:r w:rsidR="00A33041">
        <w:rPr>
          <w:rFonts w:eastAsia="Verdana"/>
          <w:sz w:val="24"/>
          <w:szCs w:val="24"/>
        </w:rPr>
        <w:t>l</w:t>
      </w:r>
      <w:r>
        <w:rPr>
          <w:rFonts w:eastAsia="Verdana"/>
          <w:sz w:val="24"/>
          <w:szCs w:val="24"/>
        </w:rPr>
        <w:t>os perjuicios materiales causados con la inundación del predio “La Eureka” pero no respecto de las causas que dieron lugar a la inundación, por lo que tal documento no cumplió las condiciones legales dispuestas en los artículos 219 a 222 del CPACA.</w:t>
      </w:r>
    </w:p>
    <w:p w:rsidR="00CE549E" w:rsidRDefault="00CE549E" w:rsidP="00863D39">
      <w:pPr>
        <w:contextualSpacing/>
        <w:rPr>
          <w:rFonts w:eastAsia="Verdana"/>
          <w:sz w:val="24"/>
          <w:szCs w:val="24"/>
        </w:rPr>
      </w:pPr>
    </w:p>
    <w:p w:rsidR="00CE549E" w:rsidRDefault="00CE549E" w:rsidP="00863D39">
      <w:pPr>
        <w:contextualSpacing/>
        <w:rPr>
          <w:rFonts w:eastAsia="Verdana"/>
          <w:sz w:val="24"/>
          <w:szCs w:val="24"/>
        </w:rPr>
      </w:pPr>
      <w:r>
        <w:rPr>
          <w:rFonts w:eastAsia="Verdana"/>
          <w:sz w:val="24"/>
          <w:szCs w:val="24"/>
        </w:rPr>
        <w:t>1.2.2.3. El nexo causal o título de imputación del daño no se configuró dado que</w:t>
      </w:r>
      <w:r w:rsidR="00C17E75">
        <w:rPr>
          <w:rFonts w:eastAsia="Verdana"/>
          <w:sz w:val="24"/>
          <w:szCs w:val="24"/>
        </w:rPr>
        <w:t xml:space="preserve">, </w:t>
      </w:r>
      <w:r>
        <w:rPr>
          <w:rFonts w:eastAsia="Verdana"/>
          <w:sz w:val="24"/>
          <w:szCs w:val="24"/>
        </w:rPr>
        <w:t>no fue demostrado en el plenario la omisión por parte de INVIAS en la construcción de las obras programadas</w:t>
      </w:r>
      <w:r w:rsidR="00AC4107">
        <w:rPr>
          <w:rFonts w:eastAsia="Verdana"/>
          <w:sz w:val="24"/>
          <w:szCs w:val="24"/>
        </w:rPr>
        <w:t xml:space="preserve"> y l</w:t>
      </w:r>
      <w:r>
        <w:rPr>
          <w:rFonts w:eastAsia="Verdana"/>
          <w:sz w:val="24"/>
          <w:szCs w:val="24"/>
        </w:rPr>
        <w:t xml:space="preserve">as inundaciones en el sector de la Mojana eran periódicas </w:t>
      </w:r>
      <w:r w:rsidR="00AC4107">
        <w:rPr>
          <w:rFonts w:eastAsia="Verdana"/>
          <w:sz w:val="24"/>
          <w:szCs w:val="24"/>
        </w:rPr>
        <w:t xml:space="preserve">por lo que, </w:t>
      </w:r>
      <w:r>
        <w:rPr>
          <w:rFonts w:eastAsia="Verdana"/>
          <w:sz w:val="24"/>
          <w:szCs w:val="24"/>
        </w:rPr>
        <w:t xml:space="preserve">no </w:t>
      </w:r>
      <w:r w:rsidR="00AC4107">
        <w:rPr>
          <w:rFonts w:eastAsia="Verdana"/>
          <w:sz w:val="24"/>
          <w:szCs w:val="24"/>
        </w:rPr>
        <w:t xml:space="preserve">era </w:t>
      </w:r>
      <w:r>
        <w:rPr>
          <w:rFonts w:eastAsia="Verdana"/>
          <w:sz w:val="24"/>
          <w:szCs w:val="24"/>
        </w:rPr>
        <w:t xml:space="preserve">posible determinar que las presuntas fallas de las obras fueron la causa de los desastres naturales. </w:t>
      </w:r>
    </w:p>
    <w:p w:rsidR="00576742" w:rsidRDefault="00576742" w:rsidP="00863D39">
      <w:pPr>
        <w:overflowPunct w:val="0"/>
        <w:autoSpaceDE w:val="0"/>
        <w:autoSpaceDN w:val="0"/>
        <w:adjustRightInd w:val="0"/>
        <w:contextualSpacing/>
        <w:rPr>
          <w:rFonts w:eastAsia="Times New Roman"/>
          <w:bCs/>
          <w:sz w:val="24"/>
          <w:szCs w:val="24"/>
          <w:lang w:eastAsia="es-ES"/>
        </w:rPr>
      </w:pPr>
    </w:p>
    <w:p w:rsidR="001C35A8" w:rsidRDefault="00576742" w:rsidP="00863D39">
      <w:pPr>
        <w:overflowPunct w:val="0"/>
        <w:autoSpaceDE w:val="0"/>
        <w:autoSpaceDN w:val="0"/>
        <w:adjustRightInd w:val="0"/>
        <w:contextualSpacing/>
        <w:rPr>
          <w:rFonts w:eastAsia="Verdana"/>
          <w:sz w:val="24"/>
          <w:szCs w:val="24"/>
        </w:rPr>
      </w:pPr>
      <w:r w:rsidRPr="00576742">
        <w:rPr>
          <w:rFonts w:eastAsia="Times New Roman"/>
          <w:bCs/>
          <w:sz w:val="24"/>
          <w:szCs w:val="24"/>
          <w:lang w:eastAsia="es-ES"/>
        </w:rPr>
        <w:t xml:space="preserve">1.2.3. </w:t>
      </w:r>
      <w:r w:rsidR="00123076">
        <w:rPr>
          <w:rFonts w:eastAsia="Times New Roman"/>
          <w:bCs/>
          <w:sz w:val="24"/>
          <w:szCs w:val="24"/>
          <w:lang w:eastAsia="es-ES"/>
        </w:rPr>
        <w:t xml:space="preserve">La </w:t>
      </w:r>
      <w:r>
        <w:rPr>
          <w:rFonts w:eastAsia="Times New Roman"/>
          <w:bCs/>
          <w:sz w:val="24"/>
          <w:szCs w:val="24"/>
          <w:lang w:eastAsia="es-ES"/>
        </w:rPr>
        <w:t>parte</w:t>
      </w:r>
      <w:r w:rsidR="00CE549E">
        <w:rPr>
          <w:rFonts w:eastAsia="Times New Roman"/>
          <w:bCs/>
          <w:sz w:val="24"/>
          <w:szCs w:val="24"/>
          <w:lang w:eastAsia="es-ES"/>
        </w:rPr>
        <w:t xml:space="preserve"> demandante</w:t>
      </w:r>
      <w:r>
        <w:rPr>
          <w:rFonts w:eastAsia="Times New Roman"/>
          <w:bCs/>
          <w:sz w:val="24"/>
          <w:szCs w:val="24"/>
          <w:lang w:eastAsia="es-ES"/>
        </w:rPr>
        <w:t xml:space="preserve"> interp</w:t>
      </w:r>
      <w:r w:rsidR="00CE549E">
        <w:rPr>
          <w:rFonts w:eastAsia="Times New Roman"/>
          <w:bCs/>
          <w:sz w:val="24"/>
          <w:szCs w:val="24"/>
          <w:lang w:eastAsia="es-ES"/>
        </w:rPr>
        <w:t>uso</w:t>
      </w:r>
      <w:r>
        <w:rPr>
          <w:rFonts w:eastAsia="Times New Roman"/>
          <w:bCs/>
          <w:sz w:val="24"/>
          <w:szCs w:val="24"/>
          <w:lang w:eastAsia="es-ES"/>
        </w:rPr>
        <w:t xml:space="preserve"> recurso de apelación en contra de la sentencia proferida por el </w:t>
      </w:r>
      <w:r w:rsidR="00CE549E">
        <w:rPr>
          <w:rFonts w:eastAsia="Verdana"/>
          <w:sz w:val="24"/>
          <w:szCs w:val="24"/>
        </w:rPr>
        <w:t>Tribunal Administrativo de Sucre</w:t>
      </w:r>
      <w:r>
        <w:rPr>
          <w:rFonts w:eastAsia="Verdana"/>
          <w:sz w:val="24"/>
          <w:szCs w:val="24"/>
        </w:rPr>
        <w:t>.</w:t>
      </w:r>
      <w:r w:rsidR="00CE549E">
        <w:rPr>
          <w:rFonts w:eastAsia="Verdana"/>
          <w:sz w:val="24"/>
          <w:szCs w:val="24"/>
        </w:rPr>
        <w:t xml:space="preserve"> </w:t>
      </w:r>
      <w:r w:rsidR="00123076">
        <w:rPr>
          <w:rFonts w:eastAsia="Verdana"/>
          <w:sz w:val="24"/>
          <w:szCs w:val="24"/>
        </w:rPr>
        <w:t>A</w:t>
      </w:r>
      <w:r w:rsidR="00645ED0">
        <w:rPr>
          <w:rFonts w:eastAsia="Verdana"/>
          <w:sz w:val="24"/>
          <w:szCs w:val="24"/>
        </w:rPr>
        <w:t xml:space="preserve">dujo que el fallo apelado </w:t>
      </w:r>
      <w:r w:rsidR="00A33041">
        <w:rPr>
          <w:rFonts w:eastAsia="Verdana"/>
          <w:sz w:val="24"/>
          <w:szCs w:val="24"/>
        </w:rPr>
        <w:t>le</w:t>
      </w:r>
      <w:r w:rsidR="00645ED0">
        <w:rPr>
          <w:rFonts w:eastAsia="Verdana"/>
          <w:sz w:val="24"/>
          <w:szCs w:val="24"/>
        </w:rPr>
        <w:t xml:space="preserve"> restó mérito probatorio a las siguientes pruebas: i) el informe técnico del 13 de julio de 2009 suscrito por el ingeniero José Manuel Cárdenas Bolívar en el que sostuvo que el dique en el tramo ubicado en la zona “Boca del Cura – José Pineda” presentaba fallas sobre el materia</w:t>
      </w:r>
      <w:r w:rsidR="00A33041">
        <w:rPr>
          <w:rFonts w:eastAsia="Verdana"/>
          <w:sz w:val="24"/>
          <w:szCs w:val="24"/>
        </w:rPr>
        <w:t xml:space="preserve">l </w:t>
      </w:r>
      <w:r w:rsidR="00645ED0">
        <w:rPr>
          <w:rFonts w:eastAsia="Verdana"/>
          <w:sz w:val="24"/>
          <w:szCs w:val="24"/>
        </w:rPr>
        <w:t xml:space="preserve">a la </w:t>
      </w:r>
      <w:r w:rsidR="007D634A">
        <w:rPr>
          <w:rFonts w:eastAsia="Verdana"/>
          <w:sz w:val="24"/>
          <w:szCs w:val="24"/>
        </w:rPr>
        <w:t>altura</w:t>
      </w:r>
      <w:r w:rsidR="00645ED0">
        <w:rPr>
          <w:rFonts w:eastAsia="Verdana"/>
          <w:sz w:val="24"/>
          <w:szCs w:val="24"/>
        </w:rPr>
        <w:t xml:space="preserve"> de la obra; ii) documento “informe de gestión y plan de acción jurídico asociado a fallas de las obras de control de inundaciones construidas en el sector de la Mojana” aportado por INVIAS; iii) el informe final de interventoría del mes de agosto de 2011; iv) documento de interventoría del 31 de marzo de 2010 relativo al contrato número 3412 de 2006,</w:t>
      </w:r>
      <w:r w:rsidR="00C35D9A">
        <w:rPr>
          <w:rFonts w:eastAsia="Verdana"/>
          <w:sz w:val="24"/>
          <w:szCs w:val="24"/>
        </w:rPr>
        <w:t xml:space="preserve"> y</w:t>
      </w:r>
      <w:r w:rsidR="00645ED0">
        <w:rPr>
          <w:rFonts w:eastAsia="Verdana"/>
          <w:sz w:val="24"/>
          <w:szCs w:val="24"/>
        </w:rPr>
        <w:t xml:space="preserve"> </w:t>
      </w:r>
      <w:r w:rsidR="00C35D9A">
        <w:rPr>
          <w:rFonts w:eastAsia="Verdana"/>
          <w:sz w:val="24"/>
          <w:szCs w:val="24"/>
        </w:rPr>
        <w:t>v) el testimonio del señor Alfonso Mercado Ulloa rendido en audiencia de pruebas.</w:t>
      </w:r>
    </w:p>
    <w:p w:rsidR="00C05729" w:rsidRDefault="00C05729" w:rsidP="00863D39">
      <w:pPr>
        <w:overflowPunct w:val="0"/>
        <w:autoSpaceDE w:val="0"/>
        <w:autoSpaceDN w:val="0"/>
        <w:adjustRightInd w:val="0"/>
        <w:contextualSpacing/>
        <w:rPr>
          <w:rFonts w:eastAsia="Verdana"/>
          <w:sz w:val="24"/>
          <w:szCs w:val="24"/>
        </w:rPr>
      </w:pPr>
    </w:p>
    <w:p w:rsidR="00C05729" w:rsidRDefault="00C05729" w:rsidP="00863D39">
      <w:pPr>
        <w:overflowPunct w:val="0"/>
        <w:autoSpaceDE w:val="0"/>
        <w:autoSpaceDN w:val="0"/>
        <w:adjustRightInd w:val="0"/>
        <w:contextualSpacing/>
        <w:rPr>
          <w:rFonts w:eastAsia="Verdana"/>
          <w:sz w:val="24"/>
          <w:szCs w:val="24"/>
        </w:rPr>
      </w:pPr>
      <w:r>
        <w:rPr>
          <w:rFonts w:eastAsia="Verdana"/>
          <w:sz w:val="24"/>
          <w:szCs w:val="24"/>
        </w:rPr>
        <w:t xml:space="preserve">1.2.4. El </w:t>
      </w:r>
      <w:r w:rsidR="00C35D9A">
        <w:rPr>
          <w:rFonts w:eastAsia="Verdana"/>
          <w:sz w:val="24"/>
          <w:szCs w:val="24"/>
        </w:rPr>
        <w:t xml:space="preserve">recurso le </w:t>
      </w:r>
      <w:r>
        <w:rPr>
          <w:rFonts w:eastAsia="Verdana"/>
          <w:sz w:val="24"/>
          <w:szCs w:val="24"/>
        </w:rPr>
        <w:t xml:space="preserve">correspondió </w:t>
      </w:r>
      <w:r w:rsidR="00C35D9A">
        <w:rPr>
          <w:rFonts w:eastAsia="Verdana"/>
          <w:sz w:val="24"/>
          <w:szCs w:val="24"/>
        </w:rPr>
        <w:t xml:space="preserve">resolverlo a la Subsección B de la Sección Tercera del Consejo de Estado </w:t>
      </w:r>
      <w:r w:rsidR="00DC1D8D">
        <w:rPr>
          <w:rFonts w:eastAsia="Verdana"/>
          <w:sz w:val="24"/>
          <w:szCs w:val="24"/>
        </w:rPr>
        <w:t xml:space="preserve">que, mediante sentencia del </w:t>
      </w:r>
      <w:r w:rsidR="00C35D9A">
        <w:rPr>
          <w:rFonts w:eastAsia="Verdana"/>
          <w:sz w:val="24"/>
          <w:szCs w:val="24"/>
        </w:rPr>
        <w:t>18 de noviembre</w:t>
      </w:r>
      <w:r w:rsidR="00DC1D8D">
        <w:rPr>
          <w:rFonts w:eastAsia="Verdana"/>
          <w:sz w:val="24"/>
          <w:szCs w:val="24"/>
        </w:rPr>
        <w:t xml:space="preserve"> de 2021</w:t>
      </w:r>
      <w:r>
        <w:rPr>
          <w:rStyle w:val="Refdenotaalpie"/>
          <w:rFonts w:eastAsia="Verdana"/>
          <w:sz w:val="24"/>
          <w:szCs w:val="24"/>
        </w:rPr>
        <w:footnoteReference w:id="4"/>
      </w:r>
      <w:r w:rsidR="00DC1D8D">
        <w:rPr>
          <w:rFonts w:eastAsia="Verdana"/>
          <w:sz w:val="24"/>
          <w:szCs w:val="24"/>
        </w:rPr>
        <w:t xml:space="preserve">, </w:t>
      </w:r>
      <w:r w:rsidR="007D634A">
        <w:rPr>
          <w:rFonts w:eastAsia="Verdana"/>
          <w:sz w:val="24"/>
          <w:szCs w:val="24"/>
        </w:rPr>
        <w:t>confirmó</w:t>
      </w:r>
      <w:r w:rsidR="00DC1D8D">
        <w:rPr>
          <w:rFonts w:eastAsia="Verdana"/>
          <w:sz w:val="24"/>
          <w:szCs w:val="24"/>
        </w:rPr>
        <w:t xml:space="preserve"> la decisión proferida por el </w:t>
      </w:r>
      <w:r w:rsidR="007D634A">
        <w:rPr>
          <w:rFonts w:eastAsia="Verdana"/>
          <w:sz w:val="24"/>
          <w:szCs w:val="24"/>
        </w:rPr>
        <w:t>Tribunal Administrativo de Sucre</w:t>
      </w:r>
      <w:r w:rsidR="00DC1D8D">
        <w:rPr>
          <w:rFonts w:eastAsia="Verdana"/>
          <w:sz w:val="24"/>
          <w:szCs w:val="24"/>
        </w:rPr>
        <w:t xml:space="preserve">. Como fundamento de su decisión la autoridad judicial mencionada, </w:t>
      </w:r>
      <w:r w:rsidR="009A7712">
        <w:rPr>
          <w:rFonts w:eastAsia="Verdana"/>
          <w:sz w:val="24"/>
          <w:szCs w:val="24"/>
        </w:rPr>
        <w:t>consideró</w:t>
      </w:r>
      <w:r w:rsidR="00DC1D8D">
        <w:rPr>
          <w:rFonts w:eastAsia="Verdana"/>
          <w:sz w:val="24"/>
          <w:szCs w:val="24"/>
        </w:rPr>
        <w:t>:</w:t>
      </w:r>
    </w:p>
    <w:p w:rsidR="002F7066" w:rsidRDefault="00DC1D8D" w:rsidP="00CF6F84">
      <w:pPr>
        <w:overflowPunct w:val="0"/>
        <w:autoSpaceDE w:val="0"/>
        <w:autoSpaceDN w:val="0"/>
        <w:adjustRightInd w:val="0"/>
        <w:contextualSpacing/>
        <w:rPr>
          <w:rFonts w:eastAsia="Verdana"/>
          <w:sz w:val="24"/>
          <w:szCs w:val="24"/>
        </w:rPr>
      </w:pPr>
      <w:r>
        <w:rPr>
          <w:rFonts w:eastAsia="Verdana"/>
          <w:sz w:val="24"/>
          <w:szCs w:val="24"/>
        </w:rPr>
        <w:lastRenderedPageBreak/>
        <w:t xml:space="preserve">1.2.4.1. </w:t>
      </w:r>
      <w:r w:rsidR="009A75AE">
        <w:rPr>
          <w:rFonts w:eastAsia="Verdana"/>
          <w:sz w:val="24"/>
          <w:szCs w:val="24"/>
        </w:rPr>
        <w:t>Q</w:t>
      </w:r>
      <w:r w:rsidR="00123076">
        <w:rPr>
          <w:rFonts w:eastAsia="Verdana"/>
          <w:sz w:val="24"/>
          <w:szCs w:val="24"/>
        </w:rPr>
        <w:t xml:space="preserve">ue no valoraba el informe técnico </w:t>
      </w:r>
      <w:r w:rsidR="00A2099B">
        <w:rPr>
          <w:rFonts w:eastAsia="Verdana"/>
          <w:sz w:val="24"/>
          <w:szCs w:val="24"/>
        </w:rPr>
        <w:t xml:space="preserve">del 13 de julio de 2009 </w:t>
      </w:r>
      <w:r w:rsidR="00123076">
        <w:rPr>
          <w:rFonts w:eastAsia="Verdana"/>
          <w:sz w:val="24"/>
          <w:szCs w:val="24"/>
        </w:rPr>
        <w:t xml:space="preserve">porque quien lo rindió no acreditó su idoneidad, experiencia ni tampoco los estudios específicos sobre el tema objeto de pericia. </w:t>
      </w:r>
    </w:p>
    <w:p w:rsidR="00A770A2" w:rsidRDefault="00A770A2" w:rsidP="00CF6F84">
      <w:pPr>
        <w:overflowPunct w:val="0"/>
        <w:autoSpaceDE w:val="0"/>
        <w:autoSpaceDN w:val="0"/>
        <w:adjustRightInd w:val="0"/>
        <w:contextualSpacing/>
        <w:rPr>
          <w:rFonts w:eastAsia="Verdana"/>
          <w:sz w:val="24"/>
          <w:szCs w:val="24"/>
        </w:rPr>
      </w:pPr>
    </w:p>
    <w:p w:rsidR="00A770A2" w:rsidRDefault="00A770A2" w:rsidP="00CF6F84">
      <w:pPr>
        <w:overflowPunct w:val="0"/>
        <w:autoSpaceDE w:val="0"/>
        <w:autoSpaceDN w:val="0"/>
        <w:adjustRightInd w:val="0"/>
        <w:contextualSpacing/>
        <w:rPr>
          <w:rFonts w:eastAsia="Verdana"/>
          <w:sz w:val="24"/>
          <w:szCs w:val="24"/>
        </w:rPr>
      </w:pPr>
      <w:r>
        <w:rPr>
          <w:rFonts w:eastAsia="Verdana"/>
          <w:sz w:val="24"/>
          <w:szCs w:val="24"/>
        </w:rPr>
        <w:t xml:space="preserve">Agregó que los comentarios </w:t>
      </w:r>
      <w:r w:rsidR="008D3E1B">
        <w:rPr>
          <w:rFonts w:eastAsia="Verdana"/>
          <w:sz w:val="24"/>
          <w:szCs w:val="24"/>
        </w:rPr>
        <w:t xml:space="preserve">enunciados </w:t>
      </w:r>
      <w:r w:rsidR="00D94847">
        <w:rPr>
          <w:rFonts w:eastAsia="Verdana"/>
          <w:sz w:val="24"/>
          <w:szCs w:val="24"/>
        </w:rPr>
        <w:t>en el</w:t>
      </w:r>
      <w:r>
        <w:rPr>
          <w:rFonts w:eastAsia="Verdana"/>
          <w:sz w:val="24"/>
          <w:szCs w:val="24"/>
        </w:rPr>
        <w:t xml:space="preserve"> informe fueron planteados antes de la finalización de la obra del dique marginal y con antelación a las inundaciones, lo que impedía que la prueba condujera a probar lo que el demandante pretendía, pues de esta no era posible establecer que fue necesariamente la deficiencia allí anotada lo que dio lugar al siniestro y que el </w:t>
      </w:r>
      <w:r w:rsidR="008D3E1B">
        <w:rPr>
          <w:rFonts w:eastAsia="Verdana"/>
          <w:sz w:val="24"/>
          <w:szCs w:val="24"/>
        </w:rPr>
        <w:t>predio</w:t>
      </w:r>
      <w:r>
        <w:rPr>
          <w:rFonts w:eastAsia="Verdana"/>
          <w:sz w:val="24"/>
          <w:szCs w:val="24"/>
        </w:rPr>
        <w:t xml:space="preserve"> del demandante sufriera algún daño. </w:t>
      </w:r>
    </w:p>
    <w:p w:rsidR="00A770A2" w:rsidRDefault="00A770A2" w:rsidP="00CF6F84">
      <w:pPr>
        <w:overflowPunct w:val="0"/>
        <w:autoSpaceDE w:val="0"/>
        <w:autoSpaceDN w:val="0"/>
        <w:adjustRightInd w:val="0"/>
        <w:contextualSpacing/>
        <w:rPr>
          <w:rFonts w:eastAsia="Verdana"/>
          <w:sz w:val="24"/>
          <w:szCs w:val="24"/>
        </w:rPr>
      </w:pPr>
    </w:p>
    <w:p w:rsidR="0003668F" w:rsidRDefault="0003668F" w:rsidP="00CF6F84">
      <w:pPr>
        <w:overflowPunct w:val="0"/>
        <w:autoSpaceDE w:val="0"/>
        <w:autoSpaceDN w:val="0"/>
        <w:adjustRightInd w:val="0"/>
        <w:contextualSpacing/>
        <w:rPr>
          <w:rFonts w:eastAsia="Verdana"/>
          <w:sz w:val="24"/>
          <w:szCs w:val="24"/>
        </w:rPr>
      </w:pPr>
      <w:r>
        <w:rPr>
          <w:rFonts w:eastAsia="Verdana"/>
          <w:sz w:val="24"/>
          <w:szCs w:val="24"/>
        </w:rPr>
        <w:t>Por otro lado, respecto de</w:t>
      </w:r>
      <w:r w:rsidR="009F0218">
        <w:rPr>
          <w:rFonts w:eastAsia="Verdana"/>
          <w:sz w:val="24"/>
          <w:szCs w:val="24"/>
        </w:rPr>
        <w:t xml:space="preserve"> los escritos de p</w:t>
      </w:r>
      <w:r>
        <w:rPr>
          <w:rFonts w:eastAsia="Verdana"/>
          <w:sz w:val="24"/>
          <w:szCs w:val="24"/>
        </w:rPr>
        <w:t>etición que radicaron ante la Secretaría de Planeación varias personas de la localidad</w:t>
      </w:r>
      <w:r w:rsidR="009F0218">
        <w:rPr>
          <w:rFonts w:eastAsia="Verdana"/>
          <w:sz w:val="24"/>
          <w:szCs w:val="24"/>
        </w:rPr>
        <w:t xml:space="preserve"> y la respectiva respuesta de</w:t>
      </w:r>
      <w:r>
        <w:rPr>
          <w:rFonts w:eastAsia="Verdana"/>
          <w:sz w:val="24"/>
          <w:szCs w:val="24"/>
        </w:rPr>
        <w:t xml:space="preserve"> INVIAS, adujo que</w:t>
      </w:r>
      <w:r w:rsidR="009F0218">
        <w:rPr>
          <w:rFonts w:eastAsia="Verdana"/>
          <w:sz w:val="24"/>
          <w:szCs w:val="24"/>
        </w:rPr>
        <w:t xml:space="preserve"> </w:t>
      </w:r>
      <w:r>
        <w:rPr>
          <w:rFonts w:eastAsia="Verdana"/>
          <w:sz w:val="24"/>
          <w:szCs w:val="24"/>
        </w:rPr>
        <w:t>tal cruce de correspondencia no complementaba ni ratificaba lo expresado en el informe técnico del 13 de julio de 2009 ni era conducente para determinar que la inundación del predio del demandante se produjo por las deficiencias de los materiales usados en el dique, la cual ocurrió casi un año después.</w:t>
      </w:r>
    </w:p>
    <w:p w:rsidR="0003668F" w:rsidRDefault="0003668F" w:rsidP="00CF6F84">
      <w:pPr>
        <w:overflowPunct w:val="0"/>
        <w:autoSpaceDE w:val="0"/>
        <w:autoSpaceDN w:val="0"/>
        <w:adjustRightInd w:val="0"/>
        <w:contextualSpacing/>
        <w:rPr>
          <w:rFonts w:eastAsia="Verdana"/>
          <w:sz w:val="24"/>
          <w:szCs w:val="24"/>
        </w:rPr>
      </w:pPr>
    </w:p>
    <w:p w:rsidR="00A770A2" w:rsidRDefault="00004E3A" w:rsidP="00CF6F84">
      <w:pPr>
        <w:overflowPunct w:val="0"/>
        <w:autoSpaceDE w:val="0"/>
        <w:autoSpaceDN w:val="0"/>
        <w:adjustRightInd w:val="0"/>
        <w:contextualSpacing/>
        <w:rPr>
          <w:rFonts w:eastAsia="Verdana"/>
          <w:sz w:val="24"/>
          <w:szCs w:val="24"/>
        </w:rPr>
      </w:pPr>
      <w:r>
        <w:rPr>
          <w:rFonts w:eastAsia="Verdana"/>
          <w:sz w:val="24"/>
          <w:szCs w:val="24"/>
        </w:rPr>
        <w:t xml:space="preserve">1.2.4.2. </w:t>
      </w:r>
      <w:r w:rsidR="003031AC">
        <w:rPr>
          <w:rFonts w:eastAsia="Verdana"/>
          <w:sz w:val="24"/>
          <w:szCs w:val="24"/>
        </w:rPr>
        <w:t xml:space="preserve">Del análisis </w:t>
      </w:r>
      <w:r w:rsidR="00BC69C9">
        <w:rPr>
          <w:rFonts w:eastAsia="Verdana"/>
          <w:sz w:val="24"/>
          <w:szCs w:val="24"/>
        </w:rPr>
        <w:t>de</w:t>
      </w:r>
      <w:r w:rsidR="00A33041">
        <w:rPr>
          <w:rFonts w:eastAsia="Verdana"/>
          <w:sz w:val="24"/>
          <w:szCs w:val="24"/>
        </w:rPr>
        <w:t>:</w:t>
      </w:r>
      <w:r w:rsidR="003031AC">
        <w:rPr>
          <w:rFonts w:eastAsia="Verdana"/>
          <w:sz w:val="24"/>
          <w:szCs w:val="24"/>
        </w:rPr>
        <w:t xml:space="preserve"> </w:t>
      </w:r>
      <w:r w:rsidR="00BC69C9">
        <w:rPr>
          <w:rFonts w:eastAsia="Verdana"/>
          <w:sz w:val="24"/>
          <w:szCs w:val="24"/>
        </w:rPr>
        <w:t>“</w:t>
      </w:r>
      <w:r w:rsidR="00BC69C9" w:rsidRPr="00BC69C9">
        <w:rPr>
          <w:rFonts w:eastAsia="Verdana"/>
          <w:sz w:val="24"/>
          <w:szCs w:val="24"/>
        </w:rPr>
        <w:t xml:space="preserve">a) el documento de interventoría de fecha 31 de marzo de 2010 relacionado con el contrato número 3412 de 2006, específicamente en el aparte denominado “inconvenientes presentados y soluciones”, b) el informe final de interventoría del mes de agosto de 2011 relativo a los contratos ejecutados por el INVIAS en la región de la Mojana, y c) el documento denominado “Informe de gestión y plan de acción jurídico asociado a las fallas de las obras de control de inundaciones construidas en el sector de la Mojana” elaborado por el INVIAS </w:t>
      </w:r>
      <w:r w:rsidR="00A33041">
        <w:rPr>
          <w:rFonts w:eastAsia="Verdana"/>
          <w:sz w:val="24"/>
          <w:szCs w:val="24"/>
        </w:rPr>
        <w:t xml:space="preserve"> r</w:t>
      </w:r>
      <w:r w:rsidR="00BC69C9" w:rsidRPr="00BC69C9">
        <w:rPr>
          <w:rFonts w:eastAsia="Verdana"/>
          <w:sz w:val="24"/>
          <w:szCs w:val="24"/>
        </w:rPr>
        <w:t>eferente a las fallas de construcción del dique marginal.</w:t>
      </w:r>
      <w:r w:rsidR="00BC69C9">
        <w:rPr>
          <w:rFonts w:eastAsia="Verdana"/>
          <w:sz w:val="24"/>
          <w:szCs w:val="24"/>
        </w:rPr>
        <w:t xml:space="preserve"> (…)”</w:t>
      </w:r>
      <w:r w:rsidR="00BC69C9">
        <w:rPr>
          <w:rStyle w:val="Refdenotaalpie"/>
          <w:rFonts w:eastAsia="Verdana"/>
          <w:sz w:val="24"/>
          <w:szCs w:val="24"/>
        </w:rPr>
        <w:footnoteReference w:id="5"/>
      </w:r>
      <w:r w:rsidR="003031AC">
        <w:rPr>
          <w:rFonts w:eastAsia="Verdana"/>
          <w:sz w:val="24"/>
          <w:szCs w:val="24"/>
        </w:rPr>
        <w:t xml:space="preserve"> estim</w:t>
      </w:r>
      <w:r w:rsidR="009F0218">
        <w:rPr>
          <w:rFonts w:eastAsia="Verdana"/>
          <w:sz w:val="24"/>
          <w:szCs w:val="24"/>
        </w:rPr>
        <w:t>ó</w:t>
      </w:r>
      <w:r w:rsidR="003031AC">
        <w:rPr>
          <w:rFonts w:eastAsia="Verdana"/>
          <w:sz w:val="24"/>
          <w:szCs w:val="24"/>
        </w:rPr>
        <w:t xml:space="preserve"> que, </w:t>
      </w:r>
      <w:r w:rsidR="009F0218">
        <w:rPr>
          <w:rFonts w:eastAsia="Verdana"/>
          <w:sz w:val="24"/>
          <w:szCs w:val="24"/>
        </w:rPr>
        <w:t>no se podía</w:t>
      </w:r>
      <w:r w:rsidR="003031AC">
        <w:rPr>
          <w:rFonts w:eastAsia="Verdana"/>
          <w:sz w:val="24"/>
          <w:szCs w:val="24"/>
        </w:rPr>
        <w:t xml:space="preserve"> inferir necesariamente que las obras ejecutadas no fueron realizadas adecuadamente o que se utilizaron materiales que no correspondía</w:t>
      </w:r>
      <w:r w:rsidR="00A33041">
        <w:rPr>
          <w:rFonts w:eastAsia="Verdana"/>
          <w:sz w:val="24"/>
          <w:szCs w:val="24"/>
        </w:rPr>
        <w:t>n</w:t>
      </w:r>
      <w:r w:rsidR="003031AC">
        <w:rPr>
          <w:rFonts w:eastAsia="Verdana"/>
          <w:sz w:val="24"/>
          <w:szCs w:val="24"/>
        </w:rPr>
        <w:t xml:space="preserve"> a las características propias de</w:t>
      </w:r>
      <w:r w:rsidR="00C17E75">
        <w:rPr>
          <w:rFonts w:eastAsia="Verdana"/>
          <w:sz w:val="24"/>
          <w:szCs w:val="24"/>
        </w:rPr>
        <w:t xml:space="preserve"> esas</w:t>
      </w:r>
      <w:r w:rsidR="003031AC">
        <w:rPr>
          <w:rFonts w:eastAsia="Verdana"/>
          <w:sz w:val="24"/>
          <w:szCs w:val="24"/>
        </w:rPr>
        <w:t xml:space="preserve"> construcciones, ya que solo enunciaron inconvenientes propios de una obra de gran magnitud.</w:t>
      </w:r>
    </w:p>
    <w:p w:rsidR="003031AC" w:rsidRDefault="003031AC" w:rsidP="00CF6F84">
      <w:pPr>
        <w:overflowPunct w:val="0"/>
        <w:autoSpaceDE w:val="0"/>
        <w:autoSpaceDN w:val="0"/>
        <w:adjustRightInd w:val="0"/>
        <w:contextualSpacing/>
        <w:rPr>
          <w:rFonts w:eastAsia="Verdana"/>
          <w:sz w:val="24"/>
          <w:szCs w:val="24"/>
        </w:rPr>
      </w:pPr>
    </w:p>
    <w:p w:rsidR="003031AC" w:rsidRDefault="006915BD" w:rsidP="00CF6F84">
      <w:pPr>
        <w:overflowPunct w:val="0"/>
        <w:autoSpaceDE w:val="0"/>
        <w:autoSpaceDN w:val="0"/>
        <w:adjustRightInd w:val="0"/>
        <w:contextualSpacing/>
        <w:rPr>
          <w:rFonts w:eastAsia="Verdana"/>
          <w:sz w:val="24"/>
          <w:szCs w:val="24"/>
        </w:rPr>
      </w:pPr>
      <w:r>
        <w:rPr>
          <w:rFonts w:eastAsia="Verdana"/>
          <w:sz w:val="24"/>
          <w:szCs w:val="24"/>
        </w:rPr>
        <w:t xml:space="preserve">Explicó </w:t>
      </w:r>
      <w:r w:rsidR="003031AC">
        <w:rPr>
          <w:rFonts w:eastAsia="Verdana"/>
          <w:sz w:val="24"/>
          <w:szCs w:val="24"/>
        </w:rPr>
        <w:t>que</w:t>
      </w:r>
      <w:r w:rsidR="009F0218">
        <w:rPr>
          <w:rFonts w:eastAsia="Verdana"/>
          <w:sz w:val="24"/>
          <w:szCs w:val="24"/>
        </w:rPr>
        <w:t xml:space="preserve">, por el contrario </w:t>
      </w:r>
      <w:r w:rsidR="003031AC">
        <w:rPr>
          <w:rFonts w:eastAsia="Verdana"/>
          <w:sz w:val="24"/>
          <w:szCs w:val="24"/>
        </w:rPr>
        <w:t xml:space="preserve">de estos medios de prueba </w:t>
      </w:r>
      <w:r w:rsidR="009F0218">
        <w:rPr>
          <w:rFonts w:eastAsia="Verdana"/>
          <w:sz w:val="24"/>
          <w:szCs w:val="24"/>
        </w:rPr>
        <w:t xml:space="preserve">era viable concluir </w:t>
      </w:r>
      <w:r w:rsidR="00A33041">
        <w:rPr>
          <w:rFonts w:eastAsia="Verdana"/>
          <w:sz w:val="24"/>
          <w:szCs w:val="24"/>
        </w:rPr>
        <w:t xml:space="preserve"> </w:t>
      </w:r>
      <w:r w:rsidR="003031AC">
        <w:rPr>
          <w:rFonts w:eastAsia="Verdana"/>
          <w:sz w:val="24"/>
          <w:szCs w:val="24"/>
        </w:rPr>
        <w:t xml:space="preserve">que, no se trató de un defecto en la construcción sino la imposibilidad de construir obras que, si bien eran necesarias, no pudieron ser ejecutadas por ausencia de presupuesto, </w:t>
      </w:r>
      <w:r w:rsidR="009F0218">
        <w:rPr>
          <w:rFonts w:eastAsia="Verdana"/>
          <w:sz w:val="24"/>
          <w:szCs w:val="24"/>
        </w:rPr>
        <w:t xml:space="preserve">por lo que, </w:t>
      </w:r>
      <w:r>
        <w:rPr>
          <w:rFonts w:eastAsia="Verdana"/>
          <w:sz w:val="24"/>
          <w:szCs w:val="24"/>
        </w:rPr>
        <w:t>una autoridad o entidad no está conminada a realizar actuaciones que no se encuentre en capacidad de realizar</w:t>
      </w:r>
      <w:r w:rsidR="009F0218">
        <w:rPr>
          <w:rFonts w:eastAsia="Verdana"/>
          <w:sz w:val="24"/>
          <w:szCs w:val="24"/>
        </w:rPr>
        <w:t xml:space="preserve"> y en ese sentido, </w:t>
      </w:r>
      <w:r>
        <w:rPr>
          <w:rFonts w:eastAsia="Verdana"/>
          <w:sz w:val="24"/>
          <w:szCs w:val="24"/>
        </w:rPr>
        <w:t xml:space="preserve">el demandante no cumplió la carga de demostrar o desvirtuar que INVIAS sí contaba con los recursos suficientes para ejecutar las obras correspondientes a los diques fusibles y su puesta en operación. </w:t>
      </w:r>
    </w:p>
    <w:p w:rsidR="006915BD" w:rsidRDefault="006915BD" w:rsidP="00CF6F84">
      <w:pPr>
        <w:overflowPunct w:val="0"/>
        <w:autoSpaceDE w:val="0"/>
        <w:autoSpaceDN w:val="0"/>
        <w:adjustRightInd w:val="0"/>
        <w:contextualSpacing/>
        <w:rPr>
          <w:rFonts w:eastAsia="Verdana"/>
          <w:sz w:val="24"/>
          <w:szCs w:val="24"/>
        </w:rPr>
      </w:pPr>
    </w:p>
    <w:p w:rsidR="006915BD" w:rsidRDefault="006915BD" w:rsidP="00CF6F84">
      <w:pPr>
        <w:overflowPunct w:val="0"/>
        <w:autoSpaceDE w:val="0"/>
        <w:autoSpaceDN w:val="0"/>
        <w:adjustRightInd w:val="0"/>
        <w:contextualSpacing/>
        <w:rPr>
          <w:rFonts w:eastAsia="Verdana"/>
          <w:sz w:val="24"/>
          <w:szCs w:val="24"/>
        </w:rPr>
      </w:pPr>
      <w:r>
        <w:rPr>
          <w:rFonts w:eastAsia="Verdana"/>
          <w:sz w:val="24"/>
          <w:szCs w:val="24"/>
        </w:rPr>
        <w:t>Agregó que, de la información consignada en el informe de gestión, era viable descartar que las propiedades de los materiales de construcción fueron las que necesariamente condujeron a la ruptura del dique ya que no estaba</w:t>
      </w:r>
      <w:r w:rsidR="0085713C">
        <w:rPr>
          <w:rFonts w:eastAsia="Verdana"/>
          <w:sz w:val="24"/>
          <w:szCs w:val="24"/>
        </w:rPr>
        <w:t xml:space="preserve"> demostrado que</w:t>
      </w:r>
      <w:r>
        <w:rPr>
          <w:rFonts w:eastAsia="Verdana"/>
          <w:sz w:val="24"/>
          <w:szCs w:val="24"/>
        </w:rPr>
        <w:t xml:space="preserve"> </w:t>
      </w:r>
      <w:r w:rsidR="009F0218">
        <w:rPr>
          <w:rFonts w:eastAsia="Verdana"/>
          <w:sz w:val="24"/>
          <w:szCs w:val="24"/>
        </w:rPr>
        <w:t xml:space="preserve">las características de </w:t>
      </w:r>
      <w:r w:rsidR="0059284D">
        <w:rPr>
          <w:rFonts w:eastAsia="Verdana"/>
          <w:sz w:val="24"/>
          <w:szCs w:val="24"/>
        </w:rPr>
        <w:t>aquellos</w:t>
      </w:r>
      <w:r w:rsidR="009F0218">
        <w:rPr>
          <w:rFonts w:eastAsia="Verdana"/>
          <w:sz w:val="24"/>
          <w:szCs w:val="24"/>
        </w:rPr>
        <w:t xml:space="preserve"> </w:t>
      </w:r>
      <w:r>
        <w:rPr>
          <w:rFonts w:eastAsia="Verdana"/>
          <w:sz w:val="24"/>
          <w:szCs w:val="24"/>
        </w:rPr>
        <w:t xml:space="preserve">fueron los que produjeron el desastre y menos que tuvieran relación con las inundaciones del predio del demandante. </w:t>
      </w:r>
    </w:p>
    <w:p w:rsidR="006915BD" w:rsidRDefault="006915BD" w:rsidP="00CF6F84">
      <w:pPr>
        <w:overflowPunct w:val="0"/>
        <w:autoSpaceDE w:val="0"/>
        <w:autoSpaceDN w:val="0"/>
        <w:adjustRightInd w:val="0"/>
        <w:contextualSpacing/>
        <w:rPr>
          <w:rFonts w:eastAsia="Verdana"/>
          <w:sz w:val="24"/>
          <w:szCs w:val="24"/>
        </w:rPr>
      </w:pPr>
    </w:p>
    <w:p w:rsidR="006915BD" w:rsidRDefault="006915BD" w:rsidP="00CF6F84">
      <w:pPr>
        <w:overflowPunct w:val="0"/>
        <w:autoSpaceDE w:val="0"/>
        <w:autoSpaceDN w:val="0"/>
        <w:adjustRightInd w:val="0"/>
        <w:contextualSpacing/>
        <w:rPr>
          <w:rFonts w:eastAsia="Verdana"/>
          <w:sz w:val="24"/>
          <w:szCs w:val="24"/>
        </w:rPr>
      </w:pPr>
      <w:r>
        <w:rPr>
          <w:rFonts w:eastAsia="Verdana"/>
          <w:sz w:val="24"/>
          <w:szCs w:val="24"/>
        </w:rPr>
        <w:t xml:space="preserve">1.2.4.3. Respecto del testimonio del señor Alfonso Mercado Ulloa </w:t>
      </w:r>
      <w:r w:rsidR="00126DE9">
        <w:rPr>
          <w:rFonts w:eastAsia="Verdana"/>
          <w:sz w:val="24"/>
          <w:szCs w:val="24"/>
        </w:rPr>
        <w:t xml:space="preserve">en audiencia de pruebas del 28 de enero de 2014, quien sostuvo ser ingeniero de planta y supervisor del INVIAS, específicamente del contrato número 3412 del 31 de diciembre de 2006 y de las fotografías aportadas para complementar su relato, </w:t>
      </w:r>
      <w:r w:rsidR="006A4EEC">
        <w:rPr>
          <w:rFonts w:eastAsia="Verdana"/>
          <w:sz w:val="24"/>
          <w:szCs w:val="24"/>
        </w:rPr>
        <w:t xml:space="preserve">contrario a lo narrado por el demandante, era viable concluir que no existió una indebida ejecución de la obra dispuesta en el mencionado contrato, ya que el testigo insistió en que la obra </w:t>
      </w:r>
      <w:r w:rsidR="006A4EEC">
        <w:rPr>
          <w:rFonts w:eastAsia="Verdana"/>
          <w:sz w:val="24"/>
          <w:szCs w:val="24"/>
        </w:rPr>
        <w:lastRenderedPageBreak/>
        <w:t>reunió las especificaciones requeridas por la entidad demandada y que cuestión diferente era que la ola invernal causara la socavación del terreno</w:t>
      </w:r>
      <w:r w:rsidR="009F0218">
        <w:rPr>
          <w:rFonts w:eastAsia="Verdana"/>
          <w:sz w:val="24"/>
          <w:szCs w:val="24"/>
        </w:rPr>
        <w:t>.</w:t>
      </w:r>
    </w:p>
    <w:p w:rsidR="006A4EEC" w:rsidRDefault="006A4EEC" w:rsidP="00CF6F84">
      <w:pPr>
        <w:overflowPunct w:val="0"/>
        <w:autoSpaceDE w:val="0"/>
        <w:autoSpaceDN w:val="0"/>
        <w:adjustRightInd w:val="0"/>
        <w:contextualSpacing/>
        <w:rPr>
          <w:rFonts w:eastAsia="Verdana"/>
          <w:sz w:val="24"/>
          <w:szCs w:val="24"/>
        </w:rPr>
      </w:pPr>
    </w:p>
    <w:p w:rsidR="006A4EEC" w:rsidRPr="002F7066" w:rsidRDefault="006A4EEC" w:rsidP="00CF6F84">
      <w:pPr>
        <w:overflowPunct w:val="0"/>
        <w:autoSpaceDE w:val="0"/>
        <w:autoSpaceDN w:val="0"/>
        <w:adjustRightInd w:val="0"/>
        <w:contextualSpacing/>
        <w:rPr>
          <w:rFonts w:eastAsia="Times New Roman"/>
          <w:bCs/>
          <w:sz w:val="22"/>
          <w:szCs w:val="22"/>
          <w:lang w:eastAsia="es-ES"/>
        </w:rPr>
      </w:pPr>
      <w:r>
        <w:rPr>
          <w:rFonts w:eastAsia="Verdana"/>
          <w:sz w:val="24"/>
          <w:szCs w:val="24"/>
        </w:rPr>
        <w:t xml:space="preserve">Al respecto indicó </w:t>
      </w:r>
      <w:r w:rsidR="009F0218">
        <w:rPr>
          <w:rFonts w:eastAsia="Verdana"/>
          <w:sz w:val="24"/>
          <w:szCs w:val="24"/>
        </w:rPr>
        <w:t xml:space="preserve">que, </w:t>
      </w:r>
      <w:r w:rsidR="002120B8">
        <w:rPr>
          <w:rFonts w:eastAsia="Verdana"/>
          <w:sz w:val="24"/>
          <w:szCs w:val="24"/>
        </w:rPr>
        <w:t xml:space="preserve">el desbordamiento del río Cauca ocurrió en el mes de julio de 2010 </w:t>
      </w:r>
      <w:r w:rsidR="0085713C">
        <w:rPr>
          <w:rFonts w:eastAsia="Verdana"/>
          <w:sz w:val="24"/>
          <w:szCs w:val="24"/>
        </w:rPr>
        <w:t xml:space="preserve">y </w:t>
      </w:r>
      <w:r w:rsidR="002120B8">
        <w:rPr>
          <w:rFonts w:eastAsia="Verdana"/>
          <w:sz w:val="24"/>
          <w:szCs w:val="24"/>
        </w:rPr>
        <w:t>el demandante no dio cuenta de la inundación sino hasta dos meses después, esto es, a finales de septiembre de ese año</w:t>
      </w:r>
      <w:r w:rsidR="009F0218">
        <w:rPr>
          <w:rFonts w:eastAsia="Verdana"/>
          <w:sz w:val="24"/>
          <w:szCs w:val="24"/>
        </w:rPr>
        <w:t>, no</w:t>
      </w:r>
      <w:r w:rsidR="002120B8">
        <w:rPr>
          <w:rFonts w:eastAsia="Verdana"/>
          <w:sz w:val="24"/>
          <w:szCs w:val="24"/>
        </w:rPr>
        <w:t xml:space="preserve"> </w:t>
      </w:r>
      <w:r w:rsidR="009F0218">
        <w:rPr>
          <w:rFonts w:eastAsia="Verdana"/>
          <w:sz w:val="24"/>
          <w:szCs w:val="24"/>
        </w:rPr>
        <w:t>fue posible establecer</w:t>
      </w:r>
      <w:r w:rsidR="002120B8">
        <w:rPr>
          <w:rFonts w:eastAsia="Verdana"/>
          <w:sz w:val="24"/>
          <w:szCs w:val="24"/>
        </w:rPr>
        <w:t xml:space="preserve"> a qué distancia del dique se encuentra el predio afectado</w:t>
      </w:r>
      <w:r w:rsidR="009F0218">
        <w:rPr>
          <w:rFonts w:eastAsia="Verdana"/>
          <w:sz w:val="24"/>
          <w:szCs w:val="24"/>
        </w:rPr>
        <w:t xml:space="preserve"> y si dadas las características</w:t>
      </w:r>
      <w:r w:rsidR="002120B8">
        <w:rPr>
          <w:rFonts w:eastAsia="Verdana"/>
          <w:sz w:val="24"/>
          <w:szCs w:val="24"/>
        </w:rPr>
        <w:t xml:space="preserve"> </w:t>
      </w:r>
      <w:r w:rsidR="009F0218">
        <w:rPr>
          <w:rFonts w:eastAsia="Verdana"/>
          <w:sz w:val="24"/>
          <w:szCs w:val="24"/>
        </w:rPr>
        <w:t>d</w:t>
      </w:r>
      <w:r w:rsidR="002120B8">
        <w:rPr>
          <w:rFonts w:eastAsia="Verdana"/>
          <w:sz w:val="24"/>
          <w:szCs w:val="24"/>
        </w:rPr>
        <w:t xml:space="preserve">el terrero era posible que las aguas del río llegaran hasta </w:t>
      </w:r>
      <w:r w:rsidR="009F0218">
        <w:rPr>
          <w:rFonts w:eastAsia="Verdana"/>
          <w:sz w:val="24"/>
          <w:szCs w:val="24"/>
        </w:rPr>
        <w:t>el predio</w:t>
      </w:r>
      <w:r w:rsidR="002120B8">
        <w:rPr>
          <w:rFonts w:eastAsia="Verdana"/>
          <w:sz w:val="24"/>
          <w:szCs w:val="24"/>
        </w:rPr>
        <w:t xml:space="preserve">, pues el desbordamiento se dio en inmediaciones de los municipios de Majagual y el predio se ubica en el municipio de San Benito Abad. </w:t>
      </w:r>
    </w:p>
    <w:p w:rsidR="001C35A8" w:rsidRDefault="001C35A8" w:rsidP="00863D39">
      <w:pPr>
        <w:overflowPunct w:val="0"/>
        <w:autoSpaceDE w:val="0"/>
        <w:autoSpaceDN w:val="0"/>
        <w:adjustRightInd w:val="0"/>
        <w:contextualSpacing/>
        <w:rPr>
          <w:rFonts w:eastAsia="Times New Roman"/>
          <w:b/>
          <w:sz w:val="24"/>
          <w:szCs w:val="24"/>
          <w:lang w:eastAsia="es-ES"/>
        </w:rPr>
      </w:pPr>
    </w:p>
    <w:p w:rsidR="009F0218" w:rsidRDefault="00BB562F" w:rsidP="00863D39">
      <w:pPr>
        <w:overflowPunct w:val="0"/>
        <w:autoSpaceDE w:val="0"/>
        <w:autoSpaceDN w:val="0"/>
        <w:adjustRightInd w:val="0"/>
        <w:contextualSpacing/>
        <w:rPr>
          <w:rFonts w:eastAsia="Times New Roman"/>
          <w:bCs/>
          <w:sz w:val="24"/>
          <w:szCs w:val="24"/>
          <w:lang w:eastAsia="es-ES"/>
        </w:rPr>
      </w:pPr>
      <w:r w:rsidRPr="00BB562F">
        <w:rPr>
          <w:rFonts w:eastAsia="Times New Roman"/>
          <w:bCs/>
          <w:sz w:val="24"/>
          <w:szCs w:val="24"/>
          <w:lang w:eastAsia="es-ES"/>
        </w:rPr>
        <w:t xml:space="preserve">1.2.4.4. </w:t>
      </w:r>
      <w:r w:rsidR="00304D78" w:rsidRPr="00BE75DE">
        <w:rPr>
          <w:rFonts w:eastAsia="Times New Roman"/>
          <w:bCs/>
          <w:sz w:val="24"/>
          <w:szCs w:val="24"/>
          <w:lang w:eastAsia="es-ES"/>
        </w:rPr>
        <w:t xml:space="preserve">Finalmente </w:t>
      </w:r>
      <w:r w:rsidR="009F0218">
        <w:rPr>
          <w:rFonts w:eastAsia="Times New Roman"/>
          <w:bCs/>
          <w:sz w:val="24"/>
          <w:szCs w:val="24"/>
          <w:lang w:eastAsia="es-ES"/>
        </w:rPr>
        <w:t xml:space="preserve">expuso un análisis comparativo del caso concreto en relación con </w:t>
      </w:r>
      <w:r w:rsidR="00304D78" w:rsidRPr="00BE75DE">
        <w:rPr>
          <w:rFonts w:eastAsia="Times New Roman"/>
          <w:bCs/>
          <w:sz w:val="24"/>
          <w:szCs w:val="24"/>
          <w:lang w:eastAsia="es-ES"/>
        </w:rPr>
        <w:t>el proceso con radica</w:t>
      </w:r>
      <w:r w:rsidR="009F0218">
        <w:rPr>
          <w:rFonts w:eastAsia="Times New Roman"/>
          <w:bCs/>
          <w:sz w:val="24"/>
          <w:szCs w:val="24"/>
          <w:lang w:eastAsia="es-ES"/>
        </w:rPr>
        <w:t>do número</w:t>
      </w:r>
      <w:r w:rsidR="00304D78" w:rsidRPr="00BE75DE">
        <w:rPr>
          <w:rFonts w:eastAsia="Times New Roman"/>
          <w:bCs/>
          <w:sz w:val="24"/>
          <w:szCs w:val="24"/>
          <w:lang w:eastAsia="es-ES"/>
        </w:rPr>
        <w:t xml:space="preserve"> 70001-23- 33-2012-00156-01 (51960) </w:t>
      </w:r>
      <w:r w:rsidR="009F0218">
        <w:rPr>
          <w:rFonts w:eastAsia="Times New Roman"/>
          <w:bCs/>
          <w:sz w:val="24"/>
          <w:szCs w:val="24"/>
          <w:lang w:eastAsia="es-ES"/>
        </w:rPr>
        <w:t xml:space="preserve">en el que </w:t>
      </w:r>
      <w:r w:rsidR="009F0218" w:rsidRPr="00BE75DE">
        <w:rPr>
          <w:rFonts w:eastAsia="Times New Roman"/>
          <w:bCs/>
          <w:sz w:val="24"/>
          <w:szCs w:val="24"/>
          <w:lang w:eastAsia="es-ES"/>
        </w:rPr>
        <w:t xml:space="preserve">la Subsección C de la Sección Tercera del Consejo de Estado </w:t>
      </w:r>
      <w:r w:rsidR="009F0218">
        <w:rPr>
          <w:rFonts w:eastAsia="Times New Roman"/>
          <w:bCs/>
          <w:sz w:val="24"/>
          <w:szCs w:val="24"/>
          <w:lang w:eastAsia="es-ES"/>
        </w:rPr>
        <w:t xml:space="preserve">mediante </w:t>
      </w:r>
      <w:r w:rsidR="009F0218" w:rsidRPr="00BE75DE">
        <w:rPr>
          <w:rFonts w:eastAsia="Times New Roman"/>
          <w:bCs/>
          <w:sz w:val="24"/>
          <w:szCs w:val="24"/>
          <w:lang w:eastAsia="es-ES"/>
        </w:rPr>
        <w:t>sentencia del 5 de julio de 2018</w:t>
      </w:r>
      <w:r w:rsidR="009F0218">
        <w:rPr>
          <w:rFonts w:eastAsia="Times New Roman"/>
          <w:bCs/>
          <w:sz w:val="24"/>
          <w:szCs w:val="24"/>
          <w:lang w:eastAsia="es-ES"/>
        </w:rPr>
        <w:t xml:space="preserve"> accedió a las pretensiones de la demanda por los</w:t>
      </w:r>
      <w:r w:rsidR="00304D78" w:rsidRPr="00BE75DE">
        <w:rPr>
          <w:rFonts w:eastAsia="Times New Roman"/>
          <w:bCs/>
          <w:sz w:val="24"/>
          <w:szCs w:val="24"/>
          <w:lang w:eastAsia="es-ES"/>
        </w:rPr>
        <w:t xml:space="preserve"> perjuicios </w:t>
      </w:r>
      <w:r w:rsidR="009F0218">
        <w:rPr>
          <w:rFonts w:eastAsia="Times New Roman"/>
          <w:bCs/>
          <w:sz w:val="24"/>
          <w:szCs w:val="24"/>
          <w:lang w:eastAsia="es-ES"/>
        </w:rPr>
        <w:t>ocasionados por</w:t>
      </w:r>
      <w:r w:rsidR="00304D78" w:rsidRPr="00BE75DE">
        <w:rPr>
          <w:rFonts w:eastAsia="Times New Roman"/>
          <w:bCs/>
          <w:sz w:val="24"/>
          <w:szCs w:val="24"/>
          <w:lang w:eastAsia="es-ES"/>
        </w:rPr>
        <w:t xml:space="preserve"> el desbordamiento del río Cauca el 26 de septiembre de 2010 en el sector de la Mojana </w:t>
      </w:r>
      <w:r w:rsidR="009F0218">
        <w:rPr>
          <w:rFonts w:eastAsia="Times New Roman"/>
          <w:bCs/>
          <w:sz w:val="24"/>
          <w:szCs w:val="24"/>
          <w:lang w:eastAsia="es-ES"/>
        </w:rPr>
        <w:t xml:space="preserve">los que, fueron </w:t>
      </w:r>
      <w:r w:rsidR="00304D78" w:rsidRPr="00BE75DE">
        <w:rPr>
          <w:rFonts w:eastAsia="Times New Roman"/>
          <w:bCs/>
          <w:sz w:val="24"/>
          <w:szCs w:val="24"/>
          <w:lang w:eastAsia="es-ES"/>
        </w:rPr>
        <w:t>atribuidos a fallas cometidas por INVIAS en la construcción del dique ubicado al margen izquierdo del mencionado caudal hídrico</w:t>
      </w:r>
      <w:r w:rsidR="009F0218">
        <w:rPr>
          <w:rFonts w:eastAsia="Times New Roman"/>
          <w:bCs/>
          <w:sz w:val="24"/>
          <w:szCs w:val="24"/>
          <w:lang w:eastAsia="es-ES"/>
        </w:rPr>
        <w:t xml:space="preserve">.  </w:t>
      </w:r>
    </w:p>
    <w:p w:rsidR="009F0218" w:rsidRDefault="009F0218" w:rsidP="00863D39">
      <w:pPr>
        <w:overflowPunct w:val="0"/>
        <w:autoSpaceDE w:val="0"/>
        <w:autoSpaceDN w:val="0"/>
        <w:adjustRightInd w:val="0"/>
        <w:contextualSpacing/>
        <w:rPr>
          <w:rFonts w:eastAsia="Times New Roman"/>
          <w:bCs/>
          <w:sz w:val="24"/>
          <w:szCs w:val="24"/>
          <w:lang w:eastAsia="es-ES"/>
        </w:rPr>
      </w:pPr>
    </w:p>
    <w:p w:rsidR="00304D78" w:rsidRDefault="009F0218" w:rsidP="00863D39">
      <w:pPr>
        <w:overflowPunct w:val="0"/>
        <w:autoSpaceDE w:val="0"/>
        <w:autoSpaceDN w:val="0"/>
        <w:adjustRightInd w:val="0"/>
        <w:contextualSpacing/>
        <w:rPr>
          <w:rFonts w:eastAsia="Times New Roman"/>
          <w:bCs/>
          <w:sz w:val="24"/>
          <w:szCs w:val="24"/>
          <w:lang w:eastAsia="es-ES"/>
        </w:rPr>
      </w:pPr>
      <w:r>
        <w:rPr>
          <w:rFonts w:eastAsia="Times New Roman"/>
          <w:bCs/>
          <w:sz w:val="24"/>
          <w:szCs w:val="24"/>
          <w:lang w:eastAsia="es-ES"/>
        </w:rPr>
        <w:t>Al respecto sostuvo que, en e</w:t>
      </w:r>
      <w:r w:rsidR="00B7495B">
        <w:rPr>
          <w:rFonts w:eastAsia="Times New Roman"/>
          <w:bCs/>
          <w:sz w:val="24"/>
          <w:szCs w:val="24"/>
          <w:lang w:eastAsia="es-ES"/>
        </w:rPr>
        <w:t xml:space="preserve">l proceso ya fallado, </w:t>
      </w:r>
      <w:r w:rsidR="00304D78" w:rsidRPr="00BE75DE">
        <w:rPr>
          <w:rFonts w:eastAsia="Times New Roman"/>
          <w:bCs/>
          <w:sz w:val="24"/>
          <w:szCs w:val="24"/>
          <w:lang w:eastAsia="es-ES"/>
        </w:rPr>
        <w:t xml:space="preserve">el </w:t>
      </w:r>
      <w:r>
        <w:rPr>
          <w:rFonts w:eastAsia="Times New Roman"/>
          <w:bCs/>
          <w:sz w:val="24"/>
          <w:szCs w:val="24"/>
          <w:lang w:eastAsia="es-ES"/>
        </w:rPr>
        <w:t>material</w:t>
      </w:r>
      <w:r w:rsidR="00304D78" w:rsidRPr="00BE75DE">
        <w:rPr>
          <w:rFonts w:eastAsia="Times New Roman"/>
          <w:bCs/>
          <w:sz w:val="24"/>
          <w:szCs w:val="24"/>
          <w:lang w:eastAsia="es-ES"/>
        </w:rPr>
        <w:t xml:space="preserve"> probatorio allegado </w:t>
      </w:r>
      <w:r>
        <w:rPr>
          <w:rFonts w:eastAsia="Times New Roman"/>
          <w:bCs/>
          <w:sz w:val="24"/>
          <w:szCs w:val="24"/>
          <w:lang w:eastAsia="es-ES"/>
        </w:rPr>
        <w:t>acreditó el</w:t>
      </w:r>
      <w:r w:rsidR="00304D78" w:rsidRPr="00BE75DE">
        <w:rPr>
          <w:rFonts w:eastAsia="Times New Roman"/>
          <w:bCs/>
          <w:sz w:val="24"/>
          <w:szCs w:val="24"/>
          <w:lang w:eastAsia="es-ES"/>
        </w:rPr>
        <w:t xml:space="preserve"> nexo causal y </w:t>
      </w:r>
      <w:r w:rsidRPr="00BE75DE">
        <w:rPr>
          <w:rFonts w:eastAsia="Times New Roman"/>
          <w:bCs/>
          <w:sz w:val="24"/>
          <w:szCs w:val="24"/>
          <w:lang w:eastAsia="es-ES"/>
        </w:rPr>
        <w:t>q</w:t>
      </w:r>
      <w:r>
        <w:rPr>
          <w:rFonts w:eastAsia="Times New Roman"/>
          <w:bCs/>
          <w:sz w:val="24"/>
          <w:szCs w:val="24"/>
          <w:lang w:eastAsia="es-ES"/>
        </w:rPr>
        <w:t>ue, en el</w:t>
      </w:r>
      <w:r w:rsidR="00304D78" w:rsidRPr="00BE75DE">
        <w:rPr>
          <w:rFonts w:eastAsia="Times New Roman"/>
          <w:bCs/>
          <w:sz w:val="24"/>
          <w:szCs w:val="24"/>
          <w:lang w:eastAsia="es-ES"/>
        </w:rPr>
        <w:t xml:space="preserve"> caso concreto </w:t>
      </w:r>
      <w:r>
        <w:rPr>
          <w:rFonts w:eastAsia="Times New Roman"/>
          <w:bCs/>
          <w:sz w:val="24"/>
          <w:szCs w:val="24"/>
          <w:lang w:eastAsia="es-ES"/>
        </w:rPr>
        <w:t>el predio afectado era diferente, l</w:t>
      </w:r>
      <w:r w:rsidR="00304D78" w:rsidRPr="00BE75DE">
        <w:rPr>
          <w:rFonts w:eastAsia="Times New Roman"/>
          <w:bCs/>
          <w:sz w:val="24"/>
          <w:szCs w:val="24"/>
          <w:lang w:eastAsia="es-ES"/>
        </w:rPr>
        <w:t xml:space="preserve">as pruebas allegadas no daban cuenta de la certeza de la relación existente entre los daños sufridos por el </w:t>
      </w:r>
      <w:r w:rsidR="00BE75DE" w:rsidRPr="00BE75DE">
        <w:rPr>
          <w:rFonts w:eastAsia="Times New Roman"/>
          <w:bCs/>
          <w:sz w:val="24"/>
          <w:szCs w:val="24"/>
          <w:lang w:eastAsia="es-ES"/>
        </w:rPr>
        <w:t>demandante</w:t>
      </w:r>
      <w:r w:rsidR="00304D78" w:rsidRPr="00BE75DE">
        <w:rPr>
          <w:rFonts w:eastAsia="Times New Roman"/>
          <w:bCs/>
          <w:sz w:val="24"/>
          <w:szCs w:val="24"/>
          <w:lang w:eastAsia="es-ES"/>
        </w:rPr>
        <w:t xml:space="preserve">, las deficiencias aludidas y el </w:t>
      </w:r>
      <w:r w:rsidR="00BE75DE" w:rsidRPr="00BE75DE">
        <w:rPr>
          <w:rFonts w:eastAsia="Times New Roman"/>
          <w:bCs/>
          <w:sz w:val="24"/>
          <w:szCs w:val="24"/>
          <w:lang w:eastAsia="es-ES"/>
        </w:rPr>
        <w:t>desbordamiento</w:t>
      </w:r>
      <w:r w:rsidR="00304D78" w:rsidRPr="00BE75DE">
        <w:rPr>
          <w:rFonts w:eastAsia="Times New Roman"/>
          <w:bCs/>
          <w:sz w:val="24"/>
          <w:szCs w:val="24"/>
          <w:lang w:eastAsia="es-ES"/>
        </w:rPr>
        <w:t xml:space="preserve"> del río.  </w:t>
      </w:r>
    </w:p>
    <w:p w:rsidR="00BE75DE" w:rsidRDefault="00BE75DE" w:rsidP="00863D39">
      <w:pPr>
        <w:overflowPunct w:val="0"/>
        <w:autoSpaceDE w:val="0"/>
        <w:autoSpaceDN w:val="0"/>
        <w:adjustRightInd w:val="0"/>
        <w:contextualSpacing/>
        <w:rPr>
          <w:rFonts w:eastAsia="Times New Roman"/>
          <w:bCs/>
          <w:sz w:val="24"/>
          <w:szCs w:val="24"/>
          <w:lang w:eastAsia="es-ES"/>
        </w:rPr>
      </w:pPr>
    </w:p>
    <w:p w:rsidR="0035502A" w:rsidRDefault="00BE75DE" w:rsidP="00863D39">
      <w:pPr>
        <w:overflowPunct w:val="0"/>
        <w:autoSpaceDE w:val="0"/>
        <w:autoSpaceDN w:val="0"/>
        <w:adjustRightInd w:val="0"/>
        <w:contextualSpacing/>
        <w:rPr>
          <w:rFonts w:eastAsia="Times New Roman"/>
          <w:bCs/>
          <w:sz w:val="24"/>
          <w:szCs w:val="24"/>
          <w:lang w:eastAsia="es-ES"/>
        </w:rPr>
      </w:pPr>
      <w:r>
        <w:rPr>
          <w:rFonts w:eastAsia="Times New Roman"/>
          <w:bCs/>
          <w:sz w:val="24"/>
          <w:szCs w:val="24"/>
          <w:lang w:eastAsia="es-ES"/>
        </w:rPr>
        <w:t>Agregó que</w:t>
      </w:r>
      <w:r w:rsidR="00B7495B">
        <w:rPr>
          <w:rFonts w:eastAsia="Times New Roman"/>
          <w:bCs/>
          <w:sz w:val="24"/>
          <w:szCs w:val="24"/>
          <w:lang w:eastAsia="es-ES"/>
        </w:rPr>
        <w:t xml:space="preserve"> la prueba testimonial estuvo dirigida a demostrar </w:t>
      </w:r>
      <w:r>
        <w:rPr>
          <w:rFonts w:eastAsia="Times New Roman"/>
          <w:bCs/>
          <w:sz w:val="24"/>
          <w:szCs w:val="24"/>
          <w:lang w:eastAsia="es-ES"/>
        </w:rPr>
        <w:t>los perjuicios</w:t>
      </w:r>
      <w:r w:rsidR="00CE1A1C">
        <w:rPr>
          <w:rFonts w:eastAsia="Times New Roman"/>
          <w:bCs/>
          <w:sz w:val="24"/>
          <w:szCs w:val="24"/>
          <w:lang w:eastAsia="es-ES"/>
        </w:rPr>
        <w:t>,</w:t>
      </w:r>
      <w:r>
        <w:rPr>
          <w:rFonts w:eastAsia="Times New Roman"/>
          <w:bCs/>
          <w:sz w:val="24"/>
          <w:szCs w:val="24"/>
          <w:lang w:eastAsia="es-ES"/>
        </w:rPr>
        <w:t xml:space="preserve"> pero no las causas de la </w:t>
      </w:r>
      <w:r w:rsidR="00FE54CA">
        <w:rPr>
          <w:rFonts w:eastAsia="Times New Roman"/>
          <w:bCs/>
          <w:sz w:val="24"/>
          <w:szCs w:val="24"/>
          <w:lang w:eastAsia="es-ES"/>
        </w:rPr>
        <w:t>inundación</w:t>
      </w:r>
      <w:r w:rsidR="009F0218">
        <w:rPr>
          <w:rFonts w:eastAsia="Times New Roman"/>
          <w:bCs/>
          <w:sz w:val="24"/>
          <w:szCs w:val="24"/>
          <w:lang w:eastAsia="es-ES"/>
        </w:rPr>
        <w:t xml:space="preserve">, </w:t>
      </w:r>
      <w:r w:rsidR="00B7495B">
        <w:rPr>
          <w:rFonts w:eastAsia="Times New Roman"/>
          <w:bCs/>
          <w:sz w:val="24"/>
          <w:szCs w:val="24"/>
          <w:lang w:eastAsia="es-ES"/>
        </w:rPr>
        <w:t xml:space="preserve">y que ante la ausencia de estudios técnicos y de conocimientos precisos o experiencia sobre el tema, </w:t>
      </w:r>
      <w:r>
        <w:rPr>
          <w:rFonts w:eastAsia="Times New Roman"/>
          <w:bCs/>
          <w:sz w:val="24"/>
          <w:szCs w:val="24"/>
          <w:lang w:eastAsia="es-ES"/>
        </w:rPr>
        <w:t>no era posible proferir una decisión similar en el caso objeto de controversia.</w:t>
      </w:r>
    </w:p>
    <w:p w:rsidR="009A75AE" w:rsidRPr="009A75AE" w:rsidRDefault="009A75AE" w:rsidP="00863D39">
      <w:pPr>
        <w:overflowPunct w:val="0"/>
        <w:autoSpaceDE w:val="0"/>
        <w:autoSpaceDN w:val="0"/>
        <w:adjustRightInd w:val="0"/>
        <w:contextualSpacing/>
        <w:rPr>
          <w:rFonts w:eastAsia="Times New Roman"/>
          <w:bCs/>
          <w:sz w:val="24"/>
          <w:szCs w:val="24"/>
          <w:lang w:eastAsia="es-ES"/>
        </w:rPr>
      </w:pPr>
    </w:p>
    <w:p w:rsidR="003E02F0" w:rsidRPr="00F02330" w:rsidRDefault="003E02F0" w:rsidP="009A75AE">
      <w:pPr>
        <w:keepNext/>
        <w:widowControl w:val="0"/>
        <w:overflowPunct w:val="0"/>
        <w:autoSpaceDE w:val="0"/>
        <w:autoSpaceDN w:val="0"/>
        <w:adjustRightInd w:val="0"/>
        <w:contextualSpacing/>
        <w:rPr>
          <w:rFonts w:eastAsia="Times New Roman"/>
          <w:b/>
          <w:sz w:val="24"/>
          <w:szCs w:val="24"/>
          <w:lang w:eastAsia="es-ES"/>
        </w:rPr>
      </w:pPr>
      <w:r w:rsidRPr="00F02330">
        <w:rPr>
          <w:rFonts w:eastAsia="Times New Roman"/>
          <w:b/>
          <w:sz w:val="24"/>
          <w:szCs w:val="24"/>
          <w:lang w:eastAsia="es-ES"/>
        </w:rPr>
        <w:t>1.3. Pretensiones de tutela</w:t>
      </w:r>
    </w:p>
    <w:p w:rsidR="003E02F0" w:rsidRPr="00F02330" w:rsidRDefault="003E02F0" w:rsidP="009A75AE">
      <w:pPr>
        <w:keepNext/>
        <w:widowControl w:val="0"/>
        <w:contextualSpacing/>
        <w:rPr>
          <w:rFonts w:eastAsia="Verdana"/>
          <w:sz w:val="24"/>
          <w:szCs w:val="24"/>
        </w:rPr>
      </w:pPr>
    </w:p>
    <w:p w:rsidR="009F77E0" w:rsidRPr="009775B0" w:rsidRDefault="00BB562F" w:rsidP="009A75AE">
      <w:pPr>
        <w:keepNext/>
        <w:widowControl w:val="0"/>
        <w:contextualSpacing/>
        <w:rPr>
          <w:bCs/>
          <w:color w:val="000000"/>
          <w:sz w:val="24"/>
          <w:szCs w:val="24"/>
        </w:rPr>
      </w:pPr>
      <w:r>
        <w:rPr>
          <w:color w:val="000000"/>
          <w:sz w:val="24"/>
          <w:szCs w:val="24"/>
        </w:rPr>
        <w:t>Alberto de Jesús Martelo Camacho</w:t>
      </w:r>
      <w:r w:rsidR="003E02F0" w:rsidRPr="003E02F0">
        <w:rPr>
          <w:color w:val="000000"/>
          <w:sz w:val="24"/>
          <w:szCs w:val="24"/>
        </w:rPr>
        <w:t xml:space="preserve"> </w:t>
      </w:r>
      <w:r w:rsidR="00C720DA">
        <w:rPr>
          <w:color w:val="000000"/>
          <w:sz w:val="24"/>
          <w:szCs w:val="24"/>
        </w:rPr>
        <w:t>solicitó</w:t>
      </w:r>
      <w:r w:rsidR="009F77E0">
        <w:rPr>
          <w:rStyle w:val="Refdenotaalpie"/>
          <w:rFonts w:eastAsia="Verdana"/>
          <w:color w:val="000000"/>
          <w:sz w:val="24"/>
          <w:szCs w:val="24"/>
        </w:rPr>
        <w:footnoteReference w:id="6"/>
      </w:r>
      <w:r w:rsidR="003E02F0" w:rsidRPr="003E02F0">
        <w:rPr>
          <w:rFonts w:eastAsia="Verdana"/>
          <w:color w:val="000000"/>
          <w:sz w:val="24"/>
          <w:szCs w:val="24"/>
        </w:rPr>
        <w:t>:</w:t>
      </w:r>
      <w:r w:rsidR="009F77E0">
        <w:rPr>
          <w:rFonts w:eastAsia="Verdana"/>
          <w:color w:val="000000"/>
          <w:sz w:val="24"/>
          <w:szCs w:val="24"/>
        </w:rPr>
        <w:t xml:space="preserve"> </w:t>
      </w:r>
      <w:r w:rsidR="00A273ED">
        <w:rPr>
          <w:rFonts w:eastAsia="Verdana"/>
          <w:color w:val="000000"/>
          <w:sz w:val="24"/>
          <w:szCs w:val="24"/>
        </w:rPr>
        <w:t xml:space="preserve">i) </w:t>
      </w:r>
      <w:r w:rsidR="007A2926">
        <w:rPr>
          <w:rFonts w:eastAsia="Verdana"/>
          <w:color w:val="000000"/>
          <w:sz w:val="24"/>
          <w:szCs w:val="24"/>
        </w:rPr>
        <w:t>amparar sus derechos fundamentales</w:t>
      </w:r>
      <w:r w:rsidR="007E5AF8">
        <w:rPr>
          <w:rFonts w:eastAsia="Verdana"/>
          <w:color w:val="000000"/>
          <w:sz w:val="24"/>
          <w:szCs w:val="24"/>
        </w:rPr>
        <w:t xml:space="preserve"> a la dignidad humana, </w:t>
      </w:r>
      <w:r w:rsidR="009F0218">
        <w:rPr>
          <w:rFonts w:eastAsia="Verdana"/>
          <w:color w:val="000000"/>
          <w:sz w:val="24"/>
          <w:szCs w:val="24"/>
        </w:rPr>
        <w:t xml:space="preserve">a la </w:t>
      </w:r>
      <w:r w:rsidR="007E5AF8">
        <w:rPr>
          <w:rFonts w:eastAsia="Verdana"/>
          <w:color w:val="000000"/>
          <w:sz w:val="24"/>
          <w:szCs w:val="24"/>
        </w:rPr>
        <w:t xml:space="preserve">igualdad, </w:t>
      </w:r>
      <w:r w:rsidR="009F0218">
        <w:rPr>
          <w:rFonts w:eastAsia="Verdana"/>
          <w:color w:val="000000"/>
          <w:sz w:val="24"/>
          <w:szCs w:val="24"/>
        </w:rPr>
        <w:t xml:space="preserve">al </w:t>
      </w:r>
      <w:r w:rsidR="007E5AF8">
        <w:rPr>
          <w:rFonts w:eastAsia="Verdana"/>
          <w:color w:val="000000"/>
          <w:sz w:val="24"/>
          <w:szCs w:val="24"/>
        </w:rPr>
        <w:t xml:space="preserve">debido proceso, </w:t>
      </w:r>
      <w:r w:rsidR="009F0218">
        <w:rPr>
          <w:rFonts w:eastAsia="Verdana"/>
          <w:color w:val="000000"/>
          <w:sz w:val="24"/>
          <w:szCs w:val="24"/>
        </w:rPr>
        <w:t xml:space="preserve">a la </w:t>
      </w:r>
      <w:r w:rsidR="007E5AF8">
        <w:rPr>
          <w:rFonts w:eastAsia="Verdana"/>
          <w:color w:val="000000"/>
          <w:sz w:val="24"/>
          <w:szCs w:val="24"/>
        </w:rPr>
        <w:t xml:space="preserve">prevalencia del derecho sustancial y </w:t>
      </w:r>
      <w:r w:rsidR="009F0218">
        <w:rPr>
          <w:rFonts w:eastAsia="Verdana"/>
          <w:color w:val="000000"/>
          <w:sz w:val="24"/>
          <w:szCs w:val="24"/>
        </w:rPr>
        <w:t xml:space="preserve">de </w:t>
      </w:r>
      <w:r w:rsidR="007E5AF8">
        <w:rPr>
          <w:rFonts w:eastAsia="Verdana"/>
          <w:color w:val="000000"/>
          <w:sz w:val="24"/>
          <w:szCs w:val="24"/>
        </w:rPr>
        <w:t>acceso a la administración de justicia</w:t>
      </w:r>
      <w:r w:rsidR="007A2926">
        <w:rPr>
          <w:rFonts w:eastAsia="Verdana"/>
          <w:color w:val="000000"/>
          <w:sz w:val="24"/>
          <w:szCs w:val="24"/>
        </w:rPr>
        <w:t xml:space="preserve">; ii) </w:t>
      </w:r>
      <w:r w:rsidR="0028089E">
        <w:rPr>
          <w:rFonts w:eastAsia="Verdana"/>
          <w:color w:val="000000"/>
          <w:sz w:val="24"/>
          <w:szCs w:val="24"/>
        </w:rPr>
        <w:t>ordenar al Consejo de Estado, Sección Tercera, Subsección B para que en el menor tiempo posible dicte una sentencia en las que sean tenidos en cuenta sus derechos y garantías</w:t>
      </w:r>
      <w:r w:rsidR="00A273ED">
        <w:rPr>
          <w:rFonts w:eastAsia="Verdana"/>
          <w:color w:val="000000"/>
          <w:sz w:val="24"/>
          <w:szCs w:val="24"/>
        </w:rPr>
        <w:t xml:space="preserve">; </w:t>
      </w:r>
      <w:r w:rsidR="005342D3">
        <w:rPr>
          <w:rFonts w:eastAsia="Verdana"/>
          <w:color w:val="000000"/>
          <w:sz w:val="24"/>
          <w:szCs w:val="24"/>
        </w:rPr>
        <w:t xml:space="preserve">y </w:t>
      </w:r>
      <w:r w:rsidR="00A273ED">
        <w:rPr>
          <w:rFonts w:eastAsia="Verdana"/>
          <w:color w:val="000000"/>
          <w:sz w:val="24"/>
          <w:szCs w:val="24"/>
        </w:rPr>
        <w:t>i</w:t>
      </w:r>
      <w:r w:rsidR="00484AA7">
        <w:rPr>
          <w:rFonts w:eastAsia="Verdana"/>
          <w:color w:val="000000"/>
          <w:sz w:val="24"/>
          <w:szCs w:val="24"/>
        </w:rPr>
        <w:t>i</w:t>
      </w:r>
      <w:r w:rsidR="00A273ED">
        <w:rPr>
          <w:rFonts w:eastAsia="Verdana"/>
          <w:color w:val="000000"/>
          <w:sz w:val="24"/>
          <w:szCs w:val="24"/>
        </w:rPr>
        <w:t xml:space="preserve">i) </w:t>
      </w:r>
      <w:r w:rsidR="0028089E">
        <w:rPr>
          <w:rFonts w:eastAsia="Verdana"/>
          <w:color w:val="000000"/>
          <w:sz w:val="24"/>
          <w:szCs w:val="24"/>
        </w:rPr>
        <w:t>las demás que se estimen pertinentes.</w:t>
      </w:r>
    </w:p>
    <w:p w:rsidR="000A511D" w:rsidRPr="003E02F0" w:rsidRDefault="000A511D" w:rsidP="00863D39">
      <w:pPr>
        <w:contextualSpacing/>
        <w:rPr>
          <w:rFonts w:eastAsia="Verdana"/>
          <w:color w:val="000000"/>
          <w:sz w:val="24"/>
          <w:szCs w:val="24"/>
        </w:rPr>
      </w:pPr>
    </w:p>
    <w:p w:rsidR="003E02F0" w:rsidRPr="003E02F0" w:rsidRDefault="003E02F0" w:rsidP="00863D39">
      <w:pPr>
        <w:overflowPunct w:val="0"/>
        <w:autoSpaceDE w:val="0"/>
        <w:autoSpaceDN w:val="0"/>
        <w:adjustRightInd w:val="0"/>
        <w:contextualSpacing/>
        <w:rPr>
          <w:color w:val="000000"/>
          <w:sz w:val="24"/>
          <w:szCs w:val="24"/>
        </w:rPr>
      </w:pPr>
      <w:r w:rsidRPr="003E02F0">
        <w:rPr>
          <w:rFonts w:eastAsia="Arial Unicode MS"/>
          <w:b/>
          <w:color w:val="000000"/>
          <w:sz w:val="24"/>
          <w:szCs w:val="24"/>
        </w:rPr>
        <w:t>1.4. Argumentos de la solicitud de tutela</w:t>
      </w:r>
    </w:p>
    <w:p w:rsidR="003E02F0" w:rsidRPr="003E02F0" w:rsidRDefault="003E02F0" w:rsidP="00863D39">
      <w:pPr>
        <w:overflowPunct w:val="0"/>
        <w:autoSpaceDE w:val="0"/>
        <w:autoSpaceDN w:val="0"/>
        <w:adjustRightInd w:val="0"/>
        <w:contextualSpacing/>
        <w:rPr>
          <w:color w:val="000000"/>
          <w:sz w:val="24"/>
          <w:szCs w:val="24"/>
        </w:rPr>
      </w:pPr>
    </w:p>
    <w:p w:rsidR="001B2086" w:rsidRDefault="00C720DA" w:rsidP="00863D39">
      <w:pPr>
        <w:overflowPunct w:val="0"/>
        <w:autoSpaceDE w:val="0"/>
        <w:autoSpaceDN w:val="0"/>
        <w:adjustRightInd w:val="0"/>
        <w:contextualSpacing/>
        <w:rPr>
          <w:rFonts w:eastAsia="Arial Unicode MS"/>
          <w:sz w:val="24"/>
          <w:szCs w:val="24"/>
          <w:lang w:val="es-ES_tradnl" w:eastAsia="es-ES"/>
        </w:rPr>
      </w:pPr>
      <w:r>
        <w:rPr>
          <w:bCs/>
          <w:color w:val="000000"/>
          <w:sz w:val="24"/>
          <w:szCs w:val="24"/>
        </w:rPr>
        <w:t xml:space="preserve">El accionante </w:t>
      </w:r>
      <w:r w:rsidR="00346323">
        <w:rPr>
          <w:bCs/>
          <w:color w:val="000000"/>
          <w:sz w:val="24"/>
          <w:szCs w:val="24"/>
        </w:rPr>
        <w:t>Alberto de Jesús Martelo Camacho</w:t>
      </w:r>
      <w:r>
        <w:rPr>
          <w:bCs/>
          <w:color w:val="000000"/>
          <w:sz w:val="24"/>
          <w:szCs w:val="24"/>
        </w:rPr>
        <w:t xml:space="preserve"> luego de afirmar que la tutela superaba los requisitos </w:t>
      </w:r>
      <w:r w:rsidR="002A0C55">
        <w:rPr>
          <w:bCs/>
          <w:color w:val="000000"/>
          <w:sz w:val="24"/>
          <w:szCs w:val="24"/>
        </w:rPr>
        <w:t>generales de procedibilidad</w:t>
      </w:r>
      <w:r w:rsidR="00DD438D">
        <w:rPr>
          <w:bCs/>
          <w:color w:val="000000"/>
          <w:sz w:val="24"/>
          <w:szCs w:val="24"/>
        </w:rPr>
        <w:t>,</w:t>
      </w:r>
      <w:r w:rsidR="00730FB0">
        <w:rPr>
          <w:bCs/>
          <w:color w:val="000000"/>
          <w:sz w:val="24"/>
          <w:szCs w:val="24"/>
        </w:rPr>
        <w:t xml:space="preserve"> indicó </w:t>
      </w:r>
      <w:r w:rsidR="001B2086" w:rsidRPr="00766FA2">
        <w:rPr>
          <w:rFonts w:eastAsia="Arial Unicode MS"/>
          <w:sz w:val="24"/>
          <w:szCs w:val="24"/>
          <w:lang w:val="es-ES_tradnl" w:eastAsia="es-ES"/>
        </w:rPr>
        <w:t xml:space="preserve">que </w:t>
      </w:r>
      <w:r w:rsidR="009E1271">
        <w:rPr>
          <w:rFonts w:eastAsia="Arial Unicode MS"/>
          <w:sz w:val="24"/>
          <w:szCs w:val="24"/>
          <w:lang w:val="es-ES_tradnl" w:eastAsia="es-ES"/>
        </w:rPr>
        <w:t>la</w:t>
      </w:r>
      <w:r w:rsidR="001B1DF4">
        <w:rPr>
          <w:rFonts w:eastAsia="Arial Unicode MS"/>
          <w:sz w:val="24"/>
          <w:szCs w:val="24"/>
          <w:lang w:val="es-ES_tradnl" w:eastAsia="es-ES"/>
        </w:rPr>
        <w:t xml:space="preserve"> autoridad</w:t>
      </w:r>
      <w:r w:rsidR="009E1271">
        <w:rPr>
          <w:rFonts w:eastAsia="Arial Unicode MS"/>
          <w:sz w:val="24"/>
          <w:szCs w:val="24"/>
          <w:lang w:val="es-ES_tradnl" w:eastAsia="es-ES"/>
        </w:rPr>
        <w:t xml:space="preserve"> </w:t>
      </w:r>
      <w:r w:rsidR="00DA5410">
        <w:rPr>
          <w:rFonts w:eastAsia="Arial Unicode MS"/>
          <w:sz w:val="24"/>
          <w:szCs w:val="24"/>
          <w:lang w:val="es-ES_tradnl" w:eastAsia="es-ES"/>
        </w:rPr>
        <w:t>cuestionada</w:t>
      </w:r>
      <w:r>
        <w:rPr>
          <w:rFonts w:eastAsia="Arial Unicode MS"/>
          <w:sz w:val="24"/>
          <w:szCs w:val="24"/>
          <w:lang w:val="es-ES_tradnl" w:eastAsia="es-ES"/>
        </w:rPr>
        <w:t xml:space="preserve"> desconoció el precedente</w:t>
      </w:r>
      <w:r w:rsidR="009229F1">
        <w:rPr>
          <w:rFonts w:eastAsia="Arial Unicode MS"/>
          <w:sz w:val="24"/>
          <w:szCs w:val="24"/>
          <w:lang w:val="es-ES_tradnl" w:eastAsia="es-ES"/>
        </w:rPr>
        <w:t xml:space="preserve"> jurisprudencial</w:t>
      </w:r>
      <w:r>
        <w:rPr>
          <w:rFonts w:eastAsia="Arial Unicode MS"/>
          <w:sz w:val="24"/>
          <w:szCs w:val="24"/>
          <w:lang w:val="es-ES_tradnl" w:eastAsia="es-ES"/>
        </w:rPr>
        <w:t xml:space="preserve">, porque: </w:t>
      </w:r>
    </w:p>
    <w:p w:rsidR="00B25EDC" w:rsidRDefault="00B25EDC" w:rsidP="00863D39">
      <w:pPr>
        <w:overflowPunct w:val="0"/>
        <w:autoSpaceDE w:val="0"/>
        <w:autoSpaceDN w:val="0"/>
        <w:adjustRightInd w:val="0"/>
        <w:contextualSpacing/>
        <w:rPr>
          <w:rFonts w:eastAsia="Arial Unicode MS"/>
          <w:sz w:val="24"/>
          <w:szCs w:val="24"/>
          <w:lang w:val="es-ES_tradnl" w:eastAsia="es-ES"/>
        </w:rPr>
      </w:pPr>
    </w:p>
    <w:p w:rsidR="00EF103E" w:rsidRDefault="00B25EDC" w:rsidP="00B412A6">
      <w:pPr>
        <w:contextualSpacing/>
        <w:rPr>
          <w:rFonts w:eastAsia="Verdana"/>
          <w:bCs/>
          <w:sz w:val="24"/>
          <w:szCs w:val="24"/>
        </w:rPr>
      </w:pPr>
      <w:r w:rsidRPr="002F0414">
        <w:rPr>
          <w:rFonts w:eastAsia="Verdana"/>
          <w:bCs/>
          <w:sz w:val="24"/>
          <w:szCs w:val="24"/>
        </w:rPr>
        <w:t>1.4.1.</w:t>
      </w:r>
      <w:r>
        <w:rPr>
          <w:rFonts w:eastAsia="Verdana"/>
          <w:bCs/>
          <w:sz w:val="24"/>
          <w:szCs w:val="24"/>
        </w:rPr>
        <w:t xml:space="preserve"> </w:t>
      </w:r>
      <w:r w:rsidR="0059284D">
        <w:rPr>
          <w:rFonts w:eastAsia="Verdana"/>
          <w:bCs/>
          <w:sz w:val="24"/>
          <w:szCs w:val="24"/>
        </w:rPr>
        <w:t>N</w:t>
      </w:r>
      <w:r w:rsidR="00C720DA">
        <w:rPr>
          <w:rFonts w:eastAsia="Verdana"/>
          <w:bCs/>
          <w:sz w:val="24"/>
          <w:szCs w:val="24"/>
        </w:rPr>
        <w:t>o dio aplicación al principio de</w:t>
      </w:r>
      <w:r w:rsidR="00C720DA" w:rsidRPr="00C720DA">
        <w:rPr>
          <w:rFonts w:eastAsia="Verdana"/>
          <w:bCs/>
          <w:i/>
          <w:sz w:val="24"/>
          <w:szCs w:val="24"/>
        </w:rPr>
        <w:t xml:space="preserve"> </w:t>
      </w:r>
      <w:proofErr w:type="spellStart"/>
      <w:r w:rsidR="00C720DA" w:rsidRPr="00C720DA">
        <w:rPr>
          <w:rFonts w:eastAsia="Verdana"/>
          <w:bCs/>
          <w:i/>
          <w:sz w:val="24"/>
          <w:szCs w:val="24"/>
        </w:rPr>
        <w:t>iura</w:t>
      </w:r>
      <w:proofErr w:type="spellEnd"/>
      <w:r w:rsidR="00C720DA" w:rsidRPr="00C720DA">
        <w:rPr>
          <w:rFonts w:eastAsia="Verdana"/>
          <w:bCs/>
          <w:i/>
          <w:sz w:val="24"/>
          <w:szCs w:val="24"/>
        </w:rPr>
        <w:t xml:space="preserve"> </w:t>
      </w:r>
      <w:proofErr w:type="spellStart"/>
      <w:r w:rsidR="00C720DA" w:rsidRPr="00C720DA">
        <w:rPr>
          <w:rFonts w:eastAsia="Verdana"/>
          <w:bCs/>
          <w:i/>
          <w:sz w:val="24"/>
          <w:szCs w:val="24"/>
        </w:rPr>
        <w:t>novit</w:t>
      </w:r>
      <w:proofErr w:type="spellEnd"/>
      <w:r w:rsidR="00C720DA" w:rsidRPr="00C720DA">
        <w:rPr>
          <w:rFonts w:eastAsia="Verdana"/>
          <w:bCs/>
          <w:i/>
          <w:sz w:val="24"/>
          <w:szCs w:val="24"/>
        </w:rPr>
        <w:t xml:space="preserve"> curia </w:t>
      </w:r>
      <w:r w:rsidR="00C720DA">
        <w:rPr>
          <w:rFonts w:eastAsia="Verdana"/>
          <w:bCs/>
          <w:sz w:val="24"/>
          <w:szCs w:val="24"/>
        </w:rPr>
        <w:t xml:space="preserve">a pesar de que </w:t>
      </w:r>
      <w:r w:rsidR="0035502A">
        <w:rPr>
          <w:rFonts w:eastAsia="Verdana"/>
          <w:bCs/>
          <w:sz w:val="24"/>
          <w:szCs w:val="24"/>
        </w:rPr>
        <w:t xml:space="preserve">al proceso se trajo prueba de que la entidad </w:t>
      </w:r>
      <w:r w:rsidR="00C720DA">
        <w:rPr>
          <w:rFonts w:eastAsia="Verdana"/>
          <w:bCs/>
          <w:sz w:val="24"/>
          <w:szCs w:val="24"/>
        </w:rPr>
        <w:t xml:space="preserve">demandada varió el diseño original del proyecto al ejecutar las obras, y afectó su propiedad. </w:t>
      </w:r>
    </w:p>
    <w:p w:rsidR="00EF103E" w:rsidRDefault="00EF103E" w:rsidP="00B412A6">
      <w:pPr>
        <w:contextualSpacing/>
        <w:rPr>
          <w:rFonts w:eastAsia="Verdana"/>
          <w:bCs/>
          <w:sz w:val="24"/>
          <w:szCs w:val="24"/>
        </w:rPr>
      </w:pPr>
    </w:p>
    <w:p w:rsidR="00EF103E" w:rsidRDefault="00EF103E" w:rsidP="00B412A6">
      <w:pPr>
        <w:contextualSpacing/>
        <w:rPr>
          <w:rFonts w:eastAsia="Verdana"/>
          <w:bCs/>
          <w:sz w:val="24"/>
          <w:szCs w:val="24"/>
        </w:rPr>
      </w:pPr>
      <w:r>
        <w:rPr>
          <w:rFonts w:eastAsia="Verdana"/>
          <w:bCs/>
          <w:sz w:val="24"/>
          <w:szCs w:val="24"/>
        </w:rPr>
        <w:t>1.4.</w:t>
      </w:r>
      <w:r w:rsidR="00FE54CA">
        <w:rPr>
          <w:rFonts w:eastAsia="Verdana"/>
          <w:bCs/>
          <w:sz w:val="24"/>
          <w:szCs w:val="24"/>
        </w:rPr>
        <w:t>2</w:t>
      </w:r>
      <w:r>
        <w:rPr>
          <w:rFonts w:eastAsia="Verdana"/>
          <w:bCs/>
          <w:sz w:val="24"/>
          <w:szCs w:val="24"/>
        </w:rPr>
        <w:t xml:space="preserve">. </w:t>
      </w:r>
      <w:r w:rsidR="0059284D">
        <w:rPr>
          <w:rFonts w:eastAsia="Verdana"/>
          <w:bCs/>
          <w:sz w:val="24"/>
          <w:szCs w:val="24"/>
        </w:rPr>
        <w:t>D</w:t>
      </w:r>
      <w:r w:rsidR="0034111B">
        <w:rPr>
          <w:rFonts w:eastAsia="Verdana"/>
          <w:bCs/>
          <w:sz w:val="24"/>
          <w:szCs w:val="24"/>
        </w:rPr>
        <w:t>esconoció la sentencia del 5 de julio de 2018 proferida por la Subsección C de la Sección Tercera del Consejo de Estado</w:t>
      </w:r>
      <w:r w:rsidR="0034111B">
        <w:rPr>
          <w:rStyle w:val="Refdenotaalpie"/>
          <w:rFonts w:eastAsia="Verdana"/>
          <w:bCs/>
          <w:sz w:val="24"/>
          <w:szCs w:val="24"/>
        </w:rPr>
        <w:footnoteReference w:id="7"/>
      </w:r>
      <w:r w:rsidR="0034111B">
        <w:rPr>
          <w:rFonts w:eastAsia="Verdana"/>
          <w:bCs/>
          <w:sz w:val="24"/>
          <w:szCs w:val="24"/>
        </w:rPr>
        <w:t xml:space="preserve"> en las que fue declarada la </w:t>
      </w:r>
      <w:r w:rsidR="0034111B">
        <w:rPr>
          <w:rFonts w:eastAsia="Verdana"/>
          <w:bCs/>
          <w:sz w:val="24"/>
          <w:szCs w:val="24"/>
        </w:rPr>
        <w:lastRenderedPageBreak/>
        <w:t xml:space="preserve">responsabilidad administrativa y patrimonial del Estado por las actuaciones y omisiones de sus agentes. </w:t>
      </w:r>
    </w:p>
    <w:p w:rsidR="0066389D" w:rsidRDefault="0066389D" w:rsidP="00B412A6">
      <w:pPr>
        <w:contextualSpacing/>
        <w:rPr>
          <w:rFonts w:eastAsia="Verdana"/>
          <w:bCs/>
          <w:sz w:val="24"/>
          <w:szCs w:val="24"/>
        </w:rPr>
      </w:pPr>
    </w:p>
    <w:p w:rsidR="0066389D" w:rsidRPr="00EF103E" w:rsidRDefault="0066389D" w:rsidP="00B412A6">
      <w:pPr>
        <w:contextualSpacing/>
        <w:rPr>
          <w:rFonts w:eastAsia="Verdana"/>
          <w:bCs/>
          <w:sz w:val="24"/>
          <w:szCs w:val="24"/>
        </w:rPr>
      </w:pPr>
      <w:r>
        <w:rPr>
          <w:rFonts w:eastAsia="Verdana"/>
          <w:bCs/>
          <w:sz w:val="24"/>
          <w:szCs w:val="24"/>
        </w:rPr>
        <w:t>1.4.</w:t>
      </w:r>
      <w:r w:rsidR="00FE54CA">
        <w:rPr>
          <w:rFonts w:eastAsia="Verdana"/>
          <w:bCs/>
          <w:sz w:val="24"/>
          <w:szCs w:val="24"/>
        </w:rPr>
        <w:t>3</w:t>
      </w:r>
      <w:r>
        <w:rPr>
          <w:rFonts w:eastAsia="Verdana"/>
          <w:bCs/>
          <w:sz w:val="24"/>
          <w:szCs w:val="24"/>
        </w:rPr>
        <w:t xml:space="preserve">. </w:t>
      </w:r>
      <w:r w:rsidR="0059284D">
        <w:rPr>
          <w:rFonts w:eastAsia="Verdana"/>
          <w:bCs/>
          <w:sz w:val="24"/>
          <w:szCs w:val="24"/>
        </w:rPr>
        <w:t>N</w:t>
      </w:r>
      <w:r w:rsidR="00D47156">
        <w:rPr>
          <w:rFonts w:eastAsia="Verdana"/>
          <w:bCs/>
          <w:sz w:val="24"/>
          <w:szCs w:val="24"/>
        </w:rPr>
        <w:t xml:space="preserve">o tuvo en cuenta el salvamento de voto de la sentencia objeto de tutela en la que claramente se expresó por el magistrado disidente, el desconocimiento injustificado del precedente. </w:t>
      </w:r>
    </w:p>
    <w:p w:rsidR="00F5441C" w:rsidRDefault="00F5441C" w:rsidP="00F5441C">
      <w:pPr>
        <w:overflowPunct w:val="0"/>
        <w:autoSpaceDE w:val="0"/>
        <w:autoSpaceDN w:val="0"/>
        <w:adjustRightInd w:val="0"/>
        <w:ind w:left="708"/>
        <w:contextualSpacing/>
        <w:rPr>
          <w:rFonts w:eastAsia="Arial Unicode MS"/>
          <w:sz w:val="22"/>
          <w:szCs w:val="22"/>
          <w:lang w:eastAsia="es-ES"/>
        </w:rPr>
      </w:pPr>
    </w:p>
    <w:p w:rsidR="003E02F0" w:rsidRPr="003E02F0" w:rsidRDefault="00F5441C" w:rsidP="00863D39">
      <w:pPr>
        <w:overflowPunct w:val="0"/>
        <w:autoSpaceDE w:val="0"/>
        <w:autoSpaceDN w:val="0"/>
        <w:adjustRightInd w:val="0"/>
        <w:contextualSpacing/>
        <w:rPr>
          <w:rFonts w:eastAsia="Times New Roman"/>
          <w:b/>
          <w:color w:val="000000"/>
          <w:sz w:val="24"/>
          <w:szCs w:val="24"/>
          <w:lang w:eastAsia="es-ES"/>
        </w:rPr>
      </w:pPr>
      <w:r>
        <w:rPr>
          <w:b/>
          <w:color w:val="000000"/>
          <w:sz w:val="24"/>
          <w:szCs w:val="24"/>
        </w:rPr>
        <w:t>1</w:t>
      </w:r>
      <w:r w:rsidR="003E02F0" w:rsidRPr="003E02F0">
        <w:rPr>
          <w:b/>
          <w:color w:val="000000"/>
          <w:sz w:val="24"/>
          <w:szCs w:val="24"/>
        </w:rPr>
        <w:t xml:space="preserve">.5. Trámite de tutela e intervenciones </w:t>
      </w:r>
    </w:p>
    <w:p w:rsidR="003E02F0" w:rsidRPr="003E02F0" w:rsidRDefault="003E02F0" w:rsidP="00863D39">
      <w:pPr>
        <w:pStyle w:val="p1"/>
        <w:jc w:val="both"/>
        <w:rPr>
          <w:rFonts w:ascii="Arial" w:hAnsi="Arial" w:cs="Arial"/>
          <w:color w:val="000000"/>
          <w:sz w:val="24"/>
          <w:szCs w:val="24"/>
          <w:lang w:eastAsia="en-US"/>
        </w:rPr>
      </w:pPr>
    </w:p>
    <w:p w:rsidR="005A0302" w:rsidRPr="005A0302" w:rsidRDefault="003E02F0" w:rsidP="00863D39">
      <w:pPr>
        <w:overflowPunct w:val="0"/>
        <w:autoSpaceDE w:val="0"/>
        <w:autoSpaceDN w:val="0"/>
        <w:adjustRightInd w:val="0"/>
        <w:contextualSpacing/>
        <w:rPr>
          <w:rFonts w:eastAsia="Verdana"/>
          <w:bCs/>
          <w:sz w:val="24"/>
          <w:szCs w:val="24"/>
        </w:rPr>
      </w:pPr>
      <w:r w:rsidRPr="007F17B2">
        <w:rPr>
          <w:rFonts w:eastAsia="Verdana"/>
          <w:color w:val="000000"/>
          <w:sz w:val="24"/>
          <w:szCs w:val="24"/>
        </w:rPr>
        <w:t>1.5.1.</w:t>
      </w:r>
      <w:r w:rsidRPr="003E02F0">
        <w:rPr>
          <w:rFonts w:eastAsia="Verdana"/>
          <w:color w:val="000000"/>
          <w:sz w:val="24"/>
          <w:szCs w:val="24"/>
        </w:rPr>
        <w:t xml:space="preserve"> </w:t>
      </w:r>
      <w:r w:rsidR="00DA78DF" w:rsidRPr="00766FA2">
        <w:rPr>
          <w:rFonts w:eastAsia="Verdana"/>
          <w:sz w:val="24"/>
          <w:szCs w:val="24"/>
        </w:rPr>
        <w:t xml:space="preserve">El Despacho del magistrado ponente, con auto </w:t>
      </w:r>
      <w:r w:rsidR="00EA7F52">
        <w:rPr>
          <w:rFonts w:eastAsia="Verdana"/>
          <w:sz w:val="24"/>
          <w:szCs w:val="24"/>
        </w:rPr>
        <w:t xml:space="preserve">del </w:t>
      </w:r>
      <w:r w:rsidR="00E24B33">
        <w:rPr>
          <w:rFonts w:eastAsia="Verdana"/>
          <w:sz w:val="24"/>
          <w:szCs w:val="24"/>
        </w:rPr>
        <w:t>28</w:t>
      </w:r>
      <w:r w:rsidR="00A1204A">
        <w:rPr>
          <w:rFonts w:eastAsia="Verdana"/>
          <w:sz w:val="24"/>
          <w:szCs w:val="24"/>
        </w:rPr>
        <w:t xml:space="preserve"> de ju</w:t>
      </w:r>
      <w:r w:rsidR="00797EEF">
        <w:rPr>
          <w:rFonts w:eastAsia="Verdana"/>
          <w:sz w:val="24"/>
          <w:szCs w:val="24"/>
        </w:rPr>
        <w:t>l</w:t>
      </w:r>
      <w:r w:rsidR="00A1204A">
        <w:rPr>
          <w:rFonts w:eastAsia="Verdana"/>
          <w:sz w:val="24"/>
          <w:szCs w:val="24"/>
        </w:rPr>
        <w:t>io de 2022</w:t>
      </w:r>
      <w:r w:rsidR="00A80CA2">
        <w:rPr>
          <w:rStyle w:val="Refdenotaalpie"/>
          <w:rFonts w:eastAsia="Verdana"/>
          <w:sz w:val="24"/>
          <w:szCs w:val="24"/>
        </w:rPr>
        <w:footnoteReference w:id="8"/>
      </w:r>
      <w:r w:rsidR="00DA78DF" w:rsidRPr="00766FA2">
        <w:rPr>
          <w:rFonts w:eastAsia="Verdana"/>
          <w:sz w:val="24"/>
          <w:szCs w:val="24"/>
        </w:rPr>
        <w:t>, admitió la acción</w:t>
      </w:r>
      <w:r w:rsidR="005618E4">
        <w:rPr>
          <w:rFonts w:eastAsia="Verdana"/>
          <w:sz w:val="24"/>
          <w:szCs w:val="24"/>
        </w:rPr>
        <w:t xml:space="preserve">, notificó a las partes y </w:t>
      </w:r>
      <w:r w:rsidR="00DA78DF" w:rsidRPr="00766FA2">
        <w:rPr>
          <w:rFonts w:eastAsia="Verdana"/>
          <w:sz w:val="24"/>
          <w:szCs w:val="24"/>
        </w:rPr>
        <w:t xml:space="preserve">vinculó </w:t>
      </w:r>
      <w:r w:rsidR="005A0302">
        <w:rPr>
          <w:rFonts w:eastAsia="Verdana"/>
          <w:bCs/>
          <w:sz w:val="24"/>
          <w:szCs w:val="24"/>
        </w:rPr>
        <w:t>c</w:t>
      </w:r>
      <w:r w:rsidR="004C2C86">
        <w:rPr>
          <w:rFonts w:eastAsia="Verdana"/>
          <w:bCs/>
          <w:sz w:val="24"/>
          <w:szCs w:val="24"/>
        </w:rPr>
        <w:t>o</w:t>
      </w:r>
      <w:r w:rsidR="005A0302">
        <w:rPr>
          <w:rFonts w:eastAsia="Verdana"/>
          <w:bCs/>
          <w:sz w:val="24"/>
          <w:szCs w:val="24"/>
        </w:rPr>
        <w:t>mo tercero</w:t>
      </w:r>
      <w:r w:rsidR="001D6B97">
        <w:rPr>
          <w:rFonts w:eastAsia="Verdana"/>
          <w:bCs/>
          <w:sz w:val="24"/>
          <w:szCs w:val="24"/>
        </w:rPr>
        <w:t>s</w:t>
      </w:r>
      <w:r w:rsidR="005A0302">
        <w:rPr>
          <w:rFonts w:eastAsia="Verdana"/>
          <w:bCs/>
          <w:sz w:val="24"/>
          <w:szCs w:val="24"/>
        </w:rPr>
        <w:t xml:space="preserve"> interesado</w:t>
      </w:r>
      <w:r w:rsidR="001D6B97">
        <w:rPr>
          <w:rFonts w:eastAsia="Verdana"/>
          <w:bCs/>
          <w:sz w:val="24"/>
          <w:szCs w:val="24"/>
        </w:rPr>
        <w:t>s</w:t>
      </w:r>
      <w:r w:rsidR="005A0302">
        <w:rPr>
          <w:rFonts w:eastAsia="Verdana"/>
          <w:bCs/>
          <w:sz w:val="24"/>
          <w:szCs w:val="24"/>
        </w:rPr>
        <w:t xml:space="preserve"> </w:t>
      </w:r>
      <w:r w:rsidR="005618E4">
        <w:rPr>
          <w:rStyle w:val="normaltextrun"/>
          <w:bCs/>
          <w:color w:val="000000"/>
          <w:sz w:val="24"/>
          <w:szCs w:val="24"/>
          <w:shd w:val="clear" w:color="auto" w:fill="FFFFFF"/>
        </w:rPr>
        <w:t>a</w:t>
      </w:r>
      <w:r w:rsidR="00881DCD">
        <w:rPr>
          <w:rStyle w:val="normaltextrun"/>
          <w:bCs/>
          <w:color w:val="000000"/>
          <w:sz w:val="24"/>
          <w:szCs w:val="24"/>
          <w:shd w:val="clear" w:color="auto" w:fill="FFFFFF"/>
        </w:rPr>
        <w:t xml:space="preserve">l Instituto Nacional de Vías – INVIAS, al </w:t>
      </w:r>
      <w:r w:rsidR="00881DCD">
        <w:rPr>
          <w:sz w:val="24"/>
          <w:szCs w:val="24"/>
        </w:rPr>
        <w:t>Tribunal Administrativo de Sucre</w:t>
      </w:r>
      <w:r w:rsidR="00881DCD" w:rsidRPr="00EE1DC9">
        <w:rPr>
          <w:rStyle w:val="normaltextrun"/>
          <w:bCs/>
          <w:color w:val="000000"/>
          <w:sz w:val="24"/>
          <w:szCs w:val="24"/>
          <w:shd w:val="clear" w:color="auto" w:fill="FFFFFF"/>
        </w:rPr>
        <w:t>, a</w:t>
      </w:r>
      <w:r w:rsidR="00881DCD">
        <w:rPr>
          <w:rStyle w:val="normaltextrun"/>
          <w:bCs/>
          <w:color w:val="000000"/>
          <w:sz w:val="24"/>
          <w:szCs w:val="24"/>
          <w:shd w:val="clear" w:color="auto" w:fill="FFFFFF"/>
        </w:rPr>
        <w:t xml:space="preserve"> las partes y a</w:t>
      </w:r>
      <w:r w:rsidR="00881DCD" w:rsidRPr="00EE1DC9">
        <w:rPr>
          <w:sz w:val="24"/>
          <w:szCs w:val="24"/>
        </w:rPr>
        <w:t xml:space="preserve"> las personas</w:t>
      </w:r>
      <w:r w:rsidR="00881DCD">
        <w:rPr>
          <w:sz w:val="24"/>
          <w:szCs w:val="24"/>
        </w:rPr>
        <w:t xml:space="preserve"> y/o entidades</w:t>
      </w:r>
      <w:r w:rsidR="00881DCD" w:rsidRPr="00EE1DC9">
        <w:rPr>
          <w:sz w:val="24"/>
          <w:szCs w:val="24"/>
        </w:rPr>
        <w:t xml:space="preserve"> que </w:t>
      </w:r>
      <w:r w:rsidR="00881DCD">
        <w:rPr>
          <w:sz w:val="24"/>
          <w:szCs w:val="24"/>
        </w:rPr>
        <w:t>hubieran</w:t>
      </w:r>
      <w:r w:rsidR="00881DCD" w:rsidRPr="00EE1DC9">
        <w:rPr>
          <w:sz w:val="24"/>
          <w:szCs w:val="24"/>
        </w:rPr>
        <w:t xml:space="preserve"> participado en el proceso ordinario con radicado</w:t>
      </w:r>
      <w:r w:rsidR="00881DCD">
        <w:rPr>
          <w:sz w:val="24"/>
          <w:szCs w:val="24"/>
        </w:rPr>
        <w:t>71001-23-33-000-2012-00121-00/01(51.104)</w:t>
      </w:r>
      <w:r w:rsidR="005618E4">
        <w:rPr>
          <w:sz w:val="24"/>
          <w:szCs w:val="24"/>
        </w:rPr>
        <w:t>. En el mismo proveído</w:t>
      </w:r>
      <w:r w:rsidR="00881DCD">
        <w:rPr>
          <w:sz w:val="24"/>
          <w:szCs w:val="24"/>
        </w:rPr>
        <w:t xml:space="preserve"> reconoció personería al abogado Marlon Enrique Arévalo y </w:t>
      </w:r>
      <w:r w:rsidR="005618E4">
        <w:rPr>
          <w:sz w:val="24"/>
          <w:szCs w:val="24"/>
        </w:rPr>
        <w:t>solicitó a las autoridades judiciales vinculadas para que quien tuviera a su cargo el expediente del proceso ordinario, lo remitiera al Despacho por cualquier medio.</w:t>
      </w:r>
    </w:p>
    <w:p w:rsidR="003E02F0" w:rsidRPr="003E02F0" w:rsidRDefault="003E02F0" w:rsidP="00863D39">
      <w:pPr>
        <w:overflowPunct w:val="0"/>
        <w:autoSpaceDE w:val="0"/>
        <w:autoSpaceDN w:val="0"/>
        <w:adjustRightInd w:val="0"/>
        <w:contextualSpacing/>
        <w:rPr>
          <w:rFonts w:eastAsia="Verdana"/>
          <w:color w:val="000000"/>
          <w:sz w:val="24"/>
          <w:szCs w:val="24"/>
        </w:rPr>
      </w:pPr>
    </w:p>
    <w:p w:rsidR="00B13072" w:rsidRDefault="003E02F0" w:rsidP="00B13072">
      <w:pPr>
        <w:pStyle w:val="p1"/>
        <w:jc w:val="both"/>
        <w:rPr>
          <w:sz w:val="24"/>
          <w:szCs w:val="24"/>
        </w:rPr>
      </w:pPr>
      <w:r w:rsidRPr="007F17B2">
        <w:rPr>
          <w:rFonts w:ascii="Arial" w:eastAsia="Verdana" w:hAnsi="Arial" w:cs="Arial"/>
          <w:color w:val="000000"/>
          <w:sz w:val="24"/>
          <w:szCs w:val="24"/>
        </w:rPr>
        <w:t>1.5.2.</w:t>
      </w:r>
      <w:r w:rsidR="00B13072" w:rsidRPr="00B13072">
        <w:rPr>
          <w:rFonts w:ascii="Arial" w:eastAsia="Verdana" w:hAnsi="Arial" w:cs="Arial"/>
          <w:color w:val="000000"/>
          <w:sz w:val="24"/>
          <w:szCs w:val="24"/>
        </w:rPr>
        <w:t xml:space="preserve"> </w:t>
      </w:r>
      <w:r w:rsidR="00B13072" w:rsidRPr="00E9517E">
        <w:rPr>
          <w:rFonts w:ascii="Arial" w:eastAsia="Verdana" w:hAnsi="Arial" w:cs="Arial"/>
          <w:color w:val="000000"/>
          <w:sz w:val="24"/>
          <w:szCs w:val="24"/>
        </w:rPr>
        <w:t xml:space="preserve">Enviadas las notificaciones de rigor, recibió </w:t>
      </w:r>
      <w:r w:rsidR="00B13072">
        <w:rPr>
          <w:rFonts w:ascii="Arial" w:eastAsia="Verdana" w:hAnsi="Arial" w:cs="Arial"/>
          <w:color w:val="000000"/>
          <w:sz w:val="24"/>
          <w:szCs w:val="24"/>
        </w:rPr>
        <w:t xml:space="preserve">respuesta </w:t>
      </w:r>
      <w:r w:rsidR="00A47895">
        <w:rPr>
          <w:rFonts w:ascii="Arial" w:eastAsia="Verdana" w:hAnsi="Arial" w:cs="Arial"/>
          <w:color w:val="000000"/>
          <w:sz w:val="24"/>
          <w:szCs w:val="24"/>
        </w:rPr>
        <w:t>de la Sección Tercera, Subsección B de la Corporación</w:t>
      </w:r>
      <w:r w:rsidR="00B13072">
        <w:rPr>
          <w:sz w:val="24"/>
          <w:szCs w:val="24"/>
        </w:rPr>
        <w:t xml:space="preserve"> q</w:t>
      </w:r>
      <w:r w:rsidR="009229F1">
        <w:rPr>
          <w:sz w:val="24"/>
          <w:szCs w:val="24"/>
        </w:rPr>
        <w:t>ue</w:t>
      </w:r>
      <w:r w:rsidR="00333350">
        <w:rPr>
          <w:sz w:val="24"/>
          <w:szCs w:val="24"/>
        </w:rPr>
        <w:t xml:space="preserve"> además</w:t>
      </w:r>
      <w:r w:rsidR="00B13072">
        <w:rPr>
          <w:sz w:val="24"/>
          <w:szCs w:val="24"/>
        </w:rPr>
        <w:t xml:space="preserve"> anexó el expediente del proceso ordinario</w:t>
      </w:r>
      <w:r w:rsidR="00B13072">
        <w:rPr>
          <w:rStyle w:val="Refdenotaalpie"/>
          <w:sz w:val="24"/>
          <w:szCs w:val="24"/>
        </w:rPr>
        <w:footnoteReference w:id="9"/>
      </w:r>
      <w:r w:rsidR="00B13072">
        <w:rPr>
          <w:sz w:val="24"/>
          <w:szCs w:val="24"/>
        </w:rPr>
        <w:t xml:space="preserve">, </w:t>
      </w:r>
      <w:r w:rsidR="00836240">
        <w:rPr>
          <w:sz w:val="24"/>
          <w:szCs w:val="24"/>
        </w:rPr>
        <w:t>del Tribunal Administrativo de Sucre</w:t>
      </w:r>
      <w:r w:rsidR="00836240">
        <w:rPr>
          <w:rStyle w:val="Refdenotaalpie"/>
          <w:sz w:val="24"/>
          <w:szCs w:val="24"/>
        </w:rPr>
        <w:footnoteReference w:id="10"/>
      </w:r>
      <w:r w:rsidR="000508CD">
        <w:rPr>
          <w:sz w:val="24"/>
          <w:szCs w:val="24"/>
        </w:rPr>
        <w:t xml:space="preserve"> y </w:t>
      </w:r>
      <w:r w:rsidR="00B13072">
        <w:rPr>
          <w:sz w:val="24"/>
          <w:szCs w:val="24"/>
        </w:rPr>
        <w:t xml:space="preserve">del </w:t>
      </w:r>
      <w:bookmarkStart w:id="0" w:name="_Hlk107325906"/>
      <w:r w:rsidR="00836240">
        <w:rPr>
          <w:rStyle w:val="normaltextrun"/>
          <w:bCs/>
          <w:color w:val="000000"/>
          <w:sz w:val="24"/>
          <w:szCs w:val="24"/>
          <w:shd w:val="clear" w:color="auto" w:fill="FFFFFF"/>
        </w:rPr>
        <w:t>Instituto Nacional de Vías – INVIAS</w:t>
      </w:r>
      <w:r w:rsidR="00333350">
        <w:rPr>
          <w:rStyle w:val="Refdenotaalpie"/>
          <w:bCs/>
          <w:color w:val="000000"/>
          <w:sz w:val="24"/>
          <w:szCs w:val="24"/>
          <w:shd w:val="clear" w:color="auto" w:fill="FFFFFF"/>
        </w:rPr>
        <w:footnoteReference w:id="11"/>
      </w:r>
      <w:bookmarkEnd w:id="0"/>
      <w:r w:rsidR="000F4238">
        <w:rPr>
          <w:sz w:val="24"/>
          <w:szCs w:val="24"/>
        </w:rPr>
        <w:t>.</w:t>
      </w:r>
      <w:r w:rsidR="000508CD">
        <w:rPr>
          <w:sz w:val="24"/>
          <w:szCs w:val="24"/>
        </w:rPr>
        <w:t xml:space="preserve"> La Gobernación de Sucre, el Ministerio de Transporte</w:t>
      </w:r>
      <w:r w:rsidR="005062F2">
        <w:rPr>
          <w:sz w:val="24"/>
          <w:szCs w:val="24"/>
        </w:rPr>
        <w:t xml:space="preserve"> y el m</w:t>
      </w:r>
      <w:r w:rsidR="000508CD">
        <w:rPr>
          <w:sz w:val="24"/>
          <w:szCs w:val="24"/>
        </w:rPr>
        <w:t>unicipio de San Benito Abad guardaron silencio.</w:t>
      </w:r>
    </w:p>
    <w:p w:rsidR="0008653A" w:rsidRDefault="0008653A" w:rsidP="00863D39">
      <w:pPr>
        <w:pStyle w:val="p1"/>
        <w:jc w:val="both"/>
        <w:rPr>
          <w:rFonts w:ascii="Arial" w:eastAsia="Verdana" w:hAnsi="Arial" w:cs="Arial"/>
          <w:color w:val="000000"/>
          <w:sz w:val="24"/>
          <w:szCs w:val="24"/>
        </w:rPr>
      </w:pPr>
    </w:p>
    <w:p w:rsidR="00155E78" w:rsidRDefault="00433E5D" w:rsidP="00863D39">
      <w:pPr>
        <w:pStyle w:val="p1"/>
        <w:jc w:val="both"/>
        <w:rPr>
          <w:rFonts w:eastAsia="Verdana"/>
          <w:bCs/>
          <w:sz w:val="24"/>
          <w:szCs w:val="24"/>
        </w:rPr>
      </w:pPr>
      <w:r>
        <w:rPr>
          <w:rFonts w:ascii="Arial" w:eastAsia="Verdana" w:hAnsi="Arial" w:cs="Arial"/>
          <w:color w:val="000000"/>
          <w:sz w:val="24"/>
          <w:szCs w:val="24"/>
        </w:rPr>
        <w:t>1.5.2.1.</w:t>
      </w:r>
      <w:r>
        <w:rPr>
          <w:rStyle w:val="Refdenotaalpie"/>
          <w:rFonts w:eastAsia="Verdana"/>
          <w:bCs/>
          <w:sz w:val="24"/>
          <w:szCs w:val="24"/>
        </w:rPr>
        <w:t xml:space="preserve"> </w:t>
      </w:r>
      <w:r w:rsidR="0041390B">
        <w:rPr>
          <w:rFonts w:eastAsia="Verdana"/>
          <w:bCs/>
          <w:sz w:val="24"/>
          <w:szCs w:val="24"/>
        </w:rPr>
        <w:t>El Tribunal Administrativo de</w:t>
      </w:r>
      <w:r w:rsidR="000005E8">
        <w:rPr>
          <w:rFonts w:eastAsia="Verdana"/>
          <w:bCs/>
          <w:sz w:val="24"/>
          <w:szCs w:val="24"/>
        </w:rPr>
        <w:t xml:space="preserve"> </w:t>
      </w:r>
      <w:r w:rsidR="002760D4">
        <w:rPr>
          <w:rFonts w:eastAsia="Verdana"/>
          <w:bCs/>
          <w:sz w:val="24"/>
          <w:szCs w:val="24"/>
        </w:rPr>
        <w:t>Sucre</w:t>
      </w:r>
      <w:r w:rsidR="0041390B">
        <w:rPr>
          <w:rFonts w:eastAsia="Verdana"/>
          <w:bCs/>
          <w:sz w:val="24"/>
          <w:szCs w:val="24"/>
        </w:rPr>
        <w:t xml:space="preserve"> a través de</w:t>
      </w:r>
      <w:r w:rsidR="002760D4">
        <w:rPr>
          <w:rFonts w:eastAsia="Verdana"/>
          <w:bCs/>
          <w:sz w:val="24"/>
          <w:szCs w:val="24"/>
        </w:rPr>
        <w:t xml:space="preserve"> uno de sus magistrados</w:t>
      </w:r>
      <w:r w:rsidR="0041390B">
        <w:rPr>
          <w:rFonts w:eastAsia="Verdana"/>
          <w:bCs/>
          <w:sz w:val="24"/>
          <w:szCs w:val="24"/>
        </w:rPr>
        <w:t xml:space="preserve">, </w:t>
      </w:r>
      <w:r w:rsidR="00ED7EC6">
        <w:rPr>
          <w:rFonts w:eastAsia="Verdana"/>
          <w:bCs/>
          <w:sz w:val="24"/>
          <w:szCs w:val="24"/>
        </w:rPr>
        <w:t xml:space="preserve">indicó </w:t>
      </w:r>
      <w:r w:rsidR="002760D4">
        <w:rPr>
          <w:rFonts w:eastAsia="Verdana"/>
          <w:bCs/>
          <w:sz w:val="24"/>
          <w:szCs w:val="24"/>
        </w:rPr>
        <w:t>que la solicitud no cumple con el requisito de inmediatez en la medida que la sentencia objeto de tutela fue proferida el 18 de noviembre de 2021 y la solicitud fue presentada en el mes de julio del año en curso, por lo que — a su juicio —</w:t>
      </w:r>
      <w:r w:rsidR="009F0218">
        <w:rPr>
          <w:rFonts w:eastAsia="Verdana"/>
          <w:bCs/>
          <w:sz w:val="24"/>
          <w:szCs w:val="24"/>
        </w:rPr>
        <w:t>,</w:t>
      </w:r>
      <w:r w:rsidR="002760D4">
        <w:rPr>
          <w:rFonts w:eastAsia="Verdana"/>
          <w:bCs/>
          <w:sz w:val="24"/>
          <w:szCs w:val="24"/>
        </w:rPr>
        <w:t xml:space="preserve"> </w:t>
      </w:r>
      <w:r w:rsidR="005062F2">
        <w:rPr>
          <w:rFonts w:eastAsia="Verdana"/>
          <w:bCs/>
          <w:sz w:val="24"/>
          <w:szCs w:val="24"/>
        </w:rPr>
        <w:t xml:space="preserve">la interposición ocurrió superado el término que la Corte Constitucional ha considerado como razonable. </w:t>
      </w:r>
      <w:r w:rsidR="0041390B">
        <w:rPr>
          <w:rFonts w:eastAsia="Verdana"/>
          <w:bCs/>
          <w:sz w:val="24"/>
          <w:szCs w:val="24"/>
        </w:rPr>
        <w:t xml:space="preserve">Agregó que </w:t>
      </w:r>
      <w:r w:rsidR="002760D4">
        <w:rPr>
          <w:rFonts w:eastAsia="Verdana"/>
          <w:bCs/>
          <w:sz w:val="24"/>
          <w:szCs w:val="24"/>
        </w:rPr>
        <w:t xml:space="preserve">el cargo por desconocimiento del precedente no supera el requisito de relevancia constitucional en la medida que el Tribunal no </w:t>
      </w:r>
      <w:r w:rsidR="00B24DC3">
        <w:rPr>
          <w:rFonts w:eastAsia="Verdana"/>
          <w:bCs/>
          <w:sz w:val="24"/>
          <w:szCs w:val="24"/>
        </w:rPr>
        <w:t xml:space="preserve">lo desconoció, sino que por el contrario aplicó la jurisprudencia </w:t>
      </w:r>
      <w:r w:rsidR="002760D4">
        <w:rPr>
          <w:rFonts w:eastAsia="Verdana"/>
          <w:bCs/>
          <w:sz w:val="24"/>
          <w:szCs w:val="24"/>
        </w:rPr>
        <w:t>vigente para la fecha de expedición de la sentencia</w:t>
      </w:r>
      <w:r w:rsidR="00B24DC3">
        <w:rPr>
          <w:rFonts w:eastAsia="Verdana"/>
          <w:bCs/>
          <w:sz w:val="24"/>
          <w:szCs w:val="24"/>
        </w:rPr>
        <w:t>.</w:t>
      </w:r>
      <w:r w:rsidR="002760D4">
        <w:rPr>
          <w:rFonts w:eastAsia="Verdana"/>
          <w:bCs/>
          <w:sz w:val="24"/>
          <w:szCs w:val="24"/>
        </w:rPr>
        <w:t xml:space="preserve"> </w:t>
      </w:r>
    </w:p>
    <w:p w:rsidR="00431A11" w:rsidRDefault="00431A11" w:rsidP="00863D39">
      <w:pPr>
        <w:pStyle w:val="p1"/>
        <w:jc w:val="both"/>
        <w:rPr>
          <w:rFonts w:ascii="Arial" w:eastAsia="Verdana" w:hAnsi="Arial" w:cs="Arial"/>
          <w:bCs/>
          <w:color w:val="000000"/>
          <w:sz w:val="24"/>
          <w:szCs w:val="24"/>
        </w:rPr>
      </w:pPr>
    </w:p>
    <w:p w:rsidR="0028037E" w:rsidRDefault="00431A11" w:rsidP="0028037E">
      <w:pPr>
        <w:pStyle w:val="p1"/>
        <w:jc w:val="both"/>
        <w:rPr>
          <w:rFonts w:ascii="Arial" w:hAnsi="Arial" w:cs="Arial"/>
          <w:sz w:val="24"/>
          <w:szCs w:val="24"/>
        </w:rPr>
      </w:pPr>
      <w:r w:rsidRPr="00CC5D6D">
        <w:rPr>
          <w:rFonts w:ascii="Arial" w:eastAsia="Verdana" w:hAnsi="Arial" w:cs="Arial"/>
          <w:bCs/>
          <w:color w:val="000000"/>
          <w:sz w:val="24"/>
          <w:szCs w:val="24"/>
        </w:rPr>
        <w:t>1.5.2.</w:t>
      </w:r>
      <w:r w:rsidR="00CC5D6D" w:rsidRPr="00CC5D6D">
        <w:rPr>
          <w:rFonts w:ascii="Arial" w:eastAsia="Verdana" w:hAnsi="Arial" w:cs="Arial"/>
          <w:bCs/>
          <w:color w:val="000000"/>
          <w:sz w:val="24"/>
          <w:szCs w:val="24"/>
        </w:rPr>
        <w:t>2</w:t>
      </w:r>
      <w:r w:rsidRPr="00CC5D6D">
        <w:rPr>
          <w:rFonts w:ascii="Arial" w:eastAsia="Verdana" w:hAnsi="Arial" w:cs="Arial"/>
          <w:bCs/>
          <w:color w:val="000000"/>
          <w:sz w:val="24"/>
          <w:szCs w:val="24"/>
        </w:rPr>
        <w:t>.</w:t>
      </w:r>
      <w:r>
        <w:rPr>
          <w:rFonts w:ascii="Arial" w:eastAsia="Verdana" w:hAnsi="Arial" w:cs="Arial"/>
          <w:b/>
          <w:color w:val="000000"/>
          <w:sz w:val="24"/>
          <w:szCs w:val="24"/>
        </w:rPr>
        <w:t xml:space="preserve"> </w:t>
      </w:r>
      <w:r w:rsidR="009D2DE1">
        <w:rPr>
          <w:rFonts w:ascii="Arial" w:hAnsi="Arial" w:cs="Arial"/>
          <w:sz w:val="24"/>
          <w:szCs w:val="24"/>
        </w:rPr>
        <w:t>La Subsección B de la Sección Tercera de la Corporación a través del magistrado ponente de la decisión objeto de tutela,</w:t>
      </w:r>
      <w:r w:rsidR="005B4520">
        <w:rPr>
          <w:rFonts w:ascii="Arial" w:hAnsi="Arial" w:cs="Arial"/>
          <w:sz w:val="24"/>
          <w:szCs w:val="24"/>
        </w:rPr>
        <w:t xml:space="preserve"> </w:t>
      </w:r>
      <w:r w:rsidR="009D31BC">
        <w:rPr>
          <w:rFonts w:ascii="Arial" w:hAnsi="Arial" w:cs="Arial"/>
          <w:sz w:val="24"/>
          <w:szCs w:val="24"/>
        </w:rPr>
        <w:t xml:space="preserve">solicitó declarar improcedente la solicitud </w:t>
      </w:r>
      <w:r w:rsidR="009D2DE1">
        <w:rPr>
          <w:rFonts w:ascii="Arial" w:hAnsi="Arial" w:cs="Arial"/>
          <w:sz w:val="24"/>
          <w:szCs w:val="24"/>
        </w:rPr>
        <w:t>pues contrario a lo enunciado en el escrito de tutela</w:t>
      </w:r>
      <w:r w:rsidR="009F0218">
        <w:rPr>
          <w:rFonts w:ascii="Arial" w:hAnsi="Arial" w:cs="Arial"/>
          <w:sz w:val="24"/>
          <w:szCs w:val="24"/>
        </w:rPr>
        <w:t xml:space="preserve">, realizó un análisis comparativo del caso concreto y </w:t>
      </w:r>
      <w:r w:rsidR="009D2DE1">
        <w:rPr>
          <w:rFonts w:ascii="Arial" w:hAnsi="Arial" w:cs="Arial"/>
          <w:sz w:val="24"/>
          <w:szCs w:val="24"/>
        </w:rPr>
        <w:t xml:space="preserve">de la sentencia del 5 de julio de 2018 proferida por la Subsección C </w:t>
      </w:r>
      <w:r w:rsidR="009F0218">
        <w:rPr>
          <w:rFonts w:ascii="Arial" w:hAnsi="Arial" w:cs="Arial"/>
          <w:sz w:val="24"/>
          <w:szCs w:val="24"/>
        </w:rPr>
        <w:t xml:space="preserve">dentro del proceso con </w:t>
      </w:r>
      <w:r w:rsidR="009D2DE1">
        <w:rPr>
          <w:rFonts w:ascii="Arial" w:hAnsi="Arial" w:cs="Arial"/>
          <w:sz w:val="24"/>
          <w:szCs w:val="24"/>
        </w:rPr>
        <w:t>radicado interno número 51960 y consideró que</w:t>
      </w:r>
      <w:r w:rsidR="00F466E4">
        <w:rPr>
          <w:rFonts w:ascii="Arial" w:hAnsi="Arial" w:cs="Arial"/>
          <w:sz w:val="24"/>
          <w:szCs w:val="24"/>
        </w:rPr>
        <w:t>,</w:t>
      </w:r>
      <w:r w:rsidR="009D2DE1">
        <w:rPr>
          <w:rFonts w:ascii="Arial" w:hAnsi="Arial" w:cs="Arial"/>
          <w:sz w:val="24"/>
          <w:szCs w:val="24"/>
        </w:rPr>
        <w:t xml:space="preserve"> si bien se trataban</w:t>
      </w:r>
      <w:r w:rsidR="0035502A">
        <w:rPr>
          <w:rFonts w:ascii="Arial" w:hAnsi="Arial" w:cs="Arial"/>
          <w:sz w:val="24"/>
          <w:szCs w:val="24"/>
        </w:rPr>
        <w:t xml:space="preserve"> </w:t>
      </w:r>
      <w:r w:rsidR="009D2DE1">
        <w:rPr>
          <w:rFonts w:ascii="Arial" w:hAnsi="Arial" w:cs="Arial"/>
          <w:sz w:val="24"/>
          <w:szCs w:val="24"/>
        </w:rPr>
        <w:t>de hechos similares, lo cierto era que</w:t>
      </w:r>
      <w:r w:rsidR="00F466E4">
        <w:rPr>
          <w:rFonts w:ascii="Arial" w:hAnsi="Arial" w:cs="Arial"/>
          <w:sz w:val="24"/>
          <w:szCs w:val="24"/>
        </w:rPr>
        <w:t>,</w:t>
      </w:r>
      <w:r w:rsidR="009F0218">
        <w:rPr>
          <w:rFonts w:ascii="Arial" w:hAnsi="Arial" w:cs="Arial"/>
          <w:sz w:val="24"/>
          <w:szCs w:val="24"/>
        </w:rPr>
        <w:t xml:space="preserve"> en este último</w:t>
      </w:r>
      <w:r w:rsidR="009D2DE1">
        <w:rPr>
          <w:rFonts w:ascii="Arial" w:hAnsi="Arial" w:cs="Arial"/>
          <w:sz w:val="24"/>
          <w:szCs w:val="24"/>
        </w:rPr>
        <w:t xml:space="preserve"> el daño versaba sobre</w:t>
      </w:r>
      <w:r w:rsidR="009F0218">
        <w:rPr>
          <w:rFonts w:ascii="Arial" w:hAnsi="Arial" w:cs="Arial"/>
          <w:sz w:val="24"/>
          <w:szCs w:val="24"/>
        </w:rPr>
        <w:t xml:space="preserve"> un predio</w:t>
      </w:r>
      <w:r w:rsidR="009D2DE1">
        <w:rPr>
          <w:rFonts w:ascii="Arial" w:hAnsi="Arial" w:cs="Arial"/>
          <w:sz w:val="24"/>
          <w:szCs w:val="24"/>
        </w:rPr>
        <w:t xml:space="preserve"> diferente</w:t>
      </w:r>
      <w:r w:rsidR="009F0218">
        <w:rPr>
          <w:rFonts w:ascii="Arial" w:hAnsi="Arial" w:cs="Arial"/>
          <w:sz w:val="24"/>
          <w:szCs w:val="24"/>
        </w:rPr>
        <w:t xml:space="preserve"> y </w:t>
      </w:r>
      <w:r w:rsidR="009D2DE1">
        <w:rPr>
          <w:rFonts w:ascii="Arial" w:hAnsi="Arial" w:cs="Arial"/>
          <w:sz w:val="24"/>
          <w:szCs w:val="24"/>
        </w:rPr>
        <w:t>la existencia del nexo causal se apoyó en testimonios que referían a que las inundaciones se produjeron como consecuencia del desbordamiento del río Cauca,</w:t>
      </w:r>
      <w:r w:rsidR="009F0218">
        <w:rPr>
          <w:rFonts w:ascii="Arial" w:hAnsi="Arial" w:cs="Arial"/>
          <w:sz w:val="24"/>
          <w:szCs w:val="24"/>
        </w:rPr>
        <w:t xml:space="preserve"> en cambio en el asunto concreto, debido a </w:t>
      </w:r>
      <w:r w:rsidR="00F466E4">
        <w:rPr>
          <w:rFonts w:ascii="Arial" w:hAnsi="Arial" w:cs="Arial"/>
          <w:sz w:val="24"/>
          <w:szCs w:val="24"/>
        </w:rPr>
        <w:t xml:space="preserve">la falta de </w:t>
      </w:r>
      <w:r w:rsidR="009D2DE1">
        <w:rPr>
          <w:rFonts w:ascii="Arial" w:hAnsi="Arial" w:cs="Arial"/>
          <w:sz w:val="24"/>
          <w:szCs w:val="24"/>
        </w:rPr>
        <w:t xml:space="preserve">pruebas </w:t>
      </w:r>
      <w:r w:rsidR="009F0218">
        <w:rPr>
          <w:rFonts w:ascii="Arial" w:hAnsi="Arial" w:cs="Arial"/>
          <w:sz w:val="24"/>
          <w:szCs w:val="24"/>
        </w:rPr>
        <w:t>o la practica de estas,</w:t>
      </w:r>
      <w:r w:rsidR="009D2DE1">
        <w:rPr>
          <w:rFonts w:ascii="Arial" w:hAnsi="Arial" w:cs="Arial"/>
          <w:sz w:val="24"/>
          <w:szCs w:val="24"/>
        </w:rPr>
        <w:t xml:space="preserve"> no era posible tener la certeza de la relación existente entre los daños sufridos, las deficiencias del dique y el desbordamiento del mencionado río.</w:t>
      </w:r>
    </w:p>
    <w:p w:rsidR="0028037E" w:rsidRDefault="0028037E" w:rsidP="0028037E">
      <w:pPr>
        <w:pStyle w:val="p1"/>
        <w:jc w:val="both"/>
        <w:rPr>
          <w:rFonts w:ascii="Arial" w:hAnsi="Arial" w:cs="Arial"/>
          <w:sz w:val="24"/>
          <w:szCs w:val="24"/>
        </w:rPr>
      </w:pPr>
    </w:p>
    <w:p w:rsidR="0028037E" w:rsidRDefault="0028037E" w:rsidP="0028037E">
      <w:pPr>
        <w:pStyle w:val="p1"/>
        <w:jc w:val="both"/>
        <w:rPr>
          <w:rFonts w:ascii="Arial" w:hAnsi="Arial" w:cs="Arial"/>
          <w:sz w:val="24"/>
          <w:szCs w:val="24"/>
        </w:rPr>
      </w:pPr>
      <w:r>
        <w:rPr>
          <w:rFonts w:ascii="Arial" w:hAnsi="Arial" w:cs="Arial"/>
          <w:sz w:val="24"/>
          <w:szCs w:val="24"/>
        </w:rPr>
        <w:t xml:space="preserve">Explicó que, si bien la supuesta causa del daño en ambos procesos era la misma, no lo eran los elementos de prueba allegados a cada expediente para demostrar el nexo causal entre el desmedro sufrido y el comportamiento de INVIAS. Agregó que, de análisis de las pruebas aportadas, entre ellas testimonios, no era posible concluir con certeza que la inundación se produjo por el desbordamiento del río Cauca. </w:t>
      </w:r>
    </w:p>
    <w:p w:rsidR="00577455" w:rsidRDefault="00577455" w:rsidP="0028037E">
      <w:pPr>
        <w:pStyle w:val="p1"/>
        <w:jc w:val="both"/>
        <w:rPr>
          <w:rFonts w:ascii="Arial" w:hAnsi="Arial" w:cs="Arial"/>
          <w:sz w:val="24"/>
          <w:szCs w:val="24"/>
        </w:rPr>
      </w:pPr>
    </w:p>
    <w:p w:rsidR="00F466E4" w:rsidRDefault="00D50AAD" w:rsidP="000B3D62">
      <w:pPr>
        <w:pStyle w:val="p1"/>
        <w:jc w:val="both"/>
        <w:rPr>
          <w:rFonts w:ascii="Arial" w:hAnsi="Arial" w:cs="Arial"/>
          <w:sz w:val="24"/>
          <w:szCs w:val="24"/>
        </w:rPr>
      </w:pPr>
      <w:r w:rsidRPr="00CC5D6D">
        <w:rPr>
          <w:rFonts w:ascii="Arial" w:eastAsia="Verdana" w:hAnsi="Arial" w:cs="Arial"/>
          <w:bCs/>
          <w:color w:val="000000"/>
          <w:sz w:val="24"/>
          <w:szCs w:val="24"/>
        </w:rPr>
        <w:t>1.5.2.</w:t>
      </w:r>
      <w:r>
        <w:rPr>
          <w:rFonts w:ascii="Arial" w:eastAsia="Verdana" w:hAnsi="Arial" w:cs="Arial"/>
          <w:bCs/>
          <w:color w:val="000000"/>
          <w:sz w:val="24"/>
          <w:szCs w:val="24"/>
        </w:rPr>
        <w:t xml:space="preserve">3. El Instituto Nacional de Vías – INVIAS a través de su apoderado </w:t>
      </w:r>
      <w:r w:rsidR="0028037E">
        <w:rPr>
          <w:rFonts w:ascii="Arial" w:eastAsia="Verdana" w:hAnsi="Arial" w:cs="Arial"/>
          <w:bCs/>
          <w:color w:val="000000"/>
          <w:sz w:val="24"/>
          <w:szCs w:val="24"/>
        </w:rPr>
        <w:t xml:space="preserve">solicitó declarar improcedente </w:t>
      </w:r>
      <w:r w:rsidR="0035502A">
        <w:rPr>
          <w:rFonts w:ascii="Arial" w:eastAsia="Verdana" w:hAnsi="Arial" w:cs="Arial"/>
          <w:bCs/>
          <w:color w:val="000000"/>
          <w:sz w:val="24"/>
          <w:szCs w:val="24"/>
        </w:rPr>
        <w:t>el amparo</w:t>
      </w:r>
      <w:r w:rsidR="0028037E">
        <w:rPr>
          <w:rFonts w:ascii="Arial" w:eastAsia="Verdana" w:hAnsi="Arial" w:cs="Arial"/>
          <w:bCs/>
          <w:color w:val="000000"/>
          <w:sz w:val="24"/>
          <w:szCs w:val="24"/>
        </w:rPr>
        <w:t xml:space="preserve"> por considerar que las decisiones de primera y segunda instancia proferidas dentro del proceso ordinario objeto de estudio de tutela, estuvieron ajustadas a derecho conforme a las pruebas, la jurisprudencia y las normas aplicables al caso concreto. </w:t>
      </w:r>
      <w:r>
        <w:rPr>
          <w:rFonts w:ascii="Arial" w:eastAsia="Verdana" w:hAnsi="Arial" w:cs="Arial"/>
          <w:bCs/>
          <w:color w:val="000000"/>
          <w:sz w:val="24"/>
          <w:szCs w:val="24"/>
        </w:rPr>
        <w:t xml:space="preserve"> </w:t>
      </w:r>
    </w:p>
    <w:p w:rsidR="00531CC7" w:rsidRDefault="00531CC7" w:rsidP="000B3D62">
      <w:pPr>
        <w:pStyle w:val="p1"/>
        <w:jc w:val="both"/>
        <w:rPr>
          <w:rFonts w:ascii="Arial" w:hAnsi="Arial" w:cs="Arial"/>
          <w:sz w:val="24"/>
          <w:szCs w:val="24"/>
        </w:rPr>
      </w:pPr>
    </w:p>
    <w:p w:rsidR="00584E1D" w:rsidRDefault="00584E1D" w:rsidP="009A75AE">
      <w:pPr>
        <w:keepNext/>
        <w:widowControl w:val="0"/>
        <w:tabs>
          <w:tab w:val="left" w:pos="426"/>
        </w:tabs>
        <w:contextualSpacing/>
        <w:jc w:val="center"/>
        <w:rPr>
          <w:b/>
          <w:sz w:val="24"/>
          <w:szCs w:val="24"/>
          <w:lang w:val="es-ES_tradnl"/>
        </w:rPr>
      </w:pPr>
      <w:r>
        <w:rPr>
          <w:b/>
          <w:sz w:val="24"/>
          <w:szCs w:val="24"/>
          <w:lang w:val="es-ES_tradnl"/>
        </w:rPr>
        <w:t xml:space="preserve">II. </w:t>
      </w:r>
      <w:r w:rsidRPr="00584E1D">
        <w:rPr>
          <w:b/>
          <w:sz w:val="24"/>
          <w:szCs w:val="24"/>
          <w:lang w:val="es-ES_tradnl"/>
        </w:rPr>
        <w:t>CONSIDERACIONES</w:t>
      </w:r>
    </w:p>
    <w:p w:rsidR="00584E1D" w:rsidRDefault="00584E1D" w:rsidP="009A75AE">
      <w:pPr>
        <w:keepNext/>
        <w:widowControl w:val="0"/>
        <w:tabs>
          <w:tab w:val="left" w:pos="426"/>
        </w:tabs>
        <w:contextualSpacing/>
        <w:rPr>
          <w:b/>
          <w:sz w:val="24"/>
          <w:szCs w:val="24"/>
          <w:lang w:val="es-ES_tradnl"/>
        </w:rPr>
      </w:pPr>
    </w:p>
    <w:p w:rsidR="000C5DB7" w:rsidRPr="00766FA2" w:rsidRDefault="00584E1D" w:rsidP="009A75AE">
      <w:pPr>
        <w:keepNext/>
        <w:widowControl w:val="0"/>
        <w:tabs>
          <w:tab w:val="left" w:pos="426"/>
        </w:tabs>
        <w:contextualSpacing/>
        <w:rPr>
          <w:b/>
          <w:sz w:val="24"/>
          <w:szCs w:val="24"/>
          <w:lang w:val="es-ES_tradnl"/>
        </w:rPr>
      </w:pPr>
      <w:r>
        <w:rPr>
          <w:b/>
          <w:sz w:val="24"/>
          <w:szCs w:val="24"/>
          <w:lang w:val="es-ES_tradnl"/>
        </w:rPr>
        <w:t xml:space="preserve">2.1. </w:t>
      </w:r>
      <w:r w:rsidR="000C5DB7" w:rsidRPr="00766FA2">
        <w:rPr>
          <w:b/>
          <w:sz w:val="24"/>
          <w:szCs w:val="24"/>
          <w:lang w:val="es-ES_tradnl"/>
        </w:rPr>
        <w:t>Competencia</w:t>
      </w:r>
    </w:p>
    <w:p w:rsidR="000C5DB7" w:rsidRPr="00766FA2" w:rsidRDefault="000C5DB7" w:rsidP="009A75AE">
      <w:pPr>
        <w:keepNext/>
        <w:widowControl w:val="0"/>
        <w:contextualSpacing/>
        <w:rPr>
          <w:b/>
          <w:sz w:val="24"/>
          <w:szCs w:val="24"/>
          <w:lang w:val="es-ES_tradnl"/>
        </w:rPr>
      </w:pPr>
    </w:p>
    <w:p w:rsidR="003041B2" w:rsidRPr="003041B2" w:rsidRDefault="003041B2" w:rsidP="009A75AE">
      <w:pPr>
        <w:keepNext/>
        <w:widowControl w:val="0"/>
        <w:overflowPunct w:val="0"/>
        <w:autoSpaceDE w:val="0"/>
        <w:autoSpaceDN w:val="0"/>
        <w:adjustRightInd w:val="0"/>
        <w:contextualSpacing/>
        <w:rPr>
          <w:rFonts w:eastAsia="Times New Roman"/>
          <w:sz w:val="24"/>
          <w:szCs w:val="24"/>
          <w:lang w:eastAsia="es-ES"/>
        </w:rPr>
      </w:pPr>
      <w:r w:rsidRPr="003041B2">
        <w:rPr>
          <w:rFonts w:eastAsia="Times New Roman"/>
          <w:sz w:val="24"/>
          <w:szCs w:val="24"/>
          <w:lang w:eastAsia="es-ES"/>
        </w:rPr>
        <w:t xml:space="preserve">La Sala tiene competencia para decidir la presente acción de tutela, </w:t>
      </w:r>
      <w:r w:rsidR="009229F1">
        <w:rPr>
          <w:rFonts w:eastAsia="Times New Roman"/>
          <w:sz w:val="24"/>
          <w:szCs w:val="24"/>
          <w:lang w:eastAsia="es-ES"/>
        </w:rPr>
        <w:t>conforme a</w:t>
      </w:r>
      <w:r w:rsidRPr="003041B2">
        <w:rPr>
          <w:rFonts w:eastAsia="Times New Roman"/>
          <w:sz w:val="24"/>
          <w:szCs w:val="24"/>
          <w:lang w:eastAsia="es-ES"/>
        </w:rPr>
        <w:t xml:space="preserve"> lo dispuesto en los artículos 86 de la Constitución Política y 37 del Decreto 2591 de 1991, y lo previsto en el reglamento interno de la Corporación. </w:t>
      </w:r>
    </w:p>
    <w:p w:rsidR="000C5DB7" w:rsidRPr="00766FA2" w:rsidRDefault="000C5DB7" w:rsidP="00863D39">
      <w:pPr>
        <w:overflowPunct w:val="0"/>
        <w:autoSpaceDE w:val="0"/>
        <w:autoSpaceDN w:val="0"/>
        <w:adjustRightInd w:val="0"/>
        <w:contextualSpacing/>
        <w:rPr>
          <w:rFonts w:eastAsia="Times New Roman"/>
          <w:sz w:val="24"/>
          <w:szCs w:val="24"/>
          <w:lang w:eastAsia="es-ES"/>
        </w:rPr>
      </w:pPr>
    </w:p>
    <w:p w:rsidR="000C5DB7" w:rsidRPr="00766FA2" w:rsidRDefault="00584E1D" w:rsidP="00863D39">
      <w:pPr>
        <w:contextualSpacing/>
        <w:rPr>
          <w:b/>
          <w:sz w:val="24"/>
          <w:szCs w:val="24"/>
          <w:lang w:val="es-ES_tradnl"/>
        </w:rPr>
      </w:pPr>
      <w:r>
        <w:rPr>
          <w:b/>
          <w:sz w:val="24"/>
          <w:szCs w:val="24"/>
          <w:lang w:val="es-ES_tradnl"/>
        </w:rPr>
        <w:t xml:space="preserve">2.2. </w:t>
      </w:r>
      <w:r w:rsidR="000C5DB7" w:rsidRPr="00766FA2">
        <w:rPr>
          <w:b/>
          <w:sz w:val="24"/>
          <w:szCs w:val="24"/>
          <w:lang w:val="es-ES_tradnl"/>
        </w:rPr>
        <w:t>Procedibilidad de la acción</w:t>
      </w:r>
    </w:p>
    <w:p w:rsidR="000C5DB7" w:rsidRPr="00766FA2" w:rsidRDefault="000C5DB7" w:rsidP="00863D39">
      <w:pPr>
        <w:contextualSpacing/>
        <w:rPr>
          <w:sz w:val="24"/>
          <w:szCs w:val="24"/>
          <w:lang w:val="es-ES_tradnl"/>
        </w:rPr>
      </w:pPr>
    </w:p>
    <w:p w:rsidR="00C56A73" w:rsidRDefault="006371BF" w:rsidP="00863D39">
      <w:pPr>
        <w:contextualSpacing/>
        <w:rPr>
          <w:sz w:val="24"/>
          <w:szCs w:val="24"/>
          <w:lang w:val="es-ES_tradnl"/>
        </w:rPr>
      </w:pPr>
      <w:r w:rsidRPr="00766FA2">
        <w:rPr>
          <w:sz w:val="24"/>
          <w:szCs w:val="24"/>
          <w:lang w:val="es-ES_tradnl"/>
        </w:rPr>
        <w:t xml:space="preserve">Como lo ha establecido la jurisprudencia constitucional y particularmente la sistematización realizada en la </w:t>
      </w:r>
      <w:r w:rsidRPr="00766FA2">
        <w:rPr>
          <w:sz w:val="24"/>
          <w:szCs w:val="24"/>
          <w:lang w:val="es-MX"/>
        </w:rPr>
        <w:t xml:space="preserve">sentencia C-590 de 2005, en los casos en que </w:t>
      </w:r>
      <w:r w:rsidRPr="00766FA2">
        <w:rPr>
          <w:sz w:val="24"/>
          <w:szCs w:val="24"/>
          <w:lang w:val="es-ES_tradnl"/>
        </w:rPr>
        <w:t>la</w:t>
      </w:r>
      <w:r w:rsidR="00D5712A">
        <w:rPr>
          <w:sz w:val="24"/>
          <w:szCs w:val="24"/>
          <w:lang w:val="es-ES_tradnl"/>
        </w:rPr>
        <w:t xml:space="preserve"> </w:t>
      </w:r>
      <w:r w:rsidRPr="00766FA2">
        <w:rPr>
          <w:sz w:val="24"/>
          <w:szCs w:val="24"/>
          <w:lang w:val="es-ES_tradnl"/>
        </w:rPr>
        <w:t xml:space="preserve">solicitud de amparo se dirige contra una providencia judicial, es pertinente </w:t>
      </w:r>
      <w:r w:rsidR="00711E39" w:rsidRPr="00766FA2">
        <w:rPr>
          <w:sz w:val="24"/>
          <w:szCs w:val="24"/>
          <w:lang w:val="es-ES_tradnl"/>
        </w:rPr>
        <w:t>realizar, primero</w:t>
      </w:r>
      <w:r w:rsidRPr="00766FA2">
        <w:rPr>
          <w:sz w:val="24"/>
          <w:szCs w:val="24"/>
          <w:lang w:val="es-ES_tradnl"/>
        </w:rPr>
        <w:t>, un examen de procedibilidad general</w:t>
      </w:r>
      <w:r w:rsidRPr="00766FA2">
        <w:rPr>
          <w:sz w:val="24"/>
          <w:szCs w:val="24"/>
          <w:vertAlign w:val="superscript"/>
          <w:lang w:val="es-ES_tradnl"/>
        </w:rPr>
        <w:footnoteReference w:id="12"/>
      </w:r>
      <w:r w:rsidRPr="00766FA2">
        <w:rPr>
          <w:sz w:val="24"/>
          <w:szCs w:val="24"/>
          <w:lang w:val="es-ES_tradnl"/>
        </w:rPr>
        <w:t xml:space="preserve"> para, luego, en caso de resultar superado dicho estudio, pasar a hacer el pronunciamiento de fondo en el que se resuelva el problema jurídico, en los términos de los defectos aducidos por </w:t>
      </w:r>
      <w:r w:rsidR="00044D65">
        <w:rPr>
          <w:sz w:val="24"/>
          <w:szCs w:val="24"/>
          <w:lang w:val="es-ES_tradnl"/>
        </w:rPr>
        <w:t xml:space="preserve">el </w:t>
      </w:r>
      <w:r w:rsidR="005B6DC3">
        <w:rPr>
          <w:sz w:val="24"/>
          <w:szCs w:val="24"/>
          <w:lang w:val="es-ES_tradnl"/>
        </w:rPr>
        <w:t>accionante</w:t>
      </w:r>
      <w:r w:rsidRPr="00766FA2">
        <w:rPr>
          <w:sz w:val="24"/>
          <w:szCs w:val="24"/>
          <w:lang w:val="es-ES_tradnl"/>
        </w:rPr>
        <w:t xml:space="preserve"> conforme a las causales específicas de procedencia de la acción de tutela contra providencia judicial</w:t>
      </w:r>
      <w:r w:rsidRPr="00766FA2">
        <w:rPr>
          <w:sz w:val="24"/>
          <w:szCs w:val="24"/>
          <w:vertAlign w:val="superscript"/>
          <w:lang w:val="es-ES_tradnl"/>
        </w:rPr>
        <w:footnoteReference w:id="13"/>
      </w:r>
      <w:r w:rsidRPr="00766FA2">
        <w:rPr>
          <w:sz w:val="24"/>
          <w:szCs w:val="24"/>
          <w:lang w:val="es-ES_tradnl"/>
        </w:rPr>
        <w:t xml:space="preserve">. </w:t>
      </w:r>
    </w:p>
    <w:p w:rsidR="00BF7762" w:rsidRDefault="00BF7762" w:rsidP="00863D39">
      <w:pPr>
        <w:contextualSpacing/>
        <w:rPr>
          <w:rFonts w:eastAsia="Verdana"/>
          <w:b/>
          <w:sz w:val="24"/>
          <w:szCs w:val="24"/>
          <w:lang w:val="es-ES_tradnl"/>
        </w:rPr>
      </w:pPr>
    </w:p>
    <w:p w:rsidR="00C56A73" w:rsidRDefault="00C56A73" w:rsidP="00863D39">
      <w:pPr>
        <w:contextualSpacing/>
        <w:rPr>
          <w:sz w:val="24"/>
          <w:szCs w:val="24"/>
          <w:lang w:val="es-ES_tradnl"/>
        </w:rPr>
      </w:pPr>
      <w:r w:rsidRPr="00766FA2">
        <w:rPr>
          <w:rFonts w:eastAsia="Verdana"/>
          <w:b/>
          <w:sz w:val="24"/>
          <w:szCs w:val="24"/>
          <w:lang w:val="es-ES_tradnl"/>
        </w:rPr>
        <w:lastRenderedPageBreak/>
        <w:t>2.</w:t>
      </w:r>
      <w:r>
        <w:rPr>
          <w:rFonts w:eastAsia="Verdana"/>
          <w:b/>
          <w:sz w:val="24"/>
          <w:szCs w:val="24"/>
          <w:lang w:val="es-ES_tradnl"/>
        </w:rPr>
        <w:t>3</w:t>
      </w:r>
      <w:r w:rsidRPr="00766FA2">
        <w:rPr>
          <w:rFonts w:eastAsia="Verdana"/>
          <w:b/>
          <w:sz w:val="24"/>
          <w:szCs w:val="24"/>
          <w:lang w:val="es-ES_tradnl"/>
        </w:rPr>
        <w:t xml:space="preserve">. </w:t>
      </w:r>
      <w:r w:rsidR="00130A7F">
        <w:rPr>
          <w:sz w:val="24"/>
          <w:szCs w:val="24"/>
          <w:lang w:val="es-ES_tradnl"/>
        </w:rPr>
        <w:t xml:space="preserve">La </w:t>
      </w:r>
      <w:r w:rsidR="00130A7F" w:rsidRPr="0064007B">
        <w:rPr>
          <w:rFonts w:eastAsia="Verdana"/>
          <w:bCs/>
          <w:sz w:val="24"/>
          <w:szCs w:val="24"/>
          <w:lang w:val="es-ES_tradnl"/>
        </w:rPr>
        <w:t>Sala encuentra acreditada</w:t>
      </w:r>
      <w:r w:rsidR="00130A7F" w:rsidRPr="00766FA2">
        <w:rPr>
          <w:rFonts w:eastAsia="Verdana"/>
          <w:sz w:val="24"/>
          <w:szCs w:val="24"/>
          <w:lang w:val="es-ES_tradnl"/>
        </w:rPr>
        <w:t xml:space="preserve"> </w:t>
      </w:r>
      <w:r w:rsidRPr="00766FA2">
        <w:rPr>
          <w:rFonts w:eastAsia="Verdana"/>
          <w:sz w:val="24"/>
          <w:szCs w:val="24"/>
          <w:lang w:val="es-ES_tradnl"/>
        </w:rPr>
        <w:t>la</w:t>
      </w:r>
      <w:r w:rsidRPr="00766FA2">
        <w:rPr>
          <w:rFonts w:eastAsia="Verdana"/>
          <w:b/>
          <w:sz w:val="24"/>
          <w:szCs w:val="24"/>
          <w:lang w:val="es-ES_tradnl"/>
        </w:rPr>
        <w:t xml:space="preserve"> </w:t>
      </w:r>
      <w:r w:rsidRPr="00766FA2">
        <w:rPr>
          <w:b/>
          <w:sz w:val="24"/>
          <w:szCs w:val="24"/>
          <w:lang w:val="es-ES_tradnl"/>
        </w:rPr>
        <w:t>legitimación</w:t>
      </w:r>
      <w:r w:rsidRPr="00766FA2">
        <w:rPr>
          <w:sz w:val="24"/>
          <w:szCs w:val="24"/>
          <w:lang w:val="es-ES_tradnl"/>
        </w:rPr>
        <w:t xml:space="preserve"> </w:t>
      </w:r>
      <w:r w:rsidRPr="00766FA2">
        <w:rPr>
          <w:b/>
          <w:sz w:val="24"/>
          <w:szCs w:val="24"/>
          <w:lang w:val="es-ES_tradnl"/>
        </w:rPr>
        <w:t>en la causa</w:t>
      </w:r>
      <w:r w:rsidRPr="00766FA2">
        <w:rPr>
          <w:sz w:val="24"/>
          <w:szCs w:val="24"/>
          <w:lang w:val="es-ES_tradnl"/>
        </w:rPr>
        <w:t xml:space="preserve"> </w:t>
      </w:r>
      <w:r w:rsidRPr="00766FA2">
        <w:rPr>
          <w:b/>
          <w:i/>
          <w:sz w:val="24"/>
          <w:szCs w:val="24"/>
          <w:lang w:val="es-ES_tradnl"/>
        </w:rPr>
        <w:t>por activa</w:t>
      </w:r>
      <w:r w:rsidR="0035262C">
        <w:rPr>
          <w:rFonts w:eastAsia="Verdana"/>
          <w:bCs/>
          <w:sz w:val="24"/>
          <w:szCs w:val="24"/>
          <w:lang w:val="es-ES_tradnl"/>
        </w:rPr>
        <w:t xml:space="preserve">, </w:t>
      </w:r>
      <w:r w:rsidRPr="00766FA2">
        <w:rPr>
          <w:sz w:val="24"/>
          <w:szCs w:val="24"/>
          <w:lang w:val="es-ES_tradnl"/>
        </w:rPr>
        <w:t xml:space="preserve">porque </w:t>
      </w:r>
      <w:r w:rsidR="0035262C">
        <w:rPr>
          <w:sz w:val="24"/>
          <w:szCs w:val="24"/>
          <w:lang w:val="es-ES_tradnl"/>
        </w:rPr>
        <w:t>el señor Alberto de Jesús Martelo Camacho actúa por medio de apoderado</w:t>
      </w:r>
      <w:r w:rsidR="0007096C">
        <w:rPr>
          <w:rStyle w:val="Refdenotaalpie"/>
          <w:sz w:val="24"/>
          <w:szCs w:val="24"/>
          <w:lang w:val="es-ES_tradnl"/>
        </w:rPr>
        <w:footnoteReference w:id="14"/>
      </w:r>
      <w:r w:rsidR="0007096C">
        <w:rPr>
          <w:sz w:val="24"/>
          <w:szCs w:val="24"/>
          <w:lang w:val="es-ES_tradnl"/>
        </w:rPr>
        <w:t>,</w:t>
      </w:r>
      <w:r w:rsidR="0035262C">
        <w:rPr>
          <w:sz w:val="24"/>
          <w:szCs w:val="24"/>
          <w:lang w:val="es-ES_tradnl"/>
        </w:rPr>
        <w:t xml:space="preserve"> en calidad de</w:t>
      </w:r>
      <w:r w:rsidR="0007096C">
        <w:rPr>
          <w:sz w:val="24"/>
          <w:szCs w:val="24"/>
          <w:lang w:val="es-ES_tradnl"/>
        </w:rPr>
        <w:t xml:space="preserve"> heredero </w:t>
      </w:r>
      <w:r w:rsidR="008C551D">
        <w:rPr>
          <w:sz w:val="24"/>
          <w:szCs w:val="24"/>
          <w:lang w:val="es-ES_tradnl"/>
        </w:rPr>
        <w:t>d</w:t>
      </w:r>
      <w:r w:rsidR="0007096C" w:rsidRPr="00C71904">
        <w:rPr>
          <w:rFonts w:eastAsia="Times New Roman"/>
          <w:sz w:val="24"/>
          <w:szCs w:val="24"/>
        </w:rPr>
        <w:t xml:space="preserve">el señor José Rodrigo Martelo </w:t>
      </w:r>
      <w:proofErr w:type="spellStart"/>
      <w:r w:rsidR="0007096C" w:rsidRPr="00C71904">
        <w:rPr>
          <w:rFonts w:eastAsia="Times New Roman"/>
          <w:sz w:val="24"/>
          <w:szCs w:val="24"/>
        </w:rPr>
        <w:t>Paniza</w:t>
      </w:r>
      <w:proofErr w:type="spellEnd"/>
      <w:r w:rsidR="0007096C" w:rsidRPr="00C71904">
        <w:rPr>
          <w:rFonts w:eastAsia="Times New Roman"/>
          <w:sz w:val="24"/>
          <w:szCs w:val="24"/>
        </w:rPr>
        <w:t xml:space="preserve"> (fallecido)</w:t>
      </w:r>
      <w:r w:rsidR="0007096C">
        <w:rPr>
          <w:rFonts w:eastAsia="Times New Roman"/>
          <w:sz w:val="24"/>
          <w:szCs w:val="24"/>
        </w:rPr>
        <w:t xml:space="preserve"> quien</w:t>
      </w:r>
      <w:r w:rsidR="008561CA">
        <w:rPr>
          <w:rFonts w:eastAsia="Times New Roman"/>
          <w:sz w:val="24"/>
          <w:szCs w:val="24"/>
        </w:rPr>
        <w:t xml:space="preserve">, a su turno, </w:t>
      </w:r>
      <w:r w:rsidR="0007096C">
        <w:rPr>
          <w:rFonts w:eastAsia="Times New Roman"/>
          <w:sz w:val="24"/>
          <w:szCs w:val="24"/>
        </w:rPr>
        <w:t>act</w:t>
      </w:r>
      <w:r w:rsidR="00044D65">
        <w:rPr>
          <w:rFonts w:eastAsia="Times New Roman"/>
          <w:sz w:val="24"/>
          <w:szCs w:val="24"/>
        </w:rPr>
        <w:t>uó</w:t>
      </w:r>
      <w:r w:rsidR="0007096C">
        <w:rPr>
          <w:rFonts w:eastAsia="Times New Roman"/>
          <w:sz w:val="24"/>
          <w:szCs w:val="24"/>
        </w:rPr>
        <w:t xml:space="preserve"> como parte demandante</w:t>
      </w:r>
      <w:r w:rsidR="0007096C" w:rsidRPr="00C71904">
        <w:rPr>
          <w:rFonts w:eastAsia="Times New Roman"/>
          <w:sz w:val="24"/>
          <w:szCs w:val="24"/>
        </w:rPr>
        <w:t xml:space="preserve"> dentro del proceso de reparación directa identificado con radicado número 71001-23-33-000-2012-00121-00/01(51.104)</w:t>
      </w:r>
      <w:r w:rsidR="008C551D">
        <w:rPr>
          <w:rFonts w:eastAsia="Times New Roman"/>
          <w:sz w:val="24"/>
          <w:szCs w:val="24"/>
        </w:rPr>
        <w:t xml:space="preserve">. Esto </w:t>
      </w:r>
      <w:r w:rsidR="0007096C">
        <w:rPr>
          <w:rFonts w:eastAsia="Times New Roman"/>
          <w:sz w:val="24"/>
          <w:szCs w:val="24"/>
        </w:rPr>
        <w:t xml:space="preserve">conforme al registro civil de defunción del señor José Rodrigo Martelo </w:t>
      </w:r>
      <w:proofErr w:type="spellStart"/>
      <w:r w:rsidR="0007096C">
        <w:rPr>
          <w:rFonts w:eastAsia="Times New Roman"/>
          <w:sz w:val="24"/>
          <w:szCs w:val="24"/>
        </w:rPr>
        <w:t>Paniza</w:t>
      </w:r>
      <w:proofErr w:type="spellEnd"/>
      <w:r w:rsidR="008C551D">
        <w:rPr>
          <w:rStyle w:val="Refdenotaalpie"/>
          <w:rFonts w:eastAsia="Times New Roman"/>
          <w:sz w:val="24"/>
          <w:szCs w:val="24"/>
        </w:rPr>
        <w:footnoteReference w:id="15"/>
      </w:r>
      <w:r w:rsidR="0007096C">
        <w:rPr>
          <w:rFonts w:eastAsia="Times New Roman"/>
          <w:sz w:val="24"/>
          <w:szCs w:val="24"/>
        </w:rPr>
        <w:t xml:space="preserve"> y al registro civil de nacimiento del señor Alberto de Jesús Martelo Camacho</w:t>
      </w:r>
      <w:r w:rsidR="008C551D">
        <w:rPr>
          <w:rStyle w:val="Refdenotaalpie"/>
          <w:rFonts w:eastAsia="Times New Roman"/>
          <w:sz w:val="24"/>
          <w:szCs w:val="24"/>
        </w:rPr>
        <w:footnoteReference w:id="16"/>
      </w:r>
      <w:r w:rsidR="0007096C">
        <w:rPr>
          <w:rFonts w:eastAsia="Times New Roman"/>
          <w:sz w:val="24"/>
          <w:szCs w:val="24"/>
        </w:rPr>
        <w:t xml:space="preserve"> allegados al expediente de tutela. </w:t>
      </w:r>
      <w:r w:rsidR="008C551D">
        <w:rPr>
          <w:rFonts w:eastAsia="Times New Roman"/>
          <w:sz w:val="24"/>
          <w:szCs w:val="24"/>
        </w:rPr>
        <w:t>Por lo tanto</w:t>
      </w:r>
      <w:r w:rsidR="008C551D">
        <w:rPr>
          <w:sz w:val="24"/>
          <w:szCs w:val="24"/>
          <w:lang w:val="es-ES_tradnl"/>
        </w:rPr>
        <w:t>, el</w:t>
      </w:r>
      <w:r w:rsidR="00BE1F52">
        <w:rPr>
          <w:sz w:val="24"/>
          <w:szCs w:val="24"/>
          <w:lang w:val="es-ES_tradnl"/>
        </w:rPr>
        <w:t xml:space="preserve"> </w:t>
      </w:r>
      <w:r w:rsidR="008E0378">
        <w:rPr>
          <w:sz w:val="24"/>
          <w:szCs w:val="24"/>
          <w:lang w:val="es-ES_tradnl"/>
        </w:rPr>
        <w:t>accionante</w:t>
      </w:r>
      <w:r>
        <w:rPr>
          <w:sz w:val="24"/>
          <w:szCs w:val="24"/>
          <w:lang w:val="es-ES_tradnl"/>
        </w:rPr>
        <w:t xml:space="preserve"> es</w:t>
      </w:r>
      <w:r w:rsidR="00077868">
        <w:rPr>
          <w:sz w:val="24"/>
          <w:szCs w:val="24"/>
          <w:lang w:val="es-ES_tradnl"/>
        </w:rPr>
        <w:t xml:space="preserve"> </w:t>
      </w:r>
      <w:r w:rsidR="00614DF3">
        <w:rPr>
          <w:sz w:val="24"/>
          <w:szCs w:val="24"/>
          <w:lang w:val="es-ES_tradnl"/>
        </w:rPr>
        <w:t>e</w:t>
      </w:r>
      <w:r w:rsidR="00077868">
        <w:rPr>
          <w:sz w:val="24"/>
          <w:szCs w:val="24"/>
          <w:lang w:val="es-ES_tradnl"/>
        </w:rPr>
        <w:t>l</w:t>
      </w:r>
      <w:r w:rsidR="00BE1F52">
        <w:rPr>
          <w:sz w:val="24"/>
          <w:szCs w:val="24"/>
          <w:lang w:val="es-ES_tradnl"/>
        </w:rPr>
        <w:t xml:space="preserve"> </w:t>
      </w:r>
      <w:r>
        <w:rPr>
          <w:sz w:val="24"/>
          <w:szCs w:val="24"/>
          <w:lang w:val="es-ES_tradnl"/>
        </w:rPr>
        <w:t>titular</w:t>
      </w:r>
      <w:r w:rsidRPr="00766FA2">
        <w:rPr>
          <w:sz w:val="24"/>
          <w:szCs w:val="24"/>
          <w:lang w:val="es-ES_tradnl"/>
        </w:rPr>
        <w:t xml:space="preserve"> de los </w:t>
      </w:r>
      <w:r w:rsidRPr="00655744">
        <w:rPr>
          <w:sz w:val="24"/>
          <w:szCs w:val="24"/>
          <w:lang w:val="es-ES_tradnl"/>
        </w:rPr>
        <w:t>derechos</w:t>
      </w:r>
      <w:r w:rsidRPr="00766FA2">
        <w:rPr>
          <w:sz w:val="24"/>
          <w:szCs w:val="24"/>
          <w:lang w:val="es-ES_tradnl"/>
        </w:rPr>
        <w:t xml:space="preserve"> que afirma son vulnerados, en su condición de </w:t>
      </w:r>
      <w:r w:rsidR="00021BEA">
        <w:rPr>
          <w:sz w:val="24"/>
          <w:szCs w:val="24"/>
          <w:lang w:val="es-ES_tradnl"/>
        </w:rPr>
        <w:t>sucesor procesal</w:t>
      </w:r>
      <w:r w:rsidR="008C551D">
        <w:rPr>
          <w:sz w:val="24"/>
          <w:szCs w:val="24"/>
          <w:lang w:val="es-ES_tradnl"/>
        </w:rPr>
        <w:t xml:space="preserve"> de la </w:t>
      </w:r>
      <w:r w:rsidRPr="00766FA2">
        <w:rPr>
          <w:sz w:val="24"/>
          <w:szCs w:val="24"/>
          <w:lang w:val="es-ES_tradnl"/>
        </w:rPr>
        <w:t>parte demandante dentro del proceso ordinario</w:t>
      </w:r>
      <w:r w:rsidR="00BE1F52">
        <w:rPr>
          <w:sz w:val="24"/>
          <w:szCs w:val="24"/>
          <w:lang w:val="es-ES_tradnl"/>
        </w:rPr>
        <w:t xml:space="preserve"> en el que </w:t>
      </w:r>
      <w:r w:rsidR="001571AE">
        <w:rPr>
          <w:sz w:val="24"/>
          <w:szCs w:val="24"/>
          <w:lang w:val="es-ES_tradnl"/>
        </w:rPr>
        <w:t>fue proferida</w:t>
      </w:r>
      <w:r w:rsidR="00BE1F52">
        <w:rPr>
          <w:sz w:val="24"/>
          <w:szCs w:val="24"/>
          <w:lang w:val="es-ES_tradnl"/>
        </w:rPr>
        <w:t xml:space="preserve"> la providencia</w:t>
      </w:r>
      <w:r w:rsidRPr="00766FA2">
        <w:rPr>
          <w:sz w:val="24"/>
          <w:szCs w:val="24"/>
          <w:lang w:val="es-ES_tradnl"/>
        </w:rPr>
        <w:t xml:space="preserve"> objeto de </w:t>
      </w:r>
      <w:r w:rsidR="001571AE">
        <w:rPr>
          <w:sz w:val="24"/>
          <w:szCs w:val="24"/>
          <w:lang w:val="es-ES_tradnl"/>
        </w:rPr>
        <w:t>tutela</w:t>
      </w:r>
      <w:r w:rsidRPr="00766FA2">
        <w:rPr>
          <w:sz w:val="24"/>
          <w:szCs w:val="24"/>
          <w:lang w:val="es-ES_tradnl"/>
        </w:rPr>
        <w:t xml:space="preserve">, y, por lo tanto, en caso de configurarse los defectos </w:t>
      </w:r>
      <w:r w:rsidR="00A144C1">
        <w:rPr>
          <w:sz w:val="24"/>
          <w:szCs w:val="24"/>
          <w:lang w:val="es-ES_tradnl"/>
        </w:rPr>
        <w:t>invocados</w:t>
      </w:r>
      <w:r w:rsidR="0061287B">
        <w:rPr>
          <w:sz w:val="24"/>
          <w:szCs w:val="24"/>
          <w:lang w:val="es-ES_tradnl"/>
        </w:rPr>
        <w:t>,</w:t>
      </w:r>
      <w:r w:rsidRPr="00766FA2">
        <w:rPr>
          <w:sz w:val="24"/>
          <w:szCs w:val="24"/>
          <w:lang w:val="es-ES_tradnl"/>
        </w:rPr>
        <w:t xml:space="preserve"> resultarían afectados en relación con </w:t>
      </w:r>
      <w:r w:rsidR="00614DF3">
        <w:rPr>
          <w:sz w:val="24"/>
          <w:szCs w:val="24"/>
          <w:lang w:val="es-ES_tradnl"/>
        </w:rPr>
        <w:t>las</w:t>
      </w:r>
      <w:r w:rsidRPr="00766FA2">
        <w:rPr>
          <w:sz w:val="24"/>
          <w:szCs w:val="24"/>
          <w:lang w:val="es-ES_tradnl"/>
        </w:rPr>
        <w:t xml:space="preserve"> </w:t>
      </w:r>
      <w:r>
        <w:rPr>
          <w:sz w:val="24"/>
          <w:szCs w:val="24"/>
          <w:lang w:val="es-ES_tradnl"/>
        </w:rPr>
        <w:t>garantías</w:t>
      </w:r>
      <w:r w:rsidRPr="00766FA2">
        <w:rPr>
          <w:sz w:val="24"/>
          <w:szCs w:val="24"/>
          <w:lang w:val="es-ES_tradnl"/>
        </w:rPr>
        <w:t xml:space="preserve"> al debido proceso y acceso a la administración de justicia</w:t>
      </w:r>
      <w:r w:rsidR="00614DF3">
        <w:rPr>
          <w:rStyle w:val="Refdenotaalpie"/>
          <w:sz w:val="24"/>
          <w:szCs w:val="24"/>
          <w:lang w:val="es-ES_tradnl"/>
        </w:rPr>
        <w:footnoteReference w:id="17"/>
      </w:r>
      <w:r w:rsidRPr="00766FA2">
        <w:rPr>
          <w:sz w:val="24"/>
          <w:szCs w:val="24"/>
          <w:lang w:val="es-ES_tradnl"/>
        </w:rPr>
        <w:t>.</w:t>
      </w:r>
    </w:p>
    <w:p w:rsidR="008D1DBD" w:rsidRDefault="008D1DBD" w:rsidP="00863D39">
      <w:pPr>
        <w:tabs>
          <w:tab w:val="left" w:pos="0"/>
        </w:tabs>
        <w:contextualSpacing/>
        <w:rPr>
          <w:sz w:val="24"/>
          <w:szCs w:val="24"/>
          <w:lang w:val="es-ES_tradnl"/>
        </w:rPr>
      </w:pPr>
    </w:p>
    <w:p w:rsidR="00C56A73" w:rsidRDefault="008D1DBD" w:rsidP="00863D39">
      <w:pPr>
        <w:tabs>
          <w:tab w:val="left" w:pos="0"/>
        </w:tabs>
        <w:contextualSpacing/>
        <w:rPr>
          <w:sz w:val="24"/>
          <w:szCs w:val="24"/>
          <w:lang w:val="es-ES_tradnl"/>
        </w:rPr>
      </w:pPr>
      <w:r>
        <w:rPr>
          <w:sz w:val="24"/>
          <w:szCs w:val="24"/>
          <w:lang w:val="es-ES_tradnl"/>
        </w:rPr>
        <w:t xml:space="preserve">En ese contexto, también </w:t>
      </w:r>
      <w:r w:rsidR="00C56A73" w:rsidRPr="00766FA2">
        <w:rPr>
          <w:sz w:val="24"/>
          <w:szCs w:val="24"/>
          <w:lang w:val="es-ES_tradnl"/>
        </w:rPr>
        <w:t xml:space="preserve">está probada </w:t>
      </w:r>
      <w:r w:rsidR="00C56A73" w:rsidRPr="00766FA2">
        <w:rPr>
          <w:b/>
          <w:sz w:val="24"/>
          <w:szCs w:val="24"/>
          <w:lang w:val="es-ES_tradnl"/>
        </w:rPr>
        <w:t xml:space="preserve">la legitimación en la causa </w:t>
      </w:r>
      <w:r w:rsidR="00C56A73" w:rsidRPr="00766FA2">
        <w:rPr>
          <w:b/>
          <w:i/>
          <w:sz w:val="24"/>
          <w:szCs w:val="24"/>
          <w:lang w:val="es-ES_tradnl"/>
        </w:rPr>
        <w:t>por pasiva</w:t>
      </w:r>
      <w:r w:rsidR="00C56A73" w:rsidRPr="00766FA2">
        <w:rPr>
          <w:sz w:val="24"/>
          <w:szCs w:val="24"/>
          <w:lang w:val="es-ES_tradnl"/>
        </w:rPr>
        <w:t xml:space="preserve"> porque </w:t>
      </w:r>
      <w:r w:rsidR="008C551D">
        <w:rPr>
          <w:sz w:val="24"/>
          <w:szCs w:val="24"/>
          <w:lang w:val="es-ES_tradnl"/>
        </w:rPr>
        <w:t xml:space="preserve">la Subsección B de la Sección Tercera del Consejo de </w:t>
      </w:r>
      <w:r w:rsidR="0078475B">
        <w:rPr>
          <w:sz w:val="24"/>
          <w:szCs w:val="24"/>
          <w:lang w:val="es-ES_tradnl"/>
        </w:rPr>
        <w:t xml:space="preserve">Estado, </w:t>
      </w:r>
      <w:r w:rsidR="00B50B1C">
        <w:rPr>
          <w:sz w:val="24"/>
          <w:szCs w:val="24"/>
          <w:lang w:val="es-ES_tradnl"/>
        </w:rPr>
        <w:t>fue</w:t>
      </w:r>
      <w:r w:rsidR="00B63E30">
        <w:rPr>
          <w:sz w:val="24"/>
          <w:szCs w:val="24"/>
          <w:lang w:val="es-ES_tradnl"/>
        </w:rPr>
        <w:t xml:space="preserve"> la autoridad que </w:t>
      </w:r>
      <w:r w:rsidR="00C56A73">
        <w:rPr>
          <w:sz w:val="24"/>
          <w:szCs w:val="24"/>
          <w:lang w:val="es-ES_tradnl"/>
        </w:rPr>
        <w:t>profiri</w:t>
      </w:r>
      <w:r w:rsidR="00BE1F52">
        <w:rPr>
          <w:sz w:val="24"/>
          <w:szCs w:val="24"/>
          <w:lang w:val="es-ES_tradnl"/>
        </w:rPr>
        <w:t>ó</w:t>
      </w:r>
      <w:r w:rsidR="00C56A73">
        <w:rPr>
          <w:sz w:val="24"/>
          <w:szCs w:val="24"/>
          <w:lang w:val="es-ES_tradnl"/>
        </w:rPr>
        <w:t xml:space="preserve"> la </w:t>
      </w:r>
      <w:r w:rsidR="00BE1F52">
        <w:rPr>
          <w:sz w:val="24"/>
          <w:szCs w:val="24"/>
          <w:lang w:val="es-ES_tradnl"/>
        </w:rPr>
        <w:t>providencia</w:t>
      </w:r>
      <w:r w:rsidR="00E028CE">
        <w:rPr>
          <w:sz w:val="24"/>
          <w:szCs w:val="24"/>
          <w:lang w:val="es-ES_tradnl"/>
        </w:rPr>
        <w:t>,</w:t>
      </w:r>
      <w:r w:rsidR="007812A2">
        <w:rPr>
          <w:sz w:val="24"/>
          <w:szCs w:val="24"/>
          <w:lang w:val="es-ES_tradnl"/>
        </w:rPr>
        <w:t xml:space="preserve"> </w:t>
      </w:r>
      <w:r w:rsidR="00C56A73" w:rsidRPr="00766FA2">
        <w:rPr>
          <w:sz w:val="24"/>
          <w:szCs w:val="24"/>
          <w:lang w:val="es-ES_tradnl"/>
        </w:rPr>
        <w:t xml:space="preserve">que, según </w:t>
      </w:r>
      <w:r w:rsidR="008C551D">
        <w:rPr>
          <w:sz w:val="24"/>
          <w:szCs w:val="24"/>
          <w:lang w:val="es-ES_tradnl"/>
        </w:rPr>
        <w:t>el</w:t>
      </w:r>
      <w:r w:rsidR="00BE1F52">
        <w:rPr>
          <w:sz w:val="24"/>
          <w:szCs w:val="24"/>
          <w:lang w:val="es-ES_tradnl"/>
        </w:rPr>
        <w:t xml:space="preserve"> </w:t>
      </w:r>
      <w:r w:rsidR="00C56A73">
        <w:rPr>
          <w:sz w:val="24"/>
          <w:szCs w:val="24"/>
          <w:lang w:val="es-ES_tradnl"/>
        </w:rPr>
        <w:t>tutelante</w:t>
      </w:r>
      <w:r w:rsidR="00C56A73" w:rsidRPr="00766FA2">
        <w:rPr>
          <w:sz w:val="24"/>
          <w:szCs w:val="24"/>
          <w:lang w:val="es-ES_tradnl"/>
        </w:rPr>
        <w:t>, vulne</w:t>
      </w:r>
      <w:r w:rsidR="00C56A73">
        <w:rPr>
          <w:sz w:val="24"/>
          <w:szCs w:val="24"/>
          <w:lang w:val="es-ES_tradnl"/>
        </w:rPr>
        <w:t>r</w:t>
      </w:r>
      <w:r w:rsidR="00354ABD">
        <w:rPr>
          <w:sz w:val="24"/>
          <w:szCs w:val="24"/>
          <w:lang w:val="es-ES_tradnl"/>
        </w:rPr>
        <w:t>ó</w:t>
      </w:r>
      <w:r w:rsidR="00C56A73" w:rsidRPr="00766FA2">
        <w:rPr>
          <w:sz w:val="24"/>
          <w:szCs w:val="24"/>
          <w:lang w:val="es-ES_tradnl"/>
        </w:rPr>
        <w:t xml:space="preserve"> sus derechos fundamentales. </w:t>
      </w:r>
    </w:p>
    <w:p w:rsidR="00354ABD" w:rsidRDefault="00354ABD" w:rsidP="00354ABD">
      <w:pPr>
        <w:pStyle w:val="paragraph"/>
        <w:spacing w:before="0" w:beforeAutospacing="0" w:after="0" w:afterAutospacing="0"/>
        <w:jc w:val="both"/>
        <w:textAlignment w:val="baseline"/>
        <w:rPr>
          <w:lang w:val="es-ES_tradnl"/>
        </w:rPr>
      </w:pPr>
    </w:p>
    <w:p w:rsidR="00130A7F" w:rsidRDefault="008D6AC2" w:rsidP="00130A7F">
      <w:pPr>
        <w:pStyle w:val="paragraph"/>
        <w:spacing w:before="0" w:beforeAutospacing="0" w:after="0" w:afterAutospacing="0"/>
        <w:jc w:val="both"/>
        <w:textAlignment w:val="baseline"/>
        <w:rPr>
          <w:rFonts w:ascii="Arial" w:hAnsi="Arial" w:cs="Arial"/>
          <w:lang w:val="es-ES"/>
        </w:rPr>
      </w:pPr>
      <w:r w:rsidRPr="00130A7F">
        <w:rPr>
          <w:rFonts w:ascii="Arial" w:eastAsia="Arial Unicode MS" w:hAnsi="Arial" w:cs="Arial"/>
          <w:b/>
          <w:bCs/>
          <w:lang w:val="es-ES" w:eastAsia="es-ES"/>
        </w:rPr>
        <w:t>2.</w:t>
      </w:r>
      <w:r w:rsidR="00ED7EC6">
        <w:rPr>
          <w:rFonts w:ascii="Arial" w:eastAsia="Arial Unicode MS" w:hAnsi="Arial" w:cs="Arial"/>
          <w:b/>
          <w:bCs/>
          <w:lang w:val="es-ES" w:eastAsia="es-ES"/>
        </w:rPr>
        <w:t>4</w:t>
      </w:r>
      <w:r w:rsidRPr="00130A7F">
        <w:rPr>
          <w:rFonts w:ascii="Arial" w:eastAsia="Arial Unicode MS" w:hAnsi="Arial" w:cs="Arial"/>
          <w:b/>
          <w:bCs/>
          <w:lang w:val="es-ES" w:eastAsia="es-ES"/>
        </w:rPr>
        <w:t xml:space="preserve">. </w:t>
      </w:r>
      <w:r w:rsidR="00130A7F" w:rsidRPr="00130A7F">
        <w:rPr>
          <w:rFonts w:ascii="Arial" w:hAnsi="Arial" w:cs="Arial"/>
          <w:lang w:val="es-ES"/>
        </w:rPr>
        <w:t>E</w:t>
      </w:r>
      <w:r w:rsidR="00130A7F">
        <w:rPr>
          <w:rFonts w:ascii="Arial" w:hAnsi="Arial" w:cs="Arial"/>
          <w:lang w:val="es-ES"/>
        </w:rPr>
        <w:t xml:space="preserve">l requisito de </w:t>
      </w:r>
      <w:r w:rsidR="00130A7F">
        <w:rPr>
          <w:rFonts w:ascii="Arial" w:hAnsi="Arial" w:cs="Arial"/>
          <w:b/>
          <w:bCs/>
          <w:lang w:val="es-ES"/>
        </w:rPr>
        <w:t>relevancia constitucional</w:t>
      </w:r>
      <w:r w:rsidR="00130A7F">
        <w:rPr>
          <w:rFonts w:ascii="Arial" w:hAnsi="Arial" w:cs="Arial"/>
        </w:rPr>
        <w:t xml:space="preserve"> se deriva de la naturaleza y finalidad de la acción de tutela en los términos del artículo 86 de la Constitución que establece que toda persona tiene derecho a la acción de tutela para solicitar la protección de sus “derechos constitucionales fundamentales”, y que en los casos en que la acción se ejerce contra providencias judiciales significa que el cuestionamiento debe, efectivamente, tratarse de una presunta afectación de derechos fundamentales, toda vez que, </w:t>
      </w:r>
      <w:r w:rsidR="00130A7F">
        <w:rPr>
          <w:rFonts w:ascii="Arial" w:hAnsi="Arial" w:cs="Arial"/>
          <w:lang w:val="es-ES"/>
        </w:rPr>
        <w:t>como lo ha establecido la Corte Constitucional, “la función del juez de tutela no es la de fungir como una instancia adicional del procedimiento judicial que se cuestiona, pues ello desconocería la competencia y finalidad de administración de justicia por parte de los jueces naturales, así como su autonomía funcional”</w:t>
      </w:r>
      <w:r w:rsidR="00130A7F">
        <w:rPr>
          <w:rFonts w:ascii="Arial" w:hAnsi="Arial" w:cs="Arial"/>
          <w:vertAlign w:val="superscript"/>
          <w:lang w:val="es-ES"/>
        </w:rPr>
        <w:footnoteReference w:id="18"/>
      </w:r>
      <w:r w:rsidR="00130A7F">
        <w:rPr>
          <w:rFonts w:ascii="Arial" w:hAnsi="Arial" w:cs="Arial"/>
          <w:lang w:val="es-ES"/>
        </w:rPr>
        <w:t>.</w:t>
      </w:r>
    </w:p>
    <w:p w:rsidR="00130A7F" w:rsidRDefault="00130A7F" w:rsidP="00130A7F">
      <w:pPr>
        <w:pStyle w:val="paragraph"/>
        <w:jc w:val="both"/>
        <w:textAlignment w:val="baseline"/>
        <w:rPr>
          <w:rFonts w:ascii="Arial" w:hAnsi="Arial" w:cs="Arial"/>
        </w:rPr>
      </w:pPr>
      <w:r>
        <w:rPr>
          <w:rFonts w:ascii="Arial" w:hAnsi="Arial" w:cs="Arial"/>
        </w:rPr>
        <w:t>De acuerdo con la jurisprudencia constitucional, este requisito persigue, como mínimo, tres finalidades, las cuales son: “(i) preservar la competencia y la independencia de los jueces de las jurisdicciones diferentes a la constitucional</w:t>
      </w:r>
      <w:r>
        <w:rPr>
          <w:rStyle w:val="Refdenotaalpie"/>
          <w:rFonts w:ascii="Arial" w:hAnsi="Arial" w:cs="Arial"/>
        </w:rPr>
        <w:footnoteReference w:id="19"/>
      </w:r>
      <w:r>
        <w:rPr>
          <w:rFonts w:ascii="Arial" w:hAnsi="Arial" w:cs="Arial"/>
        </w:rPr>
        <w:t xml:space="preserve"> y, por tanto, evitar que la acción de tutela se utilice para discutir asuntos de mera legalidad</w:t>
      </w:r>
      <w:r>
        <w:rPr>
          <w:rStyle w:val="Refdenotaalpie"/>
          <w:rFonts w:ascii="Arial" w:hAnsi="Arial" w:cs="Arial"/>
        </w:rPr>
        <w:footnoteReference w:id="20"/>
      </w:r>
      <w:r>
        <w:rPr>
          <w:rFonts w:ascii="Arial" w:hAnsi="Arial" w:cs="Arial"/>
        </w:rPr>
        <w:t xml:space="preserve">; (ii) restringir el ejercicio de la acción de tutela a cuestiones de relevancia </w:t>
      </w:r>
      <w:r>
        <w:rPr>
          <w:rFonts w:ascii="Arial" w:hAnsi="Arial" w:cs="Arial"/>
        </w:rPr>
        <w:lastRenderedPageBreak/>
        <w:t>constitucional que afecten los derechos fundamentales</w:t>
      </w:r>
      <w:r>
        <w:rPr>
          <w:rStyle w:val="Refdenotaalpie"/>
          <w:rFonts w:ascii="Arial" w:hAnsi="Arial" w:cs="Arial"/>
        </w:rPr>
        <w:footnoteReference w:id="21"/>
      </w:r>
      <w:r>
        <w:rPr>
          <w:rFonts w:ascii="Arial" w:hAnsi="Arial" w:cs="Arial"/>
        </w:rPr>
        <w:t xml:space="preserve"> y, finalmente, (iii) impedir que la acción de tutela se convierta en una instancia o recurso adicional para controvertir las decisiones de los jueces</w:t>
      </w:r>
      <w:r>
        <w:rPr>
          <w:rStyle w:val="Refdenotaalpie"/>
          <w:rFonts w:ascii="Arial" w:hAnsi="Arial" w:cs="Arial"/>
        </w:rPr>
        <w:footnoteReference w:id="22"/>
      </w:r>
      <w:r>
        <w:rPr>
          <w:rFonts w:ascii="Arial" w:hAnsi="Arial" w:cs="Arial"/>
        </w:rPr>
        <w:t>”</w:t>
      </w:r>
      <w:r>
        <w:rPr>
          <w:rStyle w:val="Refdenotaalpie"/>
          <w:rFonts w:ascii="Arial" w:hAnsi="Arial" w:cs="Arial"/>
        </w:rPr>
        <w:footnoteReference w:id="23"/>
      </w:r>
      <w:r>
        <w:rPr>
          <w:rFonts w:ascii="Arial" w:hAnsi="Arial" w:cs="Arial"/>
        </w:rPr>
        <w:t>.</w:t>
      </w:r>
    </w:p>
    <w:p w:rsidR="00130A7F" w:rsidRDefault="00130A7F" w:rsidP="00130A7F">
      <w:pPr>
        <w:pStyle w:val="paragraph"/>
        <w:spacing w:before="0" w:beforeAutospacing="0" w:after="0" w:afterAutospacing="0"/>
        <w:jc w:val="both"/>
        <w:textAlignment w:val="baseline"/>
        <w:rPr>
          <w:rFonts w:ascii="Arial" w:hAnsi="Arial" w:cs="Arial"/>
        </w:rPr>
      </w:pPr>
      <w:r>
        <w:rPr>
          <w:rFonts w:ascii="Arial" w:hAnsi="Arial" w:cs="Arial"/>
        </w:rPr>
        <w:t xml:space="preserve">Estas finalidades garantizan la órbita de competencia de las jurisdicciones constitucional y ordinaria, con respeto a la independencia y autonomía de los jueces. Además, este requisito evita, de contera, que la tutela se convierta en una instancia o en un recurso adicional. </w:t>
      </w:r>
      <w:r>
        <w:rPr>
          <w:rFonts w:ascii="Arial" w:hAnsi="Arial" w:cs="Arial"/>
          <w:bCs/>
        </w:rPr>
        <w:t>En ese orden, un juicio sobre relevancia constitucional exige que los accionantes se refieran a los defectos concretos en que incurrió la sentencia cuestionada, y que hubieran determinado una afectación de sus derechos fundamentales.</w:t>
      </w:r>
    </w:p>
    <w:p w:rsidR="00130A7F" w:rsidRDefault="00130A7F" w:rsidP="00130A7F">
      <w:pPr>
        <w:pStyle w:val="paragraph"/>
        <w:spacing w:before="0" w:beforeAutospacing="0" w:after="0" w:afterAutospacing="0"/>
        <w:jc w:val="both"/>
        <w:textAlignment w:val="baseline"/>
        <w:rPr>
          <w:rFonts w:ascii="Arial" w:hAnsi="Arial" w:cs="Arial"/>
          <w:bCs/>
        </w:rPr>
      </w:pPr>
    </w:p>
    <w:p w:rsidR="00612C07" w:rsidRPr="00021BEA" w:rsidRDefault="00612C07" w:rsidP="00612C07">
      <w:pPr>
        <w:spacing w:after="240"/>
        <w:textAlignment w:val="baseline"/>
        <w:rPr>
          <w:rFonts w:eastAsia="Arial Unicode MS"/>
          <w:sz w:val="24"/>
          <w:szCs w:val="24"/>
          <w:lang w:val="es-ES_tradnl" w:eastAsia="es-ES"/>
        </w:rPr>
      </w:pPr>
      <w:r>
        <w:rPr>
          <w:rFonts w:eastAsia="Times New Roman"/>
          <w:sz w:val="24"/>
          <w:szCs w:val="24"/>
          <w:lang w:eastAsia="es-CO"/>
        </w:rPr>
        <w:t>2.</w:t>
      </w:r>
      <w:r w:rsidR="00ED7EC6">
        <w:rPr>
          <w:rFonts w:eastAsia="Times New Roman"/>
          <w:sz w:val="24"/>
          <w:szCs w:val="24"/>
          <w:lang w:eastAsia="es-CO"/>
        </w:rPr>
        <w:t>4</w:t>
      </w:r>
      <w:r>
        <w:rPr>
          <w:rFonts w:eastAsia="Times New Roman"/>
          <w:sz w:val="24"/>
          <w:szCs w:val="24"/>
          <w:lang w:eastAsia="es-CO"/>
        </w:rPr>
        <w:t xml:space="preserve">.1. </w:t>
      </w:r>
      <w:r w:rsidR="003F03BC">
        <w:rPr>
          <w:rFonts w:eastAsia="Times New Roman"/>
          <w:sz w:val="24"/>
          <w:szCs w:val="24"/>
          <w:lang w:eastAsia="es-CO"/>
        </w:rPr>
        <w:t>Alberto de Jesús Martelo Camacho</w:t>
      </w:r>
      <w:r w:rsidRPr="008D6AC2">
        <w:rPr>
          <w:rFonts w:eastAsia="Arial Unicode MS"/>
          <w:sz w:val="24"/>
          <w:szCs w:val="24"/>
          <w:lang w:val="es-ES" w:eastAsia="es-ES"/>
        </w:rPr>
        <w:t xml:space="preserve"> consideró que </w:t>
      </w:r>
      <w:r w:rsidR="00130A7F">
        <w:rPr>
          <w:rFonts w:eastAsia="Arial Unicode MS"/>
          <w:sz w:val="24"/>
          <w:szCs w:val="24"/>
          <w:lang w:val="es-ES" w:eastAsia="es-ES"/>
        </w:rPr>
        <w:t xml:space="preserve">la Subsección B de la Sección Tercera de esta Corporación </w:t>
      </w:r>
      <w:r w:rsidRPr="008D6AC2">
        <w:rPr>
          <w:rFonts w:eastAsia="Arial Unicode MS"/>
          <w:sz w:val="24"/>
          <w:szCs w:val="24"/>
          <w:lang w:val="es-ES" w:eastAsia="es-ES"/>
        </w:rPr>
        <w:t>vulneró sus derechos fundamentales</w:t>
      </w:r>
      <w:r w:rsidR="00B50B1C">
        <w:rPr>
          <w:rFonts w:eastAsia="Arial Unicode MS"/>
          <w:sz w:val="24"/>
          <w:szCs w:val="24"/>
          <w:lang w:val="es-ES" w:eastAsia="es-ES"/>
        </w:rPr>
        <w:t xml:space="preserve"> al debido proceso y al acceso a la administración de justicia</w:t>
      </w:r>
      <w:r w:rsidRPr="008D6AC2">
        <w:rPr>
          <w:rFonts w:eastAsia="Arial Unicode MS"/>
          <w:sz w:val="24"/>
          <w:szCs w:val="24"/>
          <w:lang w:val="es-ES" w:eastAsia="es-ES"/>
        </w:rPr>
        <w:t xml:space="preserve">, </w:t>
      </w:r>
      <w:r>
        <w:rPr>
          <w:rFonts w:eastAsia="Arial Unicode MS"/>
          <w:sz w:val="24"/>
          <w:szCs w:val="24"/>
          <w:lang w:val="es-ES" w:eastAsia="es-ES"/>
        </w:rPr>
        <w:t xml:space="preserve">pues, como quedó expuesto </w:t>
      </w:r>
      <w:r w:rsidRPr="008D6AC2">
        <w:rPr>
          <w:rFonts w:eastAsia="Arial Unicode MS"/>
          <w:sz w:val="24"/>
          <w:szCs w:val="24"/>
          <w:lang w:val="es-ES" w:eastAsia="es-ES"/>
        </w:rPr>
        <w:t xml:space="preserve">en el numeral 1.4 de esta providencia, dicha </w:t>
      </w:r>
      <w:r w:rsidRPr="009F0218">
        <w:rPr>
          <w:rFonts w:eastAsia="Arial Unicode MS"/>
          <w:sz w:val="24"/>
          <w:szCs w:val="24"/>
          <w:lang w:val="es-ES" w:eastAsia="es-ES"/>
        </w:rPr>
        <w:t>autoridad,</w:t>
      </w:r>
      <w:r>
        <w:rPr>
          <w:rFonts w:eastAsia="Arial Unicode MS"/>
          <w:sz w:val="24"/>
          <w:szCs w:val="24"/>
          <w:lang w:val="es-ES" w:eastAsia="es-ES"/>
        </w:rPr>
        <w:t xml:space="preserve"> a su juicio,</w:t>
      </w:r>
      <w:r w:rsidRPr="008D6AC2">
        <w:rPr>
          <w:rFonts w:eastAsia="Arial Unicode MS"/>
          <w:sz w:val="24"/>
          <w:szCs w:val="24"/>
          <w:lang w:val="es-ES" w:eastAsia="es-ES"/>
        </w:rPr>
        <w:t xml:space="preserve"> incurrió en</w:t>
      </w:r>
      <w:r w:rsidR="00021BEA">
        <w:rPr>
          <w:rFonts w:eastAsia="Arial Unicode MS"/>
          <w:sz w:val="24"/>
          <w:szCs w:val="24"/>
          <w:lang w:val="es-ES" w:eastAsia="es-ES"/>
        </w:rPr>
        <w:t xml:space="preserve"> un defecto por desconocimiento del precedente en la medida que no tuvo en cuenta </w:t>
      </w:r>
      <w:r w:rsidR="00021BEA">
        <w:rPr>
          <w:rFonts w:eastAsia="Verdana"/>
          <w:bCs/>
          <w:sz w:val="24"/>
          <w:szCs w:val="24"/>
        </w:rPr>
        <w:t>las sentencias del 5 de julio de 2018 proferidas por la Subsección C de la Sección Tercera del Consejo de Estado</w:t>
      </w:r>
      <w:r w:rsidR="00021BEA">
        <w:rPr>
          <w:rStyle w:val="Refdenotaalpie"/>
          <w:rFonts w:eastAsia="Verdana"/>
          <w:bCs/>
          <w:sz w:val="24"/>
          <w:szCs w:val="24"/>
        </w:rPr>
        <w:footnoteReference w:id="24"/>
      </w:r>
      <w:r w:rsidR="00021BEA">
        <w:rPr>
          <w:rFonts w:eastAsia="Verdana"/>
          <w:bCs/>
          <w:sz w:val="24"/>
          <w:szCs w:val="24"/>
        </w:rPr>
        <w:t xml:space="preserve"> en las que fue declarada la responsabilidad administrativa y patrimonial del Estado por las actuaciones y omisiones de sus agentes</w:t>
      </w:r>
      <w:r w:rsidR="00B50B1C">
        <w:rPr>
          <w:rFonts w:eastAsia="Verdana"/>
          <w:bCs/>
          <w:sz w:val="24"/>
          <w:szCs w:val="24"/>
        </w:rPr>
        <w:t xml:space="preserve">- Y agregó que </w:t>
      </w:r>
      <w:r w:rsidR="00555EF4">
        <w:rPr>
          <w:rFonts w:eastAsia="Verdana"/>
          <w:bCs/>
          <w:sz w:val="24"/>
          <w:szCs w:val="24"/>
        </w:rPr>
        <w:t xml:space="preserve">el juez no acudió al principio de </w:t>
      </w:r>
      <w:proofErr w:type="spellStart"/>
      <w:r w:rsidR="00021BEA">
        <w:rPr>
          <w:rFonts w:eastAsia="Verdana"/>
          <w:bCs/>
          <w:i/>
          <w:iCs/>
          <w:sz w:val="24"/>
          <w:szCs w:val="24"/>
        </w:rPr>
        <w:t>iura</w:t>
      </w:r>
      <w:proofErr w:type="spellEnd"/>
      <w:r w:rsidR="00021BEA">
        <w:rPr>
          <w:rFonts w:eastAsia="Verdana"/>
          <w:bCs/>
          <w:i/>
          <w:iCs/>
          <w:sz w:val="24"/>
          <w:szCs w:val="24"/>
        </w:rPr>
        <w:t xml:space="preserve"> </w:t>
      </w:r>
      <w:proofErr w:type="spellStart"/>
      <w:r w:rsidR="00021BEA">
        <w:rPr>
          <w:rFonts w:eastAsia="Verdana"/>
          <w:bCs/>
          <w:i/>
          <w:iCs/>
          <w:sz w:val="24"/>
          <w:szCs w:val="24"/>
        </w:rPr>
        <w:t>novit</w:t>
      </w:r>
      <w:proofErr w:type="spellEnd"/>
      <w:r w:rsidR="00555EF4">
        <w:rPr>
          <w:rFonts w:eastAsia="Verdana"/>
          <w:bCs/>
          <w:i/>
          <w:iCs/>
          <w:sz w:val="24"/>
          <w:szCs w:val="24"/>
        </w:rPr>
        <w:t xml:space="preserve"> </w:t>
      </w:r>
      <w:r w:rsidR="00555EF4">
        <w:rPr>
          <w:rFonts w:eastAsia="Verdana"/>
          <w:bCs/>
          <w:iCs/>
          <w:sz w:val="24"/>
          <w:szCs w:val="24"/>
        </w:rPr>
        <w:t xml:space="preserve">para resolver la controversia, con lo cual desconoció las circunstancias que fueron plenamente demostradas y que daban cuenta de la responsabilidad de la demandada. </w:t>
      </w:r>
    </w:p>
    <w:p w:rsidR="00C4603F" w:rsidRDefault="009565C3" w:rsidP="008561CA">
      <w:pPr>
        <w:rPr>
          <w:sz w:val="24"/>
          <w:szCs w:val="24"/>
        </w:rPr>
      </w:pPr>
      <w:r>
        <w:rPr>
          <w:sz w:val="24"/>
          <w:szCs w:val="24"/>
          <w:lang w:val="es-MX"/>
        </w:rPr>
        <w:t>2.</w:t>
      </w:r>
      <w:r w:rsidR="00ED7EC6">
        <w:rPr>
          <w:sz w:val="24"/>
          <w:szCs w:val="24"/>
          <w:lang w:val="es-MX"/>
        </w:rPr>
        <w:t>4</w:t>
      </w:r>
      <w:r>
        <w:rPr>
          <w:sz w:val="24"/>
          <w:szCs w:val="24"/>
          <w:lang w:val="es-MX"/>
        </w:rPr>
        <w:t>.</w:t>
      </w:r>
      <w:r w:rsidR="0081338F">
        <w:rPr>
          <w:sz w:val="24"/>
          <w:szCs w:val="24"/>
          <w:lang w:val="es-MX"/>
        </w:rPr>
        <w:t>1.1</w:t>
      </w:r>
      <w:r>
        <w:rPr>
          <w:sz w:val="24"/>
          <w:szCs w:val="24"/>
          <w:lang w:val="es-MX"/>
        </w:rPr>
        <w:t>.</w:t>
      </w:r>
      <w:r w:rsidR="002A3D0A">
        <w:rPr>
          <w:sz w:val="24"/>
          <w:szCs w:val="24"/>
          <w:lang w:val="es-MX"/>
        </w:rPr>
        <w:t xml:space="preserve"> </w:t>
      </w:r>
      <w:r w:rsidR="008561CA">
        <w:rPr>
          <w:rFonts w:eastAsia="Arial Unicode MS"/>
          <w:bCs/>
          <w:sz w:val="24"/>
          <w:szCs w:val="24"/>
          <w:lang w:val="es-ES_tradnl" w:eastAsia="es-ES"/>
        </w:rPr>
        <w:t xml:space="preserve">En este contexto, es preciso reiterar que un juicio sobre la relevancia constitucional exige que </w:t>
      </w:r>
      <w:r w:rsidR="009F0218">
        <w:rPr>
          <w:rFonts w:eastAsia="Arial Unicode MS"/>
          <w:bCs/>
          <w:sz w:val="24"/>
          <w:szCs w:val="24"/>
          <w:lang w:val="es-ES_tradnl" w:eastAsia="es-ES"/>
        </w:rPr>
        <w:t>el accionante se refiera</w:t>
      </w:r>
      <w:r w:rsidR="008561CA">
        <w:rPr>
          <w:rFonts w:eastAsia="Arial Unicode MS"/>
          <w:bCs/>
          <w:sz w:val="24"/>
          <w:szCs w:val="24"/>
          <w:lang w:val="es-ES_tradnl" w:eastAsia="es-ES"/>
        </w:rPr>
        <w:t xml:space="preserve"> a los defectos concretos en que incurrió la sentencia </w:t>
      </w:r>
      <w:r w:rsidR="009F0218">
        <w:rPr>
          <w:rFonts w:eastAsia="Arial Unicode MS"/>
          <w:bCs/>
          <w:sz w:val="24"/>
          <w:szCs w:val="24"/>
          <w:lang w:val="es-ES_tradnl" w:eastAsia="es-ES"/>
        </w:rPr>
        <w:t>objeto de tutela</w:t>
      </w:r>
      <w:r w:rsidR="008561CA">
        <w:rPr>
          <w:rFonts w:eastAsia="Arial Unicode MS"/>
          <w:bCs/>
          <w:sz w:val="24"/>
          <w:szCs w:val="24"/>
          <w:lang w:val="es-ES_tradnl" w:eastAsia="es-ES"/>
        </w:rPr>
        <w:t xml:space="preserve">, y que </w:t>
      </w:r>
      <w:r w:rsidR="009F0218">
        <w:rPr>
          <w:rFonts w:eastAsia="Arial Unicode MS"/>
          <w:bCs/>
          <w:sz w:val="24"/>
          <w:szCs w:val="24"/>
          <w:lang w:val="es-ES_tradnl" w:eastAsia="es-ES"/>
        </w:rPr>
        <w:t>sustenten</w:t>
      </w:r>
      <w:r w:rsidR="008561CA">
        <w:rPr>
          <w:rFonts w:eastAsia="Arial Unicode MS"/>
          <w:bCs/>
          <w:sz w:val="24"/>
          <w:szCs w:val="24"/>
          <w:lang w:val="es-ES_tradnl" w:eastAsia="es-ES"/>
        </w:rPr>
        <w:t xml:space="preserve"> una afectación de sus derechos fundamentales. E</w:t>
      </w:r>
      <w:r w:rsidR="008561CA">
        <w:rPr>
          <w:rFonts w:eastAsia="Arial Unicode MS"/>
          <w:bCs/>
          <w:sz w:val="24"/>
          <w:szCs w:val="24"/>
          <w:lang w:eastAsia="es-ES"/>
        </w:rPr>
        <w:t xml:space="preserve">n términos </w:t>
      </w:r>
      <w:r w:rsidR="008561CA">
        <w:rPr>
          <w:sz w:val="24"/>
          <w:szCs w:val="24"/>
        </w:rPr>
        <w:t>del defecto por desconocimiento del precedente, la Corte ha indicado que este, “</w:t>
      </w:r>
      <w:r w:rsidR="008561CA" w:rsidRPr="009A56C0">
        <w:rPr>
          <w:sz w:val="24"/>
          <w:szCs w:val="24"/>
        </w:rPr>
        <w:t>se configura cuando el funcionario judicial se aparta de las sentencias emitidos [sic] por los tribunales de cierre (precedente vertical) o los dictados por ellos mismos (precedente horizontal) al momento de resolver asuntos que presentan una situación fáctica similar a los decididos en aquellas providencias, sin exponer las razones jurídicas que justifiquen el cambio de jurisprudencia”</w:t>
      </w:r>
      <w:r w:rsidR="008561CA" w:rsidRPr="009A56C0">
        <w:rPr>
          <w:sz w:val="24"/>
          <w:szCs w:val="24"/>
          <w:vertAlign w:val="superscript"/>
        </w:rPr>
        <w:footnoteReference w:id="25"/>
      </w:r>
      <w:r w:rsidR="008561CA" w:rsidRPr="009A56C0">
        <w:rPr>
          <w:sz w:val="24"/>
          <w:szCs w:val="24"/>
        </w:rPr>
        <w:t xml:space="preserve">. Por tanto, la invocación de un precedente está determinado por la especialidad, de manera que sea el órgano de cierre que defina los criterios y reglas aplicables en casos semejantes, o, en el caso del precedente horizontal, los órganos judiciales deben resolver los asuntos que conocen a partir de un criterio de igualdad. </w:t>
      </w:r>
    </w:p>
    <w:p w:rsidR="00C4603F" w:rsidRDefault="00C4603F" w:rsidP="008561CA">
      <w:pPr>
        <w:rPr>
          <w:sz w:val="24"/>
          <w:szCs w:val="24"/>
        </w:rPr>
      </w:pPr>
    </w:p>
    <w:p w:rsidR="008561CA" w:rsidRPr="009A56C0" w:rsidRDefault="008561CA" w:rsidP="008561CA">
      <w:pPr>
        <w:rPr>
          <w:sz w:val="24"/>
          <w:szCs w:val="24"/>
        </w:rPr>
      </w:pPr>
      <w:r w:rsidRPr="009A56C0">
        <w:rPr>
          <w:sz w:val="24"/>
          <w:szCs w:val="24"/>
        </w:rPr>
        <w:t xml:space="preserve">Por otro lado, la Corte ha dicho que, el </w:t>
      </w:r>
      <w:r w:rsidRPr="009A56C0">
        <w:rPr>
          <w:sz w:val="24"/>
          <w:szCs w:val="24"/>
          <w:lang w:val="es-ES"/>
        </w:rPr>
        <w:t>precedente constitucional no constituye una obligatoriedad absoluta, pues debido al principio de la autonomía judicial, el juez puede apartarse de aquellos, siempre y cuando presente </w:t>
      </w:r>
      <w:r w:rsidRPr="009A56C0">
        <w:rPr>
          <w:b/>
          <w:bCs/>
          <w:sz w:val="24"/>
          <w:szCs w:val="24"/>
          <w:lang w:val="es-ES"/>
        </w:rPr>
        <w:t>(i)</w:t>
      </w:r>
      <w:r w:rsidRPr="009A56C0">
        <w:rPr>
          <w:sz w:val="24"/>
          <w:szCs w:val="24"/>
          <w:lang w:val="es-ES"/>
        </w:rPr>
        <w:t> de forma explícita las </w:t>
      </w:r>
      <w:r w:rsidRPr="009A56C0">
        <w:rPr>
          <w:sz w:val="24"/>
          <w:szCs w:val="24"/>
        </w:rPr>
        <w:t>razones por las cuales se separa de aquellos, y </w:t>
      </w:r>
      <w:r w:rsidRPr="009A56C0">
        <w:rPr>
          <w:b/>
          <w:bCs/>
          <w:sz w:val="24"/>
          <w:szCs w:val="24"/>
        </w:rPr>
        <w:t>(ii)</w:t>
      </w:r>
      <w:r w:rsidRPr="009A56C0">
        <w:rPr>
          <w:sz w:val="24"/>
          <w:szCs w:val="24"/>
        </w:rPr>
        <w:t xml:space="preserve"> demuestre con suficiencia que su interpretación aporta un mejor desarrollo a los derechos y principios constitucionales. </w:t>
      </w:r>
    </w:p>
    <w:p w:rsidR="008561CA" w:rsidRDefault="008561CA" w:rsidP="008561CA">
      <w:pPr>
        <w:rPr>
          <w:b/>
          <w:sz w:val="24"/>
          <w:szCs w:val="24"/>
        </w:rPr>
      </w:pPr>
    </w:p>
    <w:p w:rsidR="008561CA" w:rsidRDefault="008561CA" w:rsidP="008561CA">
      <w:pPr>
        <w:overflowPunct w:val="0"/>
        <w:autoSpaceDE w:val="0"/>
        <w:autoSpaceDN w:val="0"/>
        <w:adjustRightInd w:val="0"/>
        <w:rPr>
          <w:sz w:val="24"/>
          <w:szCs w:val="24"/>
        </w:rPr>
      </w:pPr>
      <w:r>
        <w:rPr>
          <w:rFonts w:eastAsia="Arial Unicode MS"/>
          <w:bCs/>
          <w:sz w:val="24"/>
          <w:szCs w:val="24"/>
          <w:lang w:val="es-ES_tradnl" w:eastAsia="es-ES"/>
        </w:rPr>
        <w:t xml:space="preserve">Así las cosas, el señor Jesús Martelo Camacho no dirigió sus argumentos contra las razones concretas que expuso la autoridad cuestionada y que sustentaron su decisión, las cuales se pueden sintetizar en que: </w:t>
      </w:r>
      <w:r>
        <w:rPr>
          <w:sz w:val="24"/>
          <w:szCs w:val="24"/>
        </w:rPr>
        <w:t xml:space="preserve">i) </w:t>
      </w:r>
      <w:r w:rsidR="00CE1A1C">
        <w:rPr>
          <w:sz w:val="24"/>
          <w:szCs w:val="24"/>
        </w:rPr>
        <w:t>la parte demandante no probó la relación existente entre los daños sufridos, las deficiencias aludidas y atribuidas a la demandada y el desbordamiento del río Cauca</w:t>
      </w:r>
      <w:r w:rsidR="00AA2C95">
        <w:rPr>
          <w:sz w:val="24"/>
          <w:szCs w:val="24"/>
        </w:rPr>
        <w:t>; y ii) la sentencia del 5 de julio de 2018 proferida por la Subsección C del Consejo de Estado dentro del proceso con radicado interno número 51960 declaró patrimonialmente responsable al INVIAS con fundamento en las pruebas allegadas al proceso, lo que no ocurrió en el caso concreto, en la medida que, los predios eran diferentes y el acer</w:t>
      </w:r>
      <w:r w:rsidR="00614DF3">
        <w:rPr>
          <w:sz w:val="24"/>
          <w:szCs w:val="24"/>
        </w:rPr>
        <w:t>v</w:t>
      </w:r>
      <w:r w:rsidR="00AA2C95">
        <w:rPr>
          <w:sz w:val="24"/>
          <w:szCs w:val="24"/>
        </w:rPr>
        <w:t xml:space="preserve">o probatorio allegado daba cuenta de los daños </w:t>
      </w:r>
      <w:r w:rsidR="00ED7EC6">
        <w:rPr>
          <w:sz w:val="24"/>
          <w:szCs w:val="24"/>
        </w:rPr>
        <w:t>ocasionados,</w:t>
      </w:r>
      <w:r w:rsidR="00AA2C95">
        <w:rPr>
          <w:sz w:val="24"/>
          <w:szCs w:val="24"/>
        </w:rPr>
        <w:t xml:space="preserve"> pero de su análisis no era viable concluir que las causas de la inundación eran atribuibles a la </w:t>
      </w:r>
      <w:r w:rsidR="00C4603F">
        <w:rPr>
          <w:sz w:val="24"/>
          <w:szCs w:val="24"/>
        </w:rPr>
        <w:t xml:space="preserve">parte </w:t>
      </w:r>
      <w:r w:rsidR="00AA2C95">
        <w:rPr>
          <w:sz w:val="24"/>
          <w:szCs w:val="24"/>
        </w:rPr>
        <w:t xml:space="preserve">demandada.  </w:t>
      </w:r>
    </w:p>
    <w:p w:rsidR="008561CA" w:rsidRDefault="008561CA" w:rsidP="008561CA">
      <w:pPr>
        <w:overflowPunct w:val="0"/>
        <w:autoSpaceDE w:val="0"/>
        <w:autoSpaceDN w:val="0"/>
        <w:adjustRightInd w:val="0"/>
        <w:rPr>
          <w:sz w:val="24"/>
          <w:szCs w:val="24"/>
        </w:rPr>
      </w:pPr>
    </w:p>
    <w:p w:rsidR="008561CA" w:rsidRDefault="008561CA" w:rsidP="008561CA">
      <w:pPr>
        <w:overflowPunct w:val="0"/>
        <w:autoSpaceDE w:val="0"/>
        <w:autoSpaceDN w:val="0"/>
        <w:adjustRightInd w:val="0"/>
        <w:rPr>
          <w:bCs/>
          <w:sz w:val="24"/>
          <w:szCs w:val="24"/>
        </w:rPr>
      </w:pPr>
      <w:r>
        <w:rPr>
          <w:sz w:val="24"/>
          <w:szCs w:val="24"/>
        </w:rPr>
        <w:t xml:space="preserve">La Sala considera que </w:t>
      </w:r>
      <w:r w:rsidR="00C4603F">
        <w:rPr>
          <w:sz w:val="24"/>
          <w:szCs w:val="24"/>
        </w:rPr>
        <w:t>el</w:t>
      </w:r>
      <w:r>
        <w:rPr>
          <w:sz w:val="24"/>
          <w:szCs w:val="24"/>
        </w:rPr>
        <w:t xml:space="preserve"> tutelante trajo a este trámite constitucional cuestionamientos que, lejos de indicar los yerros presentes en relación con las reglas jurisprudenciales aplicadas en el estudio fáctico y jurídico realizado por </w:t>
      </w:r>
      <w:r w:rsidR="00AA2C95">
        <w:rPr>
          <w:sz w:val="24"/>
          <w:szCs w:val="24"/>
        </w:rPr>
        <w:t>la Subsección B de la Sección Tercera de esta Corporación</w:t>
      </w:r>
      <w:r w:rsidRPr="00A40147">
        <w:rPr>
          <w:bCs/>
          <w:sz w:val="24"/>
          <w:szCs w:val="24"/>
        </w:rPr>
        <w:t xml:space="preserve">, en realidad plantean </w:t>
      </w:r>
      <w:r>
        <w:rPr>
          <w:bCs/>
          <w:sz w:val="24"/>
          <w:szCs w:val="24"/>
        </w:rPr>
        <w:t>sus inconformidades</w:t>
      </w:r>
      <w:r w:rsidRPr="00A40147">
        <w:rPr>
          <w:bCs/>
          <w:sz w:val="24"/>
          <w:szCs w:val="24"/>
        </w:rPr>
        <w:t xml:space="preserve"> sobre la forma de estudiar el asunto y las conclusiones</w:t>
      </w:r>
      <w:r>
        <w:rPr>
          <w:bCs/>
          <w:sz w:val="24"/>
          <w:szCs w:val="24"/>
        </w:rPr>
        <w:t xml:space="preserve"> </w:t>
      </w:r>
      <w:r w:rsidR="00614DF3">
        <w:rPr>
          <w:bCs/>
          <w:sz w:val="24"/>
          <w:szCs w:val="24"/>
        </w:rPr>
        <w:t xml:space="preserve">a las que debió llegar el juez para acceder a las pretensiones </w:t>
      </w:r>
      <w:r w:rsidR="00B63E30">
        <w:rPr>
          <w:bCs/>
          <w:sz w:val="24"/>
          <w:szCs w:val="24"/>
        </w:rPr>
        <w:t>reclamadas</w:t>
      </w:r>
      <w:r w:rsidR="00614DF3">
        <w:rPr>
          <w:bCs/>
          <w:sz w:val="24"/>
          <w:szCs w:val="24"/>
        </w:rPr>
        <w:t xml:space="preserve"> en el proceso de </w:t>
      </w:r>
      <w:r w:rsidR="00AA2C95">
        <w:rPr>
          <w:bCs/>
          <w:sz w:val="24"/>
          <w:szCs w:val="24"/>
        </w:rPr>
        <w:t>reparación directa</w:t>
      </w:r>
      <w:r>
        <w:rPr>
          <w:bCs/>
          <w:sz w:val="24"/>
          <w:szCs w:val="24"/>
        </w:rPr>
        <w:t xml:space="preserve">. </w:t>
      </w:r>
    </w:p>
    <w:p w:rsidR="008561CA" w:rsidRDefault="008561CA" w:rsidP="008561CA">
      <w:pPr>
        <w:overflowPunct w:val="0"/>
        <w:autoSpaceDE w:val="0"/>
        <w:autoSpaceDN w:val="0"/>
        <w:adjustRightInd w:val="0"/>
        <w:rPr>
          <w:bCs/>
          <w:sz w:val="24"/>
          <w:szCs w:val="24"/>
        </w:rPr>
      </w:pPr>
    </w:p>
    <w:p w:rsidR="008561CA" w:rsidRDefault="008561CA" w:rsidP="008561CA">
      <w:pPr>
        <w:overflowPunct w:val="0"/>
        <w:autoSpaceDE w:val="0"/>
        <w:autoSpaceDN w:val="0"/>
        <w:adjustRightInd w:val="0"/>
        <w:rPr>
          <w:bCs/>
          <w:sz w:val="24"/>
          <w:szCs w:val="24"/>
        </w:rPr>
      </w:pPr>
      <w:r>
        <w:rPr>
          <w:bCs/>
          <w:sz w:val="24"/>
          <w:szCs w:val="24"/>
        </w:rPr>
        <w:t xml:space="preserve">En concreto, expuso sus consideraciones respecto del análisis del caso concreto y enunció las sentencias que, </w:t>
      </w:r>
      <w:r w:rsidR="00AA2C95">
        <w:rPr>
          <w:bCs/>
          <w:sz w:val="24"/>
          <w:szCs w:val="24"/>
        </w:rPr>
        <w:t>debían ser tenidas en cuenta por estar enmarcadas en los mismos hechos de la controversia que promovió</w:t>
      </w:r>
      <w:r>
        <w:rPr>
          <w:bCs/>
          <w:sz w:val="24"/>
          <w:szCs w:val="24"/>
        </w:rPr>
        <w:t xml:space="preserve">, </w:t>
      </w:r>
      <w:r w:rsidR="00367AE7">
        <w:rPr>
          <w:bCs/>
          <w:sz w:val="24"/>
          <w:szCs w:val="24"/>
        </w:rPr>
        <w:t>sin embargo</w:t>
      </w:r>
      <w:r>
        <w:rPr>
          <w:bCs/>
          <w:sz w:val="24"/>
          <w:szCs w:val="24"/>
        </w:rPr>
        <w:t xml:space="preserve">, </w:t>
      </w:r>
      <w:r w:rsidR="00367AE7">
        <w:rPr>
          <w:bCs/>
          <w:sz w:val="24"/>
          <w:szCs w:val="24"/>
        </w:rPr>
        <w:t xml:space="preserve">contrario a lo planteado por el accionante, </w:t>
      </w:r>
      <w:r>
        <w:rPr>
          <w:bCs/>
          <w:sz w:val="24"/>
          <w:szCs w:val="24"/>
        </w:rPr>
        <w:t xml:space="preserve">los argumentos </w:t>
      </w:r>
      <w:r w:rsidR="00367AE7">
        <w:rPr>
          <w:bCs/>
          <w:sz w:val="24"/>
          <w:szCs w:val="24"/>
        </w:rPr>
        <w:t>expuestos en la sentencia objeto de tutela no permiten</w:t>
      </w:r>
      <w:r>
        <w:rPr>
          <w:bCs/>
          <w:sz w:val="24"/>
          <w:szCs w:val="24"/>
        </w:rPr>
        <w:t xml:space="preserve"> concluir que </w:t>
      </w:r>
      <w:r w:rsidR="00367AE7">
        <w:rPr>
          <w:bCs/>
          <w:sz w:val="24"/>
          <w:szCs w:val="24"/>
        </w:rPr>
        <w:t>la autoridad cuestionada</w:t>
      </w:r>
      <w:r>
        <w:rPr>
          <w:bCs/>
          <w:sz w:val="24"/>
          <w:szCs w:val="24"/>
        </w:rPr>
        <w:t xml:space="preserve"> aplicó indebidamente </w:t>
      </w:r>
      <w:r>
        <w:rPr>
          <w:sz w:val="24"/>
          <w:szCs w:val="24"/>
        </w:rPr>
        <w:t xml:space="preserve">una regla jurisprudencial. </w:t>
      </w:r>
      <w:r>
        <w:rPr>
          <w:bCs/>
          <w:sz w:val="24"/>
          <w:szCs w:val="24"/>
        </w:rPr>
        <w:t xml:space="preserve"> Esto lleva a que no se active la competencia del juez de tutela para conocer de fondo sobre el supuesto defecto, toda vez que de hacerlo supondría, más bien, un </w:t>
      </w:r>
      <w:r w:rsidR="00555EF4">
        <w:rPr>
          <w:bCs/>
          <w:sz w:val="24"/>
          <w:szCs w:val="24"/>
        </w:rPr>
        <w:t>reestudio del asunto</w:t>
      </w:r>
      <w:r>
        <w:rPr>
          <w:bCs/>
          <w:sz w:val="24"/>
          <w:szCs w:val="24"/>
        </w:rPr>
        <w:t>, que no corresponde</w:t>
      </w:r>
      <w:r w:rsidR="00555EF4">
        <w:rPr>
          <w:bCs/>
          <w:sz w:val="24"/>
          <w:szCs w:val="24"/>
        </w:rPr>
        <w:t xml:space="preserve"> efectuar </w:t>
      </w:r>
      <w:r>
        <w:rPr>
          <w:bCs/>
          <w:sz w:val="24"/>
          <w:szCs w:val="24"/>
        </w:rPr>
        <w:t xml:space="preserve">en esta instancia constitucional. </w:t>
      </w:r>
    </w:p>
    <w:p w:rsidR="00BF28CB" w:rsidRDefault="00BF28CB" w:rsidP="00BF28CB">
      <w:pPr>
        <w:overflowPunct w:val="0"/>
        <w:autoSpaceDE w:val="0"/>
        <w:autoSpaceDN w:val="0"/>
        <w:adjustRightInd w:val="0"/>
        <w:contextualSpacing/>
        <w:rPr>
          <w:bCs/>
          <w:color w:val="000000"/>
          <w:sz w:val="24"/>
          <w:szCs w:val="24"/>
        </w:rPr>
      </w:pPr>
    </w:p>
    <w:p w:rsidR="00614DF3" w:rsidRDefault="00BF28CB" w:rsidP="00BF28CB">
      <w:pPr>
        <w:overflowPunct w:val="0"/>
        <w:autoSpaceDE w:val="0"/>
        <w:autoSpaceDN w:val="0"/>
        <w:adjustRightInd w:val="0"/>
        <w:contextualSpacing/>
        <w:rPr>
          <w:rFonts w:eastAsia="Verdana"/>
          <w:sz w:val="24"/>
          <w:szCs w:val="24"/>
        </w:rPr>
      </w:pPr>
      <w:r>
        <w:rPr>
          <w:b/>
          <w:bCs/>
          <w:sz w:val="24"/>
          <w:szCs w:val="24"/>
          <w:lang w:val="es-ES_tradnl"/>
        </w:rPr>
        <w:t>2.</w:t>
      </w:r>
      <w:r w:rsidR="00ED7EC6">
        <w:rPr>
          <w:b/>
          <w:bCs/>
          <w:sz w:val="24"/>
          <w:szCs w:val="24"/>
          <w:lang w:val="es-ES_tradnl"/>
        </w:rPr>
        <w:t>5</w:t>
      </w:r>
      <w:r>
        <w:rPr>
          <w:b/>
          <w:bCs/>
          <w:sz w:val="24"/>
          <w:szCs w:val="24"/>
          <w:lang w:val="es-ES_tradnl"/>
        </w:rPr>
        <w:t xml:space="preserve">. </w:t>
      </w:r>
      <w:r w:rsidRPr="003A4293">
        <w:rPr>
          <w:rFonts w:eastAsia="Verdana"/>
          <w:sz w:val="24"/>
          <w:szCs w:val="24"/>
        </w:rPr>
        <w:t xml:space="preserve">En este contexto, </w:t>
      </w:r>
      <w:r>
        <w:rPr>
          <w:rFonts w:eastAsia="Verdana"/>
          <w:sz w:val="24"/>
          <w:szCs w:val="24"/>
        </w:rPr>
        <w:t>l</w:t>
      </w:r>
      <w:r w:rsidRPr="0065354E">
        <w:rPr>
          <w:rFonts w:eastAsia="Verdana"/>
          <w:sz w:val="24"/>
          <w:szCs w:val="24"/>
        </w:rPr>
        <w:t xml:space="preserve">a </w:t>
      </w:r>
      <w:r>
        <w:rPr>
          <w:rFonts w:eastAsia="Verdana"/>
          <w:sz w:val="24"/>
          <w:szCs w:val="24"/>
        </w:rPr>
        <w:t>pretensión</w:t>
      </w:r>
      <w:r w:rsidRPr="0065354E">
        <w:rPr>
          <w:rFonts w:eastAsia="Verdana"/>
          <w:sz w:val="24"/>
          <w:szCs w:val="24"/>
        </w:rPr>
        <w:t xml:space="preserve"> </w:t>
      </w:r>
      <w:r>
        <w:rPr>
          <w:rFonts w:eastAsia="Verdana"/>
          <w:sz w:val="24"/>
          <w:szCs w:val="24"/>
        </w:rPr>
        <w:t>d</w:t>
      </w:r>
      <w:r w:rsidR="00367AE7">
        <w:rPr>
          <w:rFonts w:eastAsia="Verdana"/>
          <w:sz w:val="24"/>
          <w:szCs w:val="24"/>
        </w:rPr>
        <w:t>el</w:t>
      </w:r>
      <w:r>
        <w:rPr>
          <w:rFonts w:eastAsia="Verdana"/>
          <w:sz w:val="24"/>
          <w:szCs w:val="24"/>
        </w:rPr>
        <w:t xml:space="preserve"> accionante va encaminada a </w:t>
      </w:r>
      <w:r w:rsidRPr="0065354E">
        <w:rPr>
          <w:rFonts w:eastAsia="Verdana"/>
          <w:sz w:val="24"/>
          <w:szCs w:val="24"/>
        </w:rPr>
        <w:t>que,</w:t>
      </w:r>
      <w:r>
        <w:rPr>
          <w:rFonts w:eastAsia="Verdana"/>
          <w:sz w:val="24"/>
          <w:szCs w:val="24"/>
        </w:rPr>
        <w:t xml:space="preserve"> el</w:t>
      </w:r>
      <w:r w:rsidRPr="0065354E">
        <w:rPr>
          <w:rFonts w:eastAsia="Verdana"/>
          <w:sz w:val="24"/>
          <w:szCs w:val="24"/>
        </w:rPr>
        <w:t xml:space="preserve"> juez de amparo haga una nueva revisión </w:t>
      </w:r>
      <w:r>
        <w:rPr>
          <w:rFonts w:eastAsia="Verdana"/>
          <w:sz w:val="24"/>
          <w:szCs w:val="24"/>
        </w:rPr>
        <w:t>del asunto</w:t>
      </w:r>
      <w:r w:rsidRPr="0065354E">
        <w:rPr>
          <w:rFonts w:eastAsia="Verdana"/>
          <w:sz w:val="24"/>
          <w:szCs w:val="24"/>
        </w:rPr>
        <w:t>, a partir de sus propias consideraciones como si se tratara de una instancia adicional</w:t>
      </w:r>
      <w:r w:rsidR="00614DF3">
        <w:rPr>
          <w:rFonts w:eastAsia="Verdana"/>
          <w:sz w:val="24"/>
          <w:szCs w:val="24"/>
        </w:rPr>
        <w:t xml:space="preserve"> y desconociendo que el juicio de revisión de la </w:t>
      </w:r>
      <w:r w:rsidR="00DF3BDB">
        <w:rPr>
          <w:rFonts w:eastAsia="Verdana"/>
          <w:sz w:val="24"/>
          <w:szCs w:val="24"/>
        </w:rPr>
        <w:t>providencia</w:t>
      </w:r>
      <w:r w:rsidR="00614DF3">
        <w:rPr>
          <w:rFonts w:eastAsia="Verdana"/>
          <w:sz w:val="24"/>
          <w:szCs w:val="24"/>
        </w:rPr>
        <w:t xml:space="preserve"> es un juicio de validez y no de corrección de </w:t>
      </w:r>
      <w:r w:rsidR="00B22691">
        <w:rPr>
          <w:rFonts w:eastAsia="Verdana"/>
          <w:sz w:val="24"/>
          <w:szCs w:val="24"/>
        </w:rPr>
        <w:t>esta</w:t>
      </w:r>
      <w:r w:rsidR="00614DF3">
        <w:rPr>
          <w:rStyle w:val="Refdenotaalpie"/>
          <w:rFonts w:eastAsia="Verdana"/>
          <w:sz w:val="24"/>
          <w:szCs w:val="24"/>
        </w:rPr>
        <w:footnoteReference w:id="26"/>
      </w:r>
      <w:r w:rsidR="00614DF3">
        <w:rPr>
          <w:rFonts w:eastAsia="Verdana"/>
          <w:sz w:val="24"/>
          <w:szCs w:val="24"/>
        </w:rPr>
        <w:t xml:space="preserve">. </w:t>
      </w:r>
    </w:p>
    <w:p w:rsidR="00555EF4" w:rsidRDefault="00555EF4" w:rsidP="00BF28CB">
      <w:pPr>
        <w:overflowPunct w:val="0"/>
        <w:autoSpaceDE w:val="0"/>
        <w:autoSpaceDN w:val="0"/>
        <w:adjustRightInd w:val="0"/>
        <w:contextualSpacing/>
        <w:rPr>
          <w:rFonts w:eastAsia="Verdana"/>
          <w:sz w:val="24"/>
          <w:szCs w:val="24"/>
        </w:rPr>
      </w:pPr>
      <w:bookmarkStart w:id="1" w:name="_GoBack"/>
      <w:bookmarkEnd w:id="1"/>
    </w:p>
    <w:p w:rsidR="00614DF3" w:rsidRDefault="00614DF3" w:rsidP="00614DF3">
      <w:pPr>
        <w:rPr>
          <w:sz w:val="24"/>
          <w:szCs w:val="24"/>
        </w:rPr>
      </w:pPr>
      <w:r w:rsidRPr="00EF5013">
        <w:rPr>
          <w:sz w:val="24"/>
          <w:szCs w:val="24"/>
        </w:rPr>
        <w:t>En síntesis, no demuestra</w:t>
      </w:r>
      <w:r w:rsidR="00EF5013" w:rsidRPr="00EF5013">
        <w:rPr>
          <w:sz w:val="24"/>
          <w:szCs w:val="24"/>
        </w:rPr>
        <w:t xml:space="preserve"> </w:t>
      </w:r>
      <w:r w:rsidRPr="00EF5013">
        <w:rPr>
          <w:sz w:val="24"/>
          <w:szCs w:val="24"/>
        </w:rPr>
        <w:t>el padecimiento, por causa de la sentencia proferida por la Subsección</w:t>
      </w:r>
      <w:r w:rsidR="00EF5013">
        <w:rPr>
          <w:sz w:val="24"/>
          <w:szCs w:val="24"/>
        </w:rPr>
        <w:t xml:space="preserve"> B de la Sección Tercera de Consejo de Estado, </w:t>
      </w:r>
      <w:r w:rsidRPr="00EF5013">
        <w:rPr>
          <w:sz w:val="24"/>
          <w:szCs w:val="24"/>
        </w:rPr>
        <w:t>de afectación alguna en sus derechos fundamentales, que trascienda la esfera legal y el carácter económico de la controversia. Su protesta por el “desconocimiento de los derechos fundamentales al debido proceso o al acceso a la administración de justicia</w:t>
      </w:r>
      <w:r w:rsidRPr="00EF5013">
        <w:rPr>
          <w:rStyle w:val="Refdenotaalpie"/>
          <w:sz w:val="24"/>
          <w:szCs w:val="24"/>
        </w:rPr>
        <w:footnoteReference w:id="27"/>
      </w:r>
      <w:r w:rsidRPr="00EF5013">
        <w:rPr>
          <w:sz w:val="24"/>
          <w:szCs w:val="24"/>
        </w:rPr>
        <w:t xml:space="preserve">”, se contrae finalmente, a la expresión de su inconformidad con una decisión </w:t>
      </w:r>
      <w:r w:rsidRPr="00EF5013">
        <w:rPr>
          <w:sz w:val="24"/>
          <w:szCs w:val="24"/>
        </w:rPr>
        <w:lastRenderedPageBreak/>
        <w:t xml:space="preserve">desfavorable a </w:t>
      </w:r>
      <w:r w:rsidR="00EF5013">
        <w:rPr>
          <w:sz w:val="24"/>
          <w:szCs w:val="24"/>
        </w:rPr>
        <w:t xml:space="preserve">sus </w:t>
      </w:r>
      <w:r w:rsidRPr="00EF5013">
        <w:rPr>
          <w:sz w:val="24"/>
          <w:szCs w:val="24"/>
        </w:rPr>
        <w:t>intereses</w:t>
      </w:r>
      <w:r w:rsidR="00EF5013">
        <w:rPr>
          <w:sz w:val="24"/>
          <w:szCs w:val="24"/>
        </w:rPr>
        <w:t xml:space="preserve">, </w:t>
      </w:r>
      <w:r w:rsidRPr="00EF5013">
        <w:rPr>
          <w:sz w:val="24"/>
          <w:szCs w:val="24"/>
        </w:rPr>
        <w:t>que estuvo precedida del estudio integral de los medios de prueba recaudados</w:t>
      </w:r>
      <w:r w:rsidR="00624B89">
        <w:rPr>
          <w:sz w:val="24"/>
          <w:szCs w:val="24"/>
        </w:rPr>
        <w:t>, por lo cual la pretensión de amparo se torna improcedente</w:t>
      </w:r>
      <w:r w:rsidRPr="00EF5013">
        <w:rPr>
          <w:sz w:val="24"/>
          <w:szCs w:val="24"/>
        </w:rPr>
        <w:t xml:space="preserve">.  </w:t>
      </w:r>
    </w:p>
    <w:p w:rsidR="00EF5013" w:rsidRPr="00EF5013" w:rsidRDefault="00EF5013" w:rsidP="00614DF3">
      <w:pPr>
        <w:rPr>
          <w:sz w:val="24"/>
          <w:szCs w:val="24"/>
        </w:rPr>
      </w:pPr>
    </w:p>
    <w:p w:rsidR="00BF28CB" w:rsidRPr="00766FA2" w:rsidRDefault="00BF28CB" w:rsidP="00BF28CB">
      <w:pPr>
        <w:rPr>
          <w:rFonts w:eastAsia="Times New Roman"/>
          <w:sz w:val="24"/>
          <w:szCs w:val="24"/>
          <w:lang w:eastAsia="es-CO"/>
        </w:rPr>
      </w:pPr>
      <w:r w:rsidRPr="00766FA2">
        <w:rPr>
          <w:rFonts w:eastAsia="Times New Roman"/>
          <w:sz w:val="24"/>
          <w:szCs w:val="24"/>
          <w:lang w:eastAsia="es-CO"/>
        </w:rPr>
        <w:t>En mérito de lo expuesto, el Consejo de Estado en Sala de lo Contencioso Administrativo, Sección Tercera, Subsección C, administrando justicia en nombre de la República y por autoridad de la ley,</w:t>
      </w:r>
    </w:p>
    <w:p w:rsidR="00C4603F" w:rsidRDefault="00C4603F" w:rsidP="00DC2A3C">
      <w:pPr>
        <w:tabs>
          <w:tab w:val="left" w:pos="3109"/>
        </w:tabs>
        <w:jc w:val="center"/>
        <w:rPr>
          <w:b/>
          <w:sz w:val="24"/>
          <w:szCs w:val="24"/>
          <w:lang w:val="es-ES_tradnl"/>
        </w:rPr>
      </w:pPr>
    </w:p>
    <w:p w:rsidR="00DC2A3C" w:rsidRPr="00DC2A3C" w:rsidRDefault="00DC2A3C" w:rsidP="00DC2A3C">
      <w:pPr>
        <w:tabs>
          <w:tab w:val="left" w:pos="3109"/>
        </w:tabs>
        <w:jc w:val="center"/>
        <w:rPr>
          <w:b/>
          <w:sz w:val="24"/>
          <w:szCs w:val="24"/>
          <w:lang w:val="es-ES_tradnl"/>
        </w:rPr>
      </w:pPr>
      <w:r w:rsidRPr="00DC2A3C">
        <w:rPr>
          <w:b/>
          <w:sz w:val="24"/>
          <w:szCs w:val="24"/>
          <w:lang w:val="es-ES_tradnl"/>
        </w:rPr>
        <w:t>FALLA</w:t>
      </w:r>
    </w:p>
    <w:p w:rsidR="00DC2A3C" w:rsidRPr="00DC2A3C" w:rsidRDefault="00DC2A3C" w:rsidP="00DC2A3C">
      <w:pPr>
        <w:tabs>
          <w:tab w:val="left" w:pos="3109"/>
        </w:tabs>
        <w:rPr>
          <w:iCs/>
          <w:sz w:val="24"/>
          <w:szCs w:val="24"/>
          <w:lang w:val="es-ES_tradnl"/>
        </w:rPr>
      </w:pPr>
    </w:p>
    <w:p w:rsidR="00DC2A3C" w:rsidRPr="00DC2A3C" w:rsidRDefault="00DC2A3C" w:rsidP="00DC2A3C">
      <w:pPr>
        <w:tabs>
          <w:tab w:val="left" w:pos="3109"/>
        </w:tabs>
        <w:rPr>
          <w:b/>
          <w:iCs/>
          <w:sz w:val="24"/>
          <w:szCs w:val="24"/>
        </w:rPr>
      </w:pPr>
      <w:r w:rsidRPr="00DC2A3C">
        <w:rPr>
          <w:b/>
          <w:iCs/>
          <w:sz w:val="24"/>
          <w:szCs w:val="24"/>
        </w:rPr>
        <w:t xml:space="preserve">PRIMERO: DECLARAR IMPROCEDENTE </w:t>
      </w:r>
      <w:r w:rsidRPr="00DC2A3C">
        <w:rPr>
          <w:iCs/>
          <w:sz w:val="24"/>
          <w:szCs w:val="24"/>
        </w:rPr>
        <w:t xml:space="preserve">la solicitud de amparo presentada por </w:t>
      </w:r>
      <w:r w:rsidR="00367AE7">
        <w:rPr>
          <w:iCs/>
          <w:sz w:val="24"/>
          <w:szCs w:val="24"/>
        </w:rPr>
        <w:t>Alberto de Jesús Martelo Camacho</w:t>
      </w:r>
      <w:r w:rsidRPr="00DC2A3C">
        <w:rPr>
          <w:iCs/>
          <w:sz w:val="24"/>
          <w:szCs w:val="24"/>
          <w:lang w:val="es-ES_tradnl"/>
        </w:rPr>
        <w:t xml:space="preserve">, </w:t>
      </w:r>
      <w:r w:rsidRPr="00DC2A3C">
        <w:rPr>
          <w:iCs/>
          <w:sz w:val="24"/>
          <w:szCs w:val="24"/>
        </w:rPr>
        <w:t xml:space="preserve">en contra </w:t>
      </w:r>
      <w:r w:rsidR="00367AE7">
        <w:rPr>
          <w:iCs/>
          <w:sz w:val="24"/>
          <w:szCs w:val="24"/>
        </w:rPr>
        <w:t>de la Subsección B de la Sección Tercera del Consejo de Estado</w:t>
      </w:r>
      <w:r w:rsidR="00B30110">
        <w:rPr>
          <w:iCs/>
          <w:sz w:val="24"/>
          <w:szCs w:val="24"/>
          <w:lang w:val="es-ES_tradnl"/>
        </w:rPr>
        <w:t>, p</w:t>
      </w:r>
      <w:r w:rsidRPr="00DC2A3C">
        <w:rPr>
          <w:iCs/>
          <w:sz w:val="24"/>
          <w:szCs w:val="24"/>
        </w:rPr>
        <w:t>or los motivos expuestos en las consideraciones de esta providencia</w:t>
      </w:r>
    </w:p>
    <w:p w:rsidR="00367AE7" w:rsidRDefault="00367AE7" w:rsidP="00DC2A3C">
      <w:pPr>
        <w:tabs>
          <w:tab w:val="left" w:pos="3109"/>
        </w:tabs>
        <w:rPr>
          <w:b/>
          <w:iCs/>
          <w:sz w:val="24"/>
          <w:szCs w:val="24"/>
        </w:rPr>
      </w:pPr>
    </w:p>
    <w:p w:rsidR="00DC2A3C" w:rsidRPr="00DC2A3C" w:rsidRDefault="00DC2A3C" w:rsidP="00DC2A3C">
      <w:pPr>
        <w:tabs>
          <w:tab w:val="left" w:pos="3109"/>
        </w:tabs>
        <w:rPr>
          <w:iCs/>
          <w:sz w:val="24"/>
          <w:szCs w:val="24"/>
        </w:rPr>
      </w:pPr>
      <w:r w:rsidRPr="00DC2A3C">
        <w:rPr>
          <w:b/>
          <w:iCs/>
          <w:sz w:val="24"/>
          <w:szCs w:val="24"/>
        </w:rPr>
        <w:t>SEGUNDO: NOTIFICAR</w:t>
      </w:r>
      <w:r w:rsidRPr="00DC2A3C">
        <w:rPr>
          <w:iCs/>
          <w:sz w:val="24"/>
          <w:szCs w:val="24"/>
        </w:rPr>
        <w:t xml:space="preserve"> a las partes e intervinientes en la forma prevista en el artículo 30 del Decreto Ley 2591 de 1991.</w:t>
      </w:r>
    </w:p>
    <w:p w:rsidR="00DC2A3C" w:rsidRPr="00DC2A3C" w:rsidRDefault="00DC2A3C" w:rsidP="00DC2A3C">
      <w:pPr>
        <w:tabs>
          <w:tab w:val="left" w:pos="3109"/>
        </w:tabs>
        <w:rPr>
          <w:iCs/>
          <w:sz w:val="24"/>
          <w:szCs w:val="24"/>
        </w:rPr>
      </w:pPr>
    </w:p>
    <w:p w:rsidR="00DC2A3C" w:rsidRPr="00DC2A3C" w:rsidRDefault="009A75AE" w:rsidP="00DC2A3C">
      <w:pPr>
        <w:tabs>
          <w:tab w:val="left" w:pos="3109"/>
        </w:tabs>
        <w:rPr>
          <w:iCs/>
          <w:sz w:val="24"/>
          <w:szCs w:val="24"/>
        </w:rPr>
      </w:pPr>
      <w:r>
        <w:rPr>
          <w:b/>
          <w:iCs/>
          <w:sz w:val="24"/>
          <w:szCs w:val="24"/>
        </w:rPr>
        <w:t>TERCERO</w:t>
      </w:r>
      <w:r w:rsidR="00DC2A3C" w:rsidRPr="00DC2A3C">
        <w:rPr>
          <w:b/>
          <w:iCs/>
          <w:sz w:val="24"/>
          <w:szCs w:val="24"/>
        </w:rPr>
        <w:t>: REMITIR</w:t>
      </w:r>
      <w:r w:rsidR="00DC2A3C" w:rsidRPr="00DC2A3C">
        <w:rPr>
          <w:iCs/>
          <w:sz w:val="24"/>
          <w:szCs w:val="24"/>
        </w:rPr>
        <w:t xml:space="preserve"> la presente providencia, si no fuere impugnada, a la Corte Constitucional para su eventual revisión.</w:t>
      </w:r>
    </w:p>
    <w:p w:rsidR="00DC2A3C" w:rsidRPr="00DC2A3C" w:rsidRDefault="00DC2A3C" w:rsidP="00DC2A3C">
      <w:pPr>
        <w:tabs>
          <w:tab w:val="left" w:pos="3109"/>
        </w:tabs>
        <w:rPr>
          <w:iCs/>
          <w:sz w:val="24"/>
          <w:szCs w:val="24"/>
        </w:rPr>
      </w:pPr>
    </w:p>
    <w:p w:rsidR="00BC112E" w:rsidRDefault="00BC112E" w:rsidP="00DC2A3C">
      <w:pPr>
        <w:tabs>
          <w:tab w:val="left" w:pos="3109"/>
        </w:tabs>
        <w:rPr>
          <w:b/>
          <w:iCs/>
          <w:sz w:val="24"/>
          <w:szCs w:val="24"/>
        </w:rPr>
      </w:pPr>
    </w:p>
    <w:p w:rsidR="00DC2A3C" w:rsidRPr="00DC2A3C" w:rsidRDefault="00DC2A3C" w:rsidP="00DC2A3C">
      <w:pPr>
        <w:tabs>
          <w:tab w:val="left" w:pos="3109"/>
        </w:tabs>
        <w:rPr>
          <w:b/>
          <w:iCs/>
          <w:sz w:val="24"/>
          <w:szCs w:val="24"/>
        </w:rPr>
      </w:pPr>
      <w:r w:rsidRPr="00DC2A3C">
        <w:rPr>
          <w:b/>
          <w:iCs/>
          <w:sz w:val="24"/>
          <w:szCs w:val="24"/>
        </w:rPr>
        <w:t>NOTIFÍQUESE Y CÚMPLASE</w:t>
      </w:r>
    </w:p>
    <w:p w:rsidR="00DC2A3C" w:rsidRPr="00DC2A3C" w:rsidRDefault="00DC2A3C" w:rsidP="00DC2A3C">
      <w:pPr>
        <w:tabs>
          <w:tab w:val="left" w:pos="3109"/>
        </w:tabs>
        <w:rPr>
          <w:b/>
          <w:iCs/>
          <w:sz w:val="24"/>
          <w:szCs w:val="24"/>
        </w:rPr>
      </w:pPr>
    </w:p>
    <w:p w:rsidR="00DC2A3C" w:rsidRPr="00DC2A3C" w:rsidRDefault="00DC2A3C" w:rsidP="00DC2A3C">
      <w:pPr>
        <w:tabs>
          <w:tab w:val="left" w:pos="3109"/>
        </w:tabs>
        <w:rPr>
          <w:iCs/>
          <w:sz w:val="24"/>
          <w:szCs w:val="24"/>
          <w:lang w:val="es-ES_tradnl"/>
        </w:rPr>
      </w:pPr>
    </w:p>
    <w:p w:rsidR="00ED7EC6" w:rsidRDefault="00ED7EC6" w:rsidP="00DC2A3C">
      <w:pPr>
        <w:tabs>
          <w:tab w:val="left" w:pos="3109"/>
        </w:tabs>
        <w:jc w:val="center"/>
        <w:rPr>
          <w:b/>
          <w:bCs/>
          <w:sz w:val="24"/>
          <w:szCs w:val="24"/>
          <w:lang w:val="es-ES"/>
        </w:rPr>
      </w:pPr>
    </w:p>
    <w:p w:rsidR="00DC2A3C" w:rsidRPr="00DC2A3C" w:rsidRDefault="00255568" w:rsidP="00DC2A3C">
      <w:pPr>
        <w:tabs>
          <w:tab w:val="left" w:pos="3109"/>
        </w:tabs>
        <w:jc w:val="center"/>
        <w:rPr>
          <w:b/>
          <w:bCs/>
          <w:sz w:val="24"/>
          <w:szCs w:val="24"/>
          <w:lang w:val="es-ES"/>
        </w:rPr>
      </w:pPr>
      <w:r>
        <w:rPr>
          <w:b/>
          <w:bCs/>
          <w:sz w:val="24"/>
          <w:szCs w:val="24"/>
          <w:lang w:val="es-ES"/>
        </w:rPr>
        <w:t>NICOLÁS YEPES CORRALES</w:t>
      </w:r>
    </w:p>
    <w:p w:rsidR="00DC2A3C" w:rsidRPr="00DC2A3C" w:rsidRDefault="00DC2A3C" w:rsidP="00DC2A3C">
      <w:pPr>
        <w:tabs>
          <w:tab w:val="left" w:pos="3109"/>
        </w:tabs>
        <w:jc w:val="center"/>
        <w:rPr>
          <w:b/>
          <w:sz w:val="24"/>
          <w:szCs w:val="24"/>
          <w:lang w:val="es-ES_tradnl"/>
        </w:rPr>
      </w:pPr>
      <w:r w:rsidRPr="00DC2A3C">
        <w:rPr>
          <w:b/>
          <w:sz w:val="24"/>
          <w:szCs w:val="24"/>
          <w:lang w:val="es-ES_tradnl"/>
        </w:rPr>
        <w:t>Presidente de Sala</w:t>
      </w:r>
    </w:p>
    <w:p w:rsidR="00DC2A3C" w:rsidRPr="00DC2A3C" w:rsidRDefault="00DC2A3C" w:rsidP="00DC2A3C">
      <w:pPr>
        <w:tabs>
          <w:tab w:val="left" w:pos="3109"/>
        </w:tabs>
        <w:jc w:val="center"/>
        <w:rPr>
          <w:b/>
          <w:sz w:val="24"/>
          <w:szCs w:val="24"/>
          <w:lang w:val="es-ES_tradnl"/>
        </w:rPr>
      </w:pPr>
    </w:p>
    <w:p w:rsidR="004E30F5" w:rsidRDefault="004E30F5" w:rsidP="003B2682">
      <w:pPr>
        <w:tabs>
          <w:tab w:val="left" w:pos="3109"/>
        </w:tabs>
        <w:rPr>
          <w:b/>
          <w:sz w:val="24"/>
          <w:szCs w:val="24"/>
          <w:lang w:val="es-ES_tradnl"/>
        </w:rPr>
      </w:pPr>
    </w:p>
    <w:p w:rsidR="004E30F5" w:rsidRDefault="004E30F5" w:rsidP="00DC2A3C">
      <w:pPr>
        <w:tabs>
          <w:tab w:val="left" w:pos="3109"/>
        </w:tabs>
        <w:jc w:val="center"/>
        <w:rPr>
          <w:b/>
          <w:sz w:val="24"/>
          <w:szCs w:val="24"/>
          <w:lang w:val="es-ES_tradnl"/>
        </w:rPr>
      </w:pPr>
    </w:p>
    <w:p w:rsidR="00DC2A3C" w:rsidRPr="00DC2A3C" w:rsidRDefault="00255568" w:rsidP="00DC2A3C">
      <w:pPr>
        <w:tabs>
          <w:tab w:val="left" w:pos="3109"/>
        </w:tabs>
        <w:jc w:val="center"/>
        <w:rPr>
          <w:b/>
          <w:bCs/>
          <w:sz w:val="24"/>
          <w:szCs w:val="24"/>
          <w:lang w:val="es-ES"/>
        </w:rPr>
      </w:pPr>
      <w:r>
        <w:rPr>
          <w:b/>
          <w:bCs/>
          <w:sz w:val="24"/>
          <w:szCs w:val="24"/>
          <w:lang w:val="es-ES"/>
        </w:rPr>
        <w:t>JAIME ENRIQUE RODRÍGUEZ NAVAS</w:t>
      </w:r>
    </w:p>
    <w:p w:rsidR="00DC2A3C" w:rsidRPr="00DC2A3C" w:rsidRDefault="00DC2A3C" w:rsidP="00DC2A3C">
      <w:pPr>
        <w:tabs>
          <w:tab w:val="left" w:pos="3109"/>
        </w:tabs>
        <w:jc w:val="center"/>
        <w:rPr>
          <w:b/>
          <w:sz w:val="24"/>
          <w:szCs w:val="24"/>
          <w:lang w:val="es-ES_tradnl"/>
        </w:rPr>
      </w:pPr>
      <w:r w:rsidRPr="00DC2A3C">
        <w:rPr>
          <w:b/>
          <w:sz w:val="24"/>
          <w:szCs w:val="24"/>
          <w:lang w:val="es-ES_tradnl"/>
        </w:rPr>
        <w:t>Magistrado</w:t>
      </w:r>
    </w:p>
    <w:p w:rsidR="00DC2A3C" w:rsidRDefault="00DC2A3C" w:rsidP="00DC2A3C">
      <w:pPr>
        <w:tabs>
          <w:tab w:val="left" w:pos="3109"/>
        </w:tabs>
        <w:jc w:val="center"/>
        <w:rPr>
          <w:b/>
          <w:sz w:val="24"/>
          <w:szCs w:val="24"/>
          <w:lang w:val="es-ES_tradnl"/>
        </w:rPr>
      </w:pPr>
    </w:p>
    <w:p w:rsidR="004E30F5" w:rsidRDefault="004E30F5" w:rsidP="00DC2A3C">
      <w:pPr>
        <w:tabs>
          <w:tab w:val="left" w:pos="3109"/>
        </w:tabs>
        <w:jc w:val="center"/>
        <w:rPr>
          <w:b/>
          <w:sz w:val="24"/>
          <w:szCs w:val="24"/>
          <w:lang w:val="es-ES_tradnl"/>
        </w:rPr>
      </w:pPr>
    </w:p>
    <w:p w:rsidR="004E30F5" w:rsidRDefault="004E30F5" w:rsidP="00DC2A3C">
      <w:pPr>
        <w:tabs>
          <w:tab w:val="left" w:pos="3109"/>
        </w:tabs>
        <w:jc w:val="center"/>
        <w:rPr>
          <w:b/>
          <w:sz w:val="24"/>
          <w:szCs w:val="24"/>
          <w:lang w:val="es-ES_tradnl"/>
        </w:rPr>
      </w:pPr>
    </w:p>
    <w:p w:rsidR="00DC2A3C" w:rsidRPr="00DC2A3C" w:rsidRDefault="00255568" w:rsidP="00DC2A3C">
      <w:pPr>
        <w:tabs>
          <w:tab w:val="left" w:pos="3109"/>
        </w:tabs>
        <w:jc w:val="center"/>
        <w:rPr>
          <w:b/>
          <w:sz w:val="24"/>
          <w:szCs w:val="24"/>
          <w:lang w:val="es-ES_tradnl"/>
        </w:rPr>
      </w:pPr>
      <w:r>
        <w:rPr>
          <w:b/>
          <w:sz w:val="24"/>
          <w:szCs w:val="24"/>
          <w:lang w:val="es-ES_tradnl"/>
        </w:rPr>
        <w:t>GUILLERMO SÁNCHEZ LUQUE</w:t>
      </w:r>
    </w:p>
    <w:p w:rsidR="00E425BA" w:rsidRDefault="00DC2A3C" w:rsidP="00DC2A3C">
      <w:pPr>
        <w:tabs>
          <w:tab w:val="left" w:pos="3109"/>
        </w:tabs>
        <w:jc w:val="center"/>
        <w:rPr>
          <w:b/>
          <w:sz w:val="24"/>
          <w:szCs w:val="24"/>
          <w:lang w:val="es-ES_tradnl"/>
        </w:rPr>
      </w:pPr>
      <w:r w:rsidRPr="00DC2A3C">
        <w:rPr>
          <w:b/>
          <w:sz w:val="24"/>
          <w:szCs w:val="24"/>
          <w:lang w:val="es-ES_tradnl"/>
        </w:rPr>
        <w:t>Magistrado</w:t>
      </w:r>
    </w:p>
    <w:p w:rsidR="00DF3BDB" w:rsidRDefault="00DF3BDB" w:rsidP="00DC2A3C">
      <w:pPr>
        <w:tabs>
          <w:tab w:val="left" w:pos="3109"/>
        </w:tabs>
        <w:jc w:val="center"/>
        <w:rPr>
          <w:b/>
          <w:sz w:val="24"/>
          <w:szCs w:val="24"/>
          <w:lang w:val="es-ES_tradnl"/>
        </w:rPr>
      </w:pPr>
      <w:r w:rsidRPr="00DF3BDB">
        <w:rPr>
          <w:b/>
          <w:sz w:val="24"/>
          <w:szCs w:val="24"/>
        </w:rPr>
        <w:t>Aclaración de voto Cfr. Rad. 11001-03-15-000-2019-01299-00</w:t>
      </w:r>
    </w:p>
    <w:sectPr w:rsidR="00DF3BDB" w:rsidSect="004732B2">
      <w:headerReference w:type="default" r:id="rId11"/>
      <w:footerReference w:type="default" r:id="rId12"/>
      <w:headerReference w:type="first" r:id="rId13"/>
      <w:footerReference w:type="first" r:id="rId14"/>
      <w:pgSz w:w="12240" w:h="20160" w:code="5"/>
      <w:pgMar w:top="1418" w:right="1701" w:bottom="1418"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69C" w:rsidRDefault="0095469C" w:rsidP="00117091">
      <w:r>
        <w:separator/>
      </w:r>
    </w:p>
  </w:endnote>
  <w:endnote w:type="continuationSeparator" w:id="0">
    <w:p w:rsidR="0095469C" w:rsidRDefault="0095469C"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487668" w:rsidTr="00B6429B">
      <w:trPr>
        <w:jc w:val="right"/>
      </w:trPr>
      <w:tc>
        <w:tcPr>
          <w:tcW w:w="4795" w:type="dxa"/>
          <w:vAlign w:val="center"/>
        </w:tcPr>
        <w:p w:rsidR="00487668" w:rsidRDefault="00487668" w:rsidP="00B6429B">
          <w:pPr>
            <w:pStyle w:val="Encabezado"/>
            <w:jc w:val="center"/>
            <w:rPr>
              <w:color w:val="767171"/>
              <w:sz w:val="20"/>
              <w:szCs w:val="20"/>
            </w:rPr>
          </w:pPr>
          <w:r w:rsidRPr="00A21194">
            <w:rPr>
              <w:color w:val="767171"/>
              <w:sz w:val="20"/>
              <w:szCs w:val="20"/>
            </w:rPr>
            <w:t>Calle 12 No. 7-65 – Tel: (57-1) 350-6700 – Bogotá D.C. – Colombia</w:t>
          </w:r>
        </w:p>
        <w:p w:rsidR="00487668" w:rsidRPr="00A21194" w:rsidRDefault="00487668"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rsidR="00487668" w:rsidRPr="00B6429B" w:rsidRDefault="00487668" w:rsidP="00B6429B">
          <w:pPr>
            <w:pStyle w:val="Piedepgina"/>
            <w:jc w:val="center"/>
          </w:pPr>
          <w:r w:rsidRPr="00B6429B">
            <w:fldChar w:fldCharType="begin"/>
          </w:r>
          <w:r>
            <w:instrText>PAGE</w:instrText>
          </w:r>
          <w:r w:rsidRPr="00B6429B">
            <w:instrText xml:space="preserve">   \* MERGEFORMAT</w:instrText>
          </w:r>
          <w:r w:rsidRPr="00B6429B">
            <w:fldChar w:fldCharType="separate"/>
          </w:r>
          <w:r w:rsidR="004732B2" w:rsidRPr="004732B2">
            <w:rPr>
              <w:noProof/>
              <w:lang w:val="es-ES"/>
            </w:rPr>
            <w:t>10</w:t>
          </w:r>
          <w:r w:rsidRPr="00B6429B">
            <w:fldChar w:fldCharType="end"/>
          </w:r>
        </w:p>
      </w:tc>
    </w:tr>
  </w:tbl>
  <w:p w:rsidR="00487668" w:rsidRPr="008C0DBE" w:rsidRDefault="00487668"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487668" w:rsidTr="00B6429B">
      <w:trPr>
        <w:jc w:val="right"/>
      </w:trPr>
      <w:tc>
        <w:tcPr>
          <w:tcW w:w="4795" w:type="dxa"/>
          <w:vAlign w:val="center"/>
        </w:tcPr>
        <w:p w:rsidR="00487668" w:rsidRDefault="00487668" w:rsidP="00B6429B">
          <w:pPr>
            <w:pStyle w:val="Encabezado"/>
            <w:jc w:val="center"/>
            <w:rPr>
              <w:color w:val="767171"/>
              <w:sz w:val="20"/>
              <w:szCs w:val="20"/>
            </w:rPr>
          </w:pPr>
          <w:r w:rsidRPr="00A21194">
            <w:rPr>
              <w:color w:val="767171"/>
              <w:sz w:val="20"/>
              <w:szCs w:val="20"/>
            </w:rPr>
            <w:t>Calle 12 No. 7-65 – Tel: (57-1) 350-6700 – Bogotá D.C. – Colombia</w:t>
          </w:r>
        </w:p>
        <w:p w:rsidR="00487668" w:rsidRPr="00A21194" w:rsidRDefault="00487668"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rsidR="00487668" w:rsidRPr="00B6429B" w:rsidRDefault="00487668">
          <w:pPr>
            <w:pStyle w:val="Piedepgina"/>
            <w:jc w:val="center"/>
          </w:pPr>
          <w:r w:rsidRPr="00B6429B">
            <w:fldChar w:fldCharType="begin"/>
          </w:r>
          <w:r>
            <w:instrText>PAGE</w:instrText>
          </w:r>
          <w:r w:rsidRPr="00B6429B">
            <w:instrText xml:space="preserve">   \* MERGEFORMAT</w:instrText>
          </w:r>
          <w:r w:rsidRPr="00B6429B">
            <w:fldChar w:fldCharType="separate"/>
          </w:r>
          <w:r w:rsidR="004732B2" w:rsidRPr="004732B2">
            <w:rPr>
              <w:noProof/>
              <w:lang w:val="es-ES"/>
            </w:rPr>
            <w:t>1</w:t>
          </w:r>
          <w:r w:rsidRPr="00B6429B">
            <w:fldChar w:fldCharType="end"/>
          </w:r>
        </w:p>
      </w:tc>
    </w:tr>
  </w:tbl>
  <w:p w:rsidR="00487668" w:rsidRDefault="004876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69C" w:rsidRDefault="0095469C" w:rsidP="00117091">
      <w:r>
        <w:separator/>
      </w:r>
    </w:p>
  </w:footnote>
  <w:footnote w:type="continuationSeparator" w:id="0">
    <w:p w:rsidR="0095469C" w:rsidRDefault="0095469C" w:rsidP="00117091">
      <w:r>
        <w:continuationSeparator/>
      </w:r>
    </w:p>
  </w:footnote>
  <w:footnote w:id="1">
    <w:p w:rsidR="005C0B8F" w:rsidRDefault="005C0B8F" w:rsidP="00DA5410">
      <w:pPr>
        <w:pStyle w:val="Textonotapie"/>
      </w:pPr>
      <w:r>
        <w:rPr>
          <w:rStyle w:val="Refdenotaalpie"/>
        </w:rPr>
        <w:footnoteRef/>
      </w:r>
      <w:r>
        <w:t xml:space="preserve"> </w:t>
      </w:r>
      <w:r w:rsidR="00AF2760">
        <w:t>Archivo electrónico que contiene el poder otorgado entre otros documentos, identificado con certificado:</w:t>
      </w:r>
      <w:r w:rsidR="009F0218">
        <w:t xml:space="preserve"> </w:t>
      </w:r>
      <w:r w:rsidR="00AF2760" w:rsidRPr="00AF2760">
        <w:t>5CFB4122FEE0448C 7130CC4091FAAC3E FBBBA695F17B456D FB0201881AA04B06</w:t>
      </w:r>
      <w:r w:rsidR="00AF2760">
        <w:t>.</w:t>
      </w:r>
    </w:p>
  </w:footnote>
  <w:footnote w:id="2">
    <w:p w:rsidR="007A73FE" w:rsidRDefault="007A73FE" w:rsidP="00DA5410">
      <w:pPr>
        <w:pStyle w:val="Textonotapie"/>
      </w:pPr>
      <w:r>
        <w:rPr>
          <w:rStyle w:val="Refdenotaalpie"/>
        </w:rPr>
        <w:footnoteRef/>
      </w:r>
      <w:r>
        <w:t xml:space="preserve"> </w:t>
      </w:r>
      <w:r w:rsidR="00B4542D">
        <w:t>A</w:t>
      </w:r>
      <w:r w:rsidRPr="007A73FE">
        <w:t>rchivo electrónico identificado con certificado:</w:t>
      </w:r>
      <w:r w:rsidR="00B4542D" w:rsidRPr="00B4542D">
        <w:t xml:space="preserve"> 9E81E5DBEDE7E929 124A653F336FD55F C3F03EC043E22C13 48B9E1E8F616442F</w:t>
      </w:r>
      <w:r w:rsidRPr="007A73FE">
        <w:t>.</w:t>
      </w:r>
    </w:p>
  </w:footnote>
  <w:footnote w:id="3">
    <w:p w:rsidR="00982838" w:rsidRDefault="00982838" w:rsidP="00DA5410">
      <w:pPr>
        <w:pStyle w:val="Textonotapie"/>
      </w:pPr>
      <w:r>
        <w:rPr>
          <w:rStyle w:val="Refdenotaalpie"/>
        </w:rPr>
        <w:footnoteRef/>
      </w:r>
      <w:r>
        <w:t xml:space="preserve"> Consejo de Estado, Sección Tercera, sentencia del 20de septiembre de 2007, expediente con radicado número 70001233100019970625901(16014).</w:t>
      </w:r>
    </w:p>
  </w:footnote>
  <w:footnote w:id="4">
    <w:p w:rsidR="00C05729" w:rsidRDefault="00C05729" w:rsidP="00DA5410">
      <w:pPr>
        <w:pStyle w:val="Textonotapie"/>
      </w:pPr>
      <w:r>
        <w:rPr>
          <w:rStyle w:val="Refdenotaalpie"/>
        </w:rPr>
        <w:footnoteRef/>
      </w:r>
      <w:r>
        <w:t xml:space="preserve"> </w:t>
      </w:r>
      <w:r w:rsidR="00C35D9A">
        <w:t>Archivo electrónico</w:t>
      </w:r>
      <w:r w:rsidR="00A03C3B">
        <w:t xml:space="preserve"> identificado con certificado:</w:t>
      </w:r>
      <w:r w:rsidR="00C35D9A" w:rsidRPr="00C35D9A">
        <w:t xml:space="preserve"> B9BFE2033DD687FA 28F784696BA0035C 04D35F2170E3EECA 6FDCDBB6D45C71F3</w:t>
      </w:r>
      <w:r w:rsidR="00A03C3B">
        <w:t>.</w:t>
      </w:r>
    </w:p>
  </w:footnote>
  <w:footnote w:id="5">
    <w:p w:rsidR="00BC69C9" w:rsidRDefault="00BC69C9" w:rsidP="00DA5410">
      <w:pPr>
        <w:pStyle w:val="Textonotapie"/>
      </w:pPr>
      <w:r>
        <w:rPr>
          <w:rStyle w:val="Refdenotaalpie"/>
        </w:rPr>
        <w:footnoteRef/>
      </w:r>
      <w:r>
        <w:t xml:space="preserve"> Folio 15 del a</w:t>
      </w:r>
      <w:r w:rsidRPr="00BC69C9">
        <w:t>rchivo electrónico identificado con certificado: B9BFE2033DD687FA 28F784696BA0035C 04D35F2170E3EECA 6FDCDBB6D45C71F3</w:t>
      </w:r>
      <w:r>
        <w:t xml:space="preserve">. </w:t>
      </w:r>
      <w:r w:rsidRPr="00BC69C9">
        <w:t>Esta es una trascripción literal. Los errores, erratas, mayúsculas y énfasis forman parte del texto original.</w:t>
      </w:r>
    </w:p>
  </w:footnote>
  <w:footnote w:id="6">
    <w:p w:rsidR="009F77E0" w:rsidRDefault="009F77E0" w:rsidP="00DA5410">
      <w:pPr>
        <w:pStyle w:val="Textonotapie"/>
      </w:pPr>
      <w:r>
        <w:rPr>
          <w:rStyle w:val="Refdenotaalpie"/>
        </w:rPr>
        <w:footnoteRef/>
      </w:r>
      <w:r>
        <w:t xml:space="preserve">  </w:t>
      </w:r>
      <w:r w:rsidR="00C6159D">
        <w:t xml:space="preserve">Folios 3 a 4 del archivo electrónico que contiene el escrito de tutela, identificado con certificado: </w:t>
      </w:r>
      <w:r w:rsidR="00C6159D" w:rsidRPr="00C6159D">
        <w:t>C8582BAA9D30EA44 CD401AC18DEC3C53 07D3B1A48ECF7200 5A12D2588986507F</w:t>
      </w:r>
      <w:r w:rsidR="00C6159D">
        <w:t>.</w:t>
      </w:r>
    </w:p>
  </w:footnote>
  <w:footnote w:id="7">
    <w:p w:rsidR="0034111B" w:rsidRDefault="0034111B" w:rsidP="00DA5410">
      <w:pPr>
        <w:pStyle w:val="Textonotapie"/>
      </w:pPr>
      <w:r>
        <w:rPr>
          <w:rStyle w:val="Refdenotaalpie"/>
        </w:rPr>
        <w:footnoteRef/>
      </w:r>
      <w:r>
        <w:t xml:space="preserve"> Consejo de Estado, Sección Tercera, Subsección B, sentencia del 5 de julio de 2018, expediente con radicado número 70001-23-33-000-2012-001401-01 (51076) y expediente 70001-23-33-000-2012-00156-01 (51960). </w:t>
      </w:r>
    </w:p>
  </w:footnote>
  <w:footnote w:id="8">
    <w:p w:rsidR="00A80CA2" w:rsidRDefault="00A80CA2" w:rsidP="00DA5410">
      <w:pPr>
        <w:pStyle w:val="Textonotapie"/>
      </w:pPr>
      <w:r w:rsidRPr="00A80CA2">
        <w:rPr>
          <w:rStyle w:val="Refdenotaalpie"/>
        </w:rPr>
        <w:footnoteRef/>
      </w:r>
      <w:r w:rsidRPr="00A80CA2">
        <w:t xml:space="preserve"> Archivo electrónico, identificado con certificado</w:t>
      </w:r>
      <w:r w:rsidR="00A1204A">
        <w:t>:</w:t>
      </w:r>
      <w:r w:rsidR="006E3913" w:rsidRPr="006E3913">
        <w:t xml:space="preserve"> 00C44D82B50AC384 DB2980E5DC6CE72E 481D8376FDD8A48E 3E67890A7C0001C6</w:t>
      </w:r>
      <w:r w:rsidR="00A77C28">
        <w:t>.</w:t>
      </w:r>
    </w:p>
  </w:footnote>
  <w:footnote w:id="9">
    <w:p w:rsidR="00B13072" w:rsidRDefault="00B13072" w:rsidP="00DA5410">
      <w:pPr>
        <w:pStyle w:val="Textonotapie"/>
      </w:pPr>
      <w:r>
        <w:rPr>
          <w:rStyle w:val="Refdenotaalpie"/>
        </w:rPr>
        <w:footnoteRef/>
      </w:r>
      <w:r>
        <w:t xml:space="preserve"> Archivo</w:t>
      </w:r>
      <w:r w:rsidR="005A4421">
        <w:t>s</w:t>
      </w:r>
      <w:r>
        <w:t xml:space="preserve"> electrónico</w:t>
      </w:r>
      <w:r w:rsidR="005A4421">
        <w:t xml:space="preserve">s ubicados en el índice </w:t>
      </w:r>
      <w:r w:rsidR="001A13BA">
        <w:t>20</w:t>
      </w:r>
      <w:r w:rsidR="005A4421">
        <w:t xml:space="preserve"> del aplicativo SAMAI,</w:t>
      </w:r>
      <w:r>
        <w:t xml:space="preserve"> identificado</w:t>
      </w:r>
      <w:r w:rsidR="005A4421">
        <w:t>s</w:t>
      </w:r>
      <w:r>
        <w:t xml:space="preserve"> con certificado</w:t>
      </w:r>
      <w:r w:rsidR="005A4421">
        <w:t>s</w:t>
      </w:r>
      <w:r>
        <w:t>:</w:t>
      </w:r>
      <w:r w:rsidR="001A13BA" w:rsidRPr="001A13BA">
        <w:t xml:space="preserve"> 1210BC0A9B82F5E6 C3767D3CB6EFB6D5 967EC54A12EC69D1 A40B5FACCB236C29</w:t>
      </w:r>
      <w:r>
        <w:t>.</w:t>
      </w:r>
    </w:p>
  </w:footnote>
  <w:footnote w:id="10">
    <w:p w:rsidR="00836240" w:rsidRDefault="00836240" w:rsidP="00DA5410">
      <w:pPr>
        <w:pStyle w:val="Textonotapie"/>
      </w:pPr>
      <w:r>
        <w:rPr>
          <w:rStyle w:val="Refdenotaalpie"/>
        </w:rPr>
        <w:footnoteRef/>
      </w:r>
      <w:r>
        <w:t xml:space="preserve"> Archivos electrónicos ubicados en el índice 24 del aplicativo SAMAI, identificados con certificados: </w:t>
      </w:r>
      <w:r w:rsidRPr="00836240">
        <w:t>62A07B05307A7772 5A1958C230FB4291 A2FD154A5725E51C 588D97AE57514256</w:t>
      </w:r>
      <w:r>
        <w:t xml:space="preserve"> y </w:t>
      </w:r>
      <w:r w:rsidRPr="00836240">
        <w:t>7A9BAC71095E393C BC862A38B78B9133 CD0D725066D2F3EC 75F205E207146506</w:t>
      </w:r>
      <w:r>
        <w:t>.</w:t>
      </w:r>
    </w:p>
  </w:footnote>
  <w:footnote w:id="11">
    <w:p w:rsidR="00333350" w:rsidRDefault="00333350" w:rsidP="00DA5410">
      <w:pPr>
        <w:pStyle w:val="Textonotapie"/>
      </w:pPr>
      <w:r>
        <w:rPr>
          <w:rStyle w:val="Refdenotaalpie"/>
        </w:rPr>
        <w:footnoteRef/>
      </w:r>
      <w:r>
        <w:t xml:space="preserve"> </w:t>
      </w:r>
      <w:r w:rsidRPr="00A80CA2">
        <w:t>Archivo</w:t>
      </w:r>
      <w:r>
        <w:t>s</w:t>
      </w:r>
      <w:r w:rsidRPr="00A80CA2">
        <w:t xml:space="preserve"> electrónico</w:t>
      </w:r>
      <w:r>
        <w:t xml:space="preserve">s ubicados en el índice </w:t>
      </w:r>
      <w:r w:rsidR="001A13BA">
        <w:t>22</w:t>
      </w:r>
      <w:r>
        <w:t xml:space="preserve"> del aplicativo SAMAI</w:t>
      </w:r>
      <w:r w:rsidRPr="00A80CA2">
        <w:t>, identificado</w:t>
      </w:r>
      <w:r>
        <w:t>s</w:t>
      </w:r>
      <w:r w:rsidRPr="00A80CA2">
        <w:t xml:space="preserve"> con certificado</w:t>
      </w:r>
      <w:r>
        <w:t>s:</w:t>
      </w:r>
      <w:r w:rsidR="001A13BA" w:rsidRPr="001A13BA">
        <w:t xml:space="preserve"> A0745B2D986F3FE0 621CC38D119FFE74 8B3ED9309FF8F078 B7B9A795E5C185CD</w:t>
      </w:r>
      <w:r w:rsidR="001A13BA">
        <w:t xml:space="preserve">, </w:t>
      </w:r>
      <w:r w:rsidR="001A13BA" w:rsidRPr="001A13BA">
        <w:t>3DD67667324FD0B1 53059A13DD0CD7F1 1DD778934BD90142 BFEB51E8C5F2878B</w:t>
      </w:r>
      <w:r w:rsidR="001A13BA">
        <w:t xml:space="preserve">, </w:t>
      </w:r>
      <w:r w:rsidR="001A13BA" w:rsidRPr="001A13BA">
        <w:t>19EBCEE398C7D326 0DF04B904E69F132 647D9B34EE7CB76F 1E7412D7593A95A0</w:t>
      </w:r>
      <w:r w:rsidR="001A13BA">
        <w:t xml:space="preserve">, </w:t>
      </w:r>
      <w:r w:rsidR="001A13BA" w:rsidRPr="001A13BA">
        <w:t>2ECEAA95DF4C128E 826C870793BDFD6B 93C7D6AB4E37631E 194927B62FB97B44</w:t>
      </w:r>
      <w:r w:rsidR="001A13BA">
        <w:t xml:space="preserve"> y </w:t>
      </w:r>
      <w:r w:rsidR="001A13BA" w:rsidRPr="001A13BA">
        <w:t>A135BF1AEC5929CE C4CE59BB14E42A5C 82E15D1F71B4706E 61772E1B47F23829</w:t>
      </w:r>
      <w:r>
        <w:t>.</w:t>
      </w:r>
    </w:p>
  </w:footnote>
  <w:footnote w:id="12">
    <w:p w:rsidR="00487668" w:rsidRPr="00584E1D" w:rsidRDefault="00487668" w:rsidP="00E425BA">
      <w:r w:rsidRPr="00322EBB">
        <w:rPr>
          <w:rStyle w:val="Refdenotaalpie"/>
          <w:sz w:val="20"/>
          <w:szCs w:val="20"/>
        </w:rPr>
        <w:footnoteRef/>
      </w:r>
      <w:r w:rsidRPr="00322EBB">
        <w:rPr>
          <w:sz w:val="20"/>
          <w:szCs w:val="20"/>
        </w:rPr>
        <w:t xml:space="preserve"> </w:t>
      </w:r>
      <w:r w:rsidRPr="00322EBB">
        <w:rPr>
          <w:rFonts w:eastAsia="Times New Roman"/>
          <w:bCs/>
          <w:sz w:val="20"/>
          <w:szCs w:val="20"/>
          <w:lang w:eastAsia="es-ES"/>
        </w:rPr>
        <w:t xml:space="preserve">Antes que todo es necesario (i) verificar la legitimación en la causa como una exigencia preliminar en cualquier acción de amparo, para, posteriormente, pasar a constatar los demás requisitos generales de procedibilidad, en los siguientes términos: (ii) que en la solicitud de tutela se expresen de manera clara los hechos y los fundamentos de la afectación de derechos que se imputa a la decisión judicial; (iii) que la cuestión que se discute tenga relevancia constitucional; (iv) que previo a la solicitud de tutela se hayan agotado todos los medios de defensa judicial con los que cuenta la persona afectada; (v) que se cumpla con el principio de inmediatez; (vi) que en caso de que se </w:t>
      </w:r>
      <w:r w:rsidR="00A144C1">
        <w:rPr>
          <w:rFonts w:eastAsia="Times New Roman"/>
          <w:bCs/>
          <w:sz w:val="20"/>
          <w:szCs w:val="20"/>
          <w:lang w:eastAsia="es-ES"/>
        </w:rPr>
        <w:t>formule</w:t>
      </w:r>
      <w:r w:rsidRPr="00322EBB">
        <w:rPr>
          <w:rFonts w:eastAsia="Times New Roman"/>
          <w:bCs/>
          <w:sz w:val="20"/>
          <w:szCs w:val="20"/>
          <w:lang w:eastAsia="es-ES"/>
        </w:rPr>
        <w:t xml:space="preserve"> una irregularidad procesal, la misma tenga la entidad de afectar la decisión; y de manera general, (vii) no procede </w:t>
      </w:r>
      <w:r w:rsidR="00D9696C">
        <w:rPr>
          <w:rFonts w:eastAsia="Times New Roman"/>
          <w:bCs/>
          <w:sz w:val="20"/>
          <w:szCs w:val="20"/>
          <w:lang w:eastAsia="es-ES"/>
        </w:rPr>
        <w:t>presentar</w:t>
      </w:r>
      <w:r w:rsidRPr="00322EBB">
        <w:rPr>
          <w:rFonts w:eastAsia="Times New Roman"/>
          <w:bCs/>
          <w:sz w:val="20"/>
          <w:szCs w:val="20"/>
          <w:lang w:eastAsia="es-ES"/>
        </w:rPr>
        <w:t xml:space="preserve"> una solicitud de amparo contra decisiones proferidas dentro de procesos de tutela.</w:t>
      </w:r>
    </w:p>
  </w:footnote>
  <w:footnote w:id="13">
    <w:p w:rsidR="00487668" w:rsidRPr="003B184C" w:rsidRDefault="00487668" w:rsidP="00DA5410">
      <w:pPr>
        <w:pStyle w:val="Textonotapie"/>
      </w:pPr>
      <w:r w:rsidRPr="00584E1D">
        <w:rPr>
          <w:rStyle w:val="Refdenotaalpie"/>
        </w:rPr>
        <w:footnoteRef/>
      </w:r>
      <w:r w:rsidRPr="00584E1D">
        <w:t xml:space="preserve"> Las causales específicas de procedencia de la acción de tutela contra providencia judicial se concretan en los defectos o errores en que puede incurrir la decisión cuestionada, de modo que, si en una decisión judicial se presenta alguna de las causales específicas, podrá ser razón suficiente para el amparo constitucional. A saber: a) Defecto orgánico, que se presenta cuando el juez carece de competencia; b) defecto procedimental, que ocurre cuando la autoridad judicial actuó al margen del procedimiento establecido; c) defecto fáctico, esto es, cuando el juez no tuvo en cuenta el material de prueba obrante en el expediente para proferir decisión; d) defecto material o sustantivo, el que se origina en el evento en que se decida con fundamento en normas inexistentes o inconstitucionales, en contravía de ellas, o existe una evidente y grosera contradicción entre los fundamentos y la decisión; e) error inducido, cuando la autoridad judicial es víctima de engaño por terceros y el mismo lo condujo a tomar una decisión que afecta derechos fundamentales; f) decisión sin motivación, que implica el incumplimiento de los servidores judiciales de dar cuenta de los fundamentos fácticos y jurídicos de sus decisiones en el entendido que precisamente en esa motivación reposa la legitimidad de su órbita funcional; g) desconocimiento del precedente constitucional, cuando la Corte Constitucional establece el alcance de un derecho fundamental y el juez ordinario aplica una ley limitando sustancialmente dicho alcance y h) violación directa de la Constitución Política, cuando los jueces desconocen la aplicación de la Ley Fundamental, conforme al mandato </w:t>
      </w:r>
      <w:r w:rsidR="00ED7EC6">
        <w:t>establecido</w:t>
      </w:r>
      <w:r w:rsidRPr="00584E1D">
        <w:t xml:space="preserve"> en el artículo 4º de la Carta Política que antepone de manera preferente la aplicación de sus postulados.</w:t>
      </w:r>
    </w:p>
  </w:footnote>
  <w:footnote w:id="14">
    <w:p w:rsidR="0007096C" w:rsidRDefault="0007096C" w:rsidP="00DA5410">
      <w:pPr>
        <w:pStyle w:val="Textonotapie"/>
      </w:pPr>
      <w:r>
        <w:rPr>
          <w:rStyle w:val="Refdenotaalpie"/>
        </w:rPr>
        <w:footnoteRef/>
      </w:r>
      <w:r>
        <w:t xml:space="preserve"> Folios 1 y 2 del archivo electrónico ubicado en el índice 2 del aplicativo SAMAI, identificado con certificado: </w:t>
      </w:r>
      <w:r w:rsidRPr="0007096C">
        <w:t>5CFB4122FEE0448C 7130CC4091FAAC3E FBBBA695F17B456D FB0201881AA04B06</w:t>
      </w:r>
      <w:r>
        <w:t>.</w:t>
      </w:r>
    </w:p>
  </w:footnote>
  <w:footnote w:id="15">
    <w:p w:rsidR="008C551D" w:rsidRDefault="008C551D" w:rsidP="00DA5410">
      <w:pPr>
        <w:pStyle w:val="Textonotapie"/>
      </w:pPr>
      <w:r>
        <w:rPr>
          <w:rStyle w:val="Refdenotaalpie"/>
        </w:rPr>
        <w:footnoteRef/>
      </w:r>
      <w:r>
        <w:t xml:space="preserve"> Folios 3 y 4 del archivo electrónico ubicado en el índice 2 del aplicativo SAMAI, identificado con certificado: </w:t>
      </w:r>
      <w:r w:rsidRPr="0007096C">
        <w:t>5CFB4122FEE0448C 7130CC4091FAAC3E FBBBA695F17B456D FB0201881AA04B06</w:t>
      </w:r>
      <w:r>
        <w:t>.</w:t>
      </w:r>
    </w:p>
  </w:footnote>
  <w:footnote w:id="16">
    <w:p w:rsidR="008C551D" w:rsidRDefault="008C551D" w:rsidP="00DA5410">
      <w:pPr>
        <w:pStyle w:val="Textonotapie"/>
      </w:pPr>
      <w:r>
        <w:rPr>
          <w:rStyle w:val="Refdenotaalpie"/>
        </w:rPr>
        <w:footnoteRef/>
      </w:r>
      <w:r>
        <w:t xml:space="preserve"> Folios 5 y 6 del archivo electrónico ubicado en el índice 2 del aplicativo SAMAI, identificado con certificado: </w:t>
      </w:r>
      <w:r w:rsidRPr="0007096C">
        <w:t>5CFB4122FEE0448C 7130CC4091FAAC3E FBBBA695F17B456D FB0201881AA04B06</w:t>
      </w:r>
      <w:r>
        <w:t>.</w:t>
      </w:r>
    </w:p>
  </w:footnote>
  <w:footnote w:id="17">
    <w:p w:rsidR="00614DF3" w:rsidRPr="00614DF3" w:rsidRDefault="00614DF3" w:rsidP="00DA5410">
      <w:pPr>
        <w:pStyle w:val="Textonotapie"/>
        <w:rPr>
          <w:lang w:val="es-MX"/>
        </w:rPr>
      </w:pPr>
      <w:r>
        <w:rPr>
          <w:rStyle w:val="Refdenotaalpie"/>
        </w:rPr>
        <w:footnoteRef/>
      </w:r>
      <w:r>
        <w:t xml:space="preserve"> </w:t>
      </w:r>
      <w:r w:rsidRPr="00614DF3">
        <w:rPr>
          <w:lang w:val="es-MX"/>
        </w:rPr>
        <w:t>T-553 de 2012.</w:t>
      </w:r>
    </w:p>
  </w:footnote>
  <w:footnote w:id="18">
    <w:p w:rsidR="00130A7F" w:rsidRDefault="00130A7F" w:rsidP="00DA5410">
      <w:pPr>
        <w:pStyle w:val="Textonotapie"/>
      </w:pPr>
      <w:r>
        <w:rPr>
          <w:vertAlign w:val="superscript"/>
        </w:rPr>
        <w:footnoteRef/>
      </w:r>
      <w:r>
        <w:t xml:space="preserve"> Sentencia de la Corte Constitucional T-066 de 2019, que, a su vez reitera la T-336 de 2004.</w:t>
      </w:r>
    </w:p>
  </w:footnote>
  <w:footnote w:id="19">
    <w:p w:rsidR="00130A7F" w:rsidRDefault="00130A7F" w:rsidP="00DA5410">
      <w:pPr>
        <w:pStyle w:val="Textonotapie"/>
      </w:pPr>
      <w:r>
        <w:rPr>
          <w:rStyle w:val="Refdenotaalpie"/>
        </w:rPr>
        <w:footnoteRef/>
      </w:r>
      <w:r>
        <w:t xml:space="preserve"> Con relación a este aspecto, se indica en la sentencia hito en la materia (C-590 de 2005), lo siguiente: “En este sentido es muy importante reiterar que la acción de tutela no puede ser un mecanismo que sirva para que el juez constitucional pueda desplazar al juez ordinario en la decisión de la respectiva causa. En efecto, por esta vía no puede el juez de tutela convertirse en el máximo intérprete del derecho legislado ni suplantar al juez natural en su función esencial como juez de instancia. Lo que sin embargo sí habilita la tutela es la vigilancia de la aplicación judicial al caso concreto de los derechos fundamentales pertinentes y, en especial, del derecho al debido proceso y de acceso a la administración de justicia”.</w:t>
      </w:r>
    </w:p>
  </w:footnote>
  <w:footnote w:id="20">
    <w:p w:rsidR="00130A7F" w:rsidRDefault="00130A7F" w:rsidP="00DA5410">
      <w:pPr>
        <w:pStyle w:val="Textonotapie"/>
      </w:pPr>
      <w:r>
        <w:rPr>
          <w:rStyle w:val="Refdenotaalpie"/>
        </w:rPr>
        <w:footnoteRef/>
      </w:r>
      <w:r>
        <w:t xml:space="preserve"> Estos son de competencia exclusiva de los jueces que integran las demás jurisdicciones distintas a la constitucional; por tanto, la competencia del juez de tutela se limita a aquellos casos en que existan afectaciones o vulneraciones de derechos fundamentales. Tal como se ha reiterado en la jurisprudencia constitucional, “la definición de asuntos meramente legales o reglamentarios que no tengan una relación directa con los derechos fundamentales de las partes o que no revistan un interés constitucional claro, no puede ser planteada ante la jurisdicción constitucional” (en igual sentido, las sentencias T-335 de 2000, T-1044 de 2007, T-658 de 2008, T-505 de 2009, T-610 de 2009, T-896 de 2010, T-040 de 2011, T-338 de 2012, T-512 de 2012, T-543 de 2012, T-1061 de 2012, T-931 de 2013, T-182 de 2014 y T-406 de 2014).</w:t>
      </w:r>
    </w:p>
  </w:footnote>
  <w:footnote w:id="21">
    <w:p w:rsidR="00130A7F" w:rsidRDefault="00130A7F" w:rsidP="00DA5410">
      <w:pPr>
        <w:pStyle w:val="Textonotapie"/>
      </w:pPr>
      <w:r>
        <w:rPr>
          <w:rStyle w:val="Refdenotaalpie"/>
        </w:rPr>
        <w:footnoteRef/>
      </w:r>
      <w:r>
        <w:t xml:space="preserve"> Tal como lo consideró la Sala Plena, en la sentencia hito en la materia (C-590 de 2005), “los fundamentos de una decisión de tutela contra una sentencia judicial deben aclarar con transparencia la relevancia iusfundamental del punto que se discute y el juez debe contraerse a estudiar esta cuestión y ninguna otra. No se trata entonces de un mecanismo que permita al juez constitucional ordenar la anulación de decisiones que no comparte o suplantar al juez ordinario en su tarea de interpretar el derecho legislado y evaluar las pruebas del caso. De lo que se trata es de un mecanismo excepcional, subsidiario y residual para proteger los derechos fundamentales de quien luego de haber pasado por un proceso judicial se encuentra en condición de indefensión y que permite la aplicación uniforme y coherente -es decir segura y en condiciones de igualdad- de los derechos fundamentales a los distintos ámbitos del derecho”.</w:t>
      </w:r>
    </w:p>
  </w:footnote>
  <w:footnote w:id="22">
    <w:p w:rsidR="00130A7F" w:rsidRDefault="00130A7F" w:rsidP="00DA5410">
      <w:pPr>
        <w:pStyle w:val="Textonotapie"/>
      </w:pPr>
      <w:r>
        <w:rPr>
          <w:rStyle w:val="Refdenotaalpie"/>
        </w:rPr>
        <w:footnoteRef/>
      </w:r>
      <w:r>
        <w:t xml:space="preserve"> En este sentido, la Corte ha exigido que, “teniendo en cuenta que la tutela contra providencias judiciales no da lugar a una tercera instancia, ni puede reemplazar los recursos ordinarios, es necesario que la causa que origina la presentación de la acción suponga el desconocimiento de un derecho fundamental” (sentencia T-102 de 2006).</w:t>
      </w:r>
    </w:p>
  </w:footnote>
  <w:footnote w:id="23">
    <w:p w:rsidR="00130A7F" w:rsidRDefault="00130A7F" w:rsidP="00DA5410">
      <w:pPr>
        <w:pStyle w:val="Textonotapie"/>
      </w:pPr>
      <w:r>
        <w:rPr>
          <w:rStyle w:val="Refdenotaalpie"/>
        </w:rPr>
        <w:footnoteRef/>
      </w:r>
      <w:r>
        <w:t xml:space="preserve"> Corte Constitucional, sentencia T-422 del 16 de octubre de 2018, M.P. Carlos Bernal Pulido.</w:t>
      </w:r>
    </w:p>
  </w:footnote>
  <w:footnote w:id="24">
    <w:p w:rsidR="00021BEA" w:rsidRDefault="00021BEA" w:rsidP="00DA5410">
      <w:pPr>
        <w:pStyle w:val="Textonotapie"/>
      </w:pPr>
      <w:r>
        <w:rPr>
          <w:rStyle w:val="Refdenotaalpie"/>
        </w:rPr>
        <w:footnoteRef/>
      </w:r>
      <w:r>
        <w:t xml:space="preserve"> Consejo de Estado, Sección Tercera, Subsección B, sentencia del 5 de julio de 2018, expediente con radicado número 70001-23-33-000-2012-001401-01 (51076) y expediente 70001-23-33-000-2012-00156-01 (51960). </w:t>
      </w:r>
    </w:p>
  </w:footnote>
  <w:footnote w:id="25">
    <w:p w:rsidR="008561CA" w:rsidRDefault="008561CA" w:rsidP="00DA5410">
      <w:pPr>
        <w:pStyle w:val="Textonotapie"/>
      </w:pPr>
      <w:r w:rsidRPr="00394F97">
        <w:rPr>
          <w:rStyle w:val="Refdenotaalpie"/>
        </w:rPr>
        <w:footnoteRef/>
      </w:r>
      <w:r w:rsidRPr="00394F97">
        <w:t xml:space="preserve"> Sentencia T-459 de 2017.</w:t>
      </w:r>
    </w:p>
  </w:footnote>
  <w:footnote w:id="26">
    <w:p w:rsidR="00614DF3" w:rsidRPr="00614DF3" w:rsidRDefault="00614DF3" w:rsidP="00DA5410">
      <w:pPr>
        <w:pStyle w:val="Textonotapie"/>
        <w:rPr>
          <w:lang w:val="es-MX"/>
        </w:rPr>
      </w:pPr>
      <w:r>
        <w:rPr>
          <w:rStyle w:val="Refdenotaalpie"/>
        </w:rPr>
        <w:footnoteRef/>
      </w:r>
      <w:r>
        <w:t xml:space="preserve"> </w:t>
      </w:r>
      <w:r w:rsidRPr="00614DF3">
        <w:rPr>
          <w:lang w:val="es-ES" w:eastAsia="en-US"/>
        </w:rPr>
        <w:t xml:space="preserve">Al respecto, la sentencia T-310 de 2009 indicó: “(…) la acción de tutela contra sentencias es un juicio de validez de la decisión judicial, basado en la supremacía de las normas constitucionales. Esto se opone a que la acción de tutela ejerza una labor de corrección del fallo o que sirva como nueva instancia para la discusión de los asuntos de índole probatoria o de interpretación del derecho legislado que dieron lugar al mismo. En cambio, la tutela se circunscribe a detectar aquellos casos excepcionales en que la juridicidad de la sentencia judicial resulte afectada, debido a que desconoció el contenido y alcances de los derechos fundamentales”. Sobre el punto también se puede consultar la sentencia T-126 de 2018. </w:t>
      </w:r>
      <w:r w:rsidRPr="00614DF3">
        <w:rPr>
          <w:rFonts w:ascii="Verdana" w:hAnsi="Verdana"/>
          <w:lang w:val="es-ES" w:eastAsia="en-US"/>
        </w:rPr>
        <w:t xml:space="preserve"> </w:t>
      </w:r>
    </w:p>
  </w:footnote>
  <w:footnote w:id="27">
    <w:p w:rsidR="00614DF3" w:rsidRPr="00181A1C" w:rsidRDefault="00614DF3" w:rsidP="00DA5410">
      <w:pPr>
        <w:pStyle w:val="Textonotapie"/>
        <w:rPr>
          <w:lang w:val="es-MX"/>
        </w:rPr>
      </w:pPr>
      <w:r w:rsidRPr="00181A1C">
        <w:rPr>
          <w:rStyle w:val="Refdenotaalpie"/>
          <w:sz w:val="18"/>
          <w:szCs w:val="18"/>
        </w:rPr>
        <w:footnoteRef/>
      </w:r>
      <w:r w:rsidRPr="00181A1C">
        <w:t xml:space="preserve"> </w:t>
      </w:r>
      <w:r w:rsidRPr="00181A1C">
        <w:rPr>
          <w:lang w:val="es-MX"/>
        </w:rPr>
        <w:t xml:space="preserve">SU-033 </w:t>
      </w:r>
      <w:r>
        <w:rPr>
          <w:lang w:val="es-MX"/>
        </w:rPr>
        <w:t>de</w:t>
      </w:r>
      <w:r w:rsidRPr="00181A1C">
        <w:rPr>
          <w:lang w:val="es-MX"/>
        </w:rPr>
        <w:t xml:space="preserve"> 2018</w:t>
      </w:r>
      <w:r w:rsidR="00DA5410">
        <w:rPr>
          <w:lang w:val="es-MX"/>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668" w:rsidRPr="008F2BC8" w:rsidRDefault="009A75AE">
    <w:pPr>
      <w:pStyle w:val="Encabezado"/>
    </w:pPr>
    <w:r w:rsidRPr="008F2BC8">
      <w:rPr>
        <w:noProof/>
        <w:lang w:eastAsia="es-CO"/>
      </w:rPr>
      <w:drawing>
        <wp:anchor distT="0" distB="0" distL="114300" distR="114300" simplePos="0" relativeHeight="251657216" behindDoc="0" locked="0" layoutInCell="1" allowOverlap="1">
          <wp:simplePos x="0" y="0"/>
          <wp:positionH relativeFrom="column">
            <wp:posOffset>-474980</wp:posOffset>
          </wp:positionH>
          <wp:positionV relativeFrom="paragraph">
            <wp:posOffset>-127635</wp:posOffset>
          </wp:positionV>
          <wp:extent cx="1238250" cy="1152525"/>
          <wp:effectExtent l="0" t="0" r="0" b="0"/>
          <wp:wrapSquare wrapText="bothSides"/>
          <wp:docPr id="4" name="Imagen 4"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7668" w:rsidRPr="008F2BC8" w:rsidRDefault="00487668">
    <w:pPr>
      <w:pStyle w:val="Encabezado"/>
    </w:pPr>
  </w:p>
  <w:p w:rsidR="00487668" w:rsidRPr="008F2BC8" w:rsidRDefault="009A75AE">
    <w:pPr>
      <w:pStyle w:val="Encabezado"/>
    </w:pPr>
    <w:r w:rsidRPr="008F2BC8">
      <w:rPr>
        <w:noProof/>
        <w:sz w:val="20"/>
        <w:szCs w:val="20"/>
        <w:lang w:eastAsia="es-CO"/>
      </w:rPr>
      <mc:AlternateContent>
        <mc:Choice Requires="wps">
          <w:drawing>
            <wp:anchor distT="0" distB="0" distL="114300" distR="114300" simplePos="0" relativeHeight="251656192" behindDoc="0" locked="0" layoutInCell="1" allowOverlap="1">
              <wp:simplePos x="0" y="0"/>
              <wp:positionH relativeFrom="column">
                <wp:posOffset>1379855</wp:posOffset>
              </wp:positionH>
              <wp:positionV relativeFrom="paragraph">
                <wp:posOffset>60325</wp:posOffset>
              </wp:positionV>
              <wp:extent cx="5400040" cy="0"/>
              <wp:effectExtent l="17780" t="22225" r="20955" b="1587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1FFA6B9" id="_x0000_t32" coordsize="21600,21600" o:spt="32" o:oned="t" path="m,l21600,21600e" filled="f">
              <v:path arrowok="t" fillok="f" o:connecttype="none"/>
              <o:lock v:ext="edit" shapetype="t"/>
            </v:shapetype>
            <v:shape id="AutoShape 3" o:spid="_x0000_s1026" type="#_x0000_t32" style="position:absolute;margin-left:108.65pt;margin-top:4.75pt;width:425.2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" strokeweight="2.25pt">
              <v:shadow color="#1f3763" opacity=".5" offset="1pt"/>
            </v:shape>
          </w:pict>
        </mc:Fallback>
      </mc:AlternateContent>
    </w:r>
  </w:p>
  <w:p w:rsidR="00487668" w:rsidRPr="00A02E90" w:rsidRDefault="00487668" w:rsidP="0054069D">
    <w:pPr>
      <w:pStyle w:val="Encabezado"/>
      <w:jc w:val="right"/>
      <w:rPr>
        <w:i/>
        <w:iCs/>
        <w:sz w:val="20"/>
        <w:szCs w:val="20"/>
      </w:rPr>
    </w:pPr>
    <w:r w:rsidRPr="00A02E90">
      <w:rPr>
        <w:i/>
        <w:iCs/>
        <w:sz w:val="20"/>
        <w:szCs w:val="20"/>
      </w:rPr>
      <w:t>Radicado: 11001-03-15-000-202</w:t>
    </w:r>
    <w:r w:rsidR="009243EC" w:rsidRPr="00A02E90">
      <w:rPr>
        <w:i/>
        <w:iCs/>
        <w:sz w:val="20"/>
        <w:szCs w:val="20"/>
      </w:rPr>
      <w:t>2</w:t>
    </w:r>
    <w:r w:rsidRPr="00A02E90">
      <w:rPr>
        <w:i/>
        <w:iCs/>
        <w:sz w:val="20"/>
        <w:szCs w:val="20"/>
      </w:rPr>
      <w:t>-</w:t>
    </w:r>
    <w:r w:rsidR="009243EC" w:rsidRPr="00A02E90">
      <w:rPr>
        <w:i/>
        <w:iCs/>
        <w:sz w:val="20"/>
        <w:szCs w:val="20"/>
      </w:rPr>
      <w:t>0</w:t>
    </w:r>
    <w:r w:rsidR="00557CEA">
      <w:rPr>
        <w:i/>
        <w:iCs/>
        <w:sz w:val="20"/>
        <w:szCs w:val="20"/>
      </w:rPr>
      <w:t>4053</w:t>
    </w:r>
    <w:r w:rsidRPr="00A02E90">
      <w:rPr>
        <w:i/>
        <w:iCs/>
        <w:sz w:val="20"/>
        <w:szCs w:val="20"/>
      </w:rPr>
      <w:t>-00</w:t>
    </w:r>
  </w:p>
  <w:p w:rsidR="00487668" w:rsidRDefault="00487668" w:rsidP="008F2BC8">
    <w:pPr>
      <w:pStyle w:val="Encabezado"/>
      <w:tabs>
        <w:tab w:val="clear" w:pos="4252"/>
        <w:tab w:val="center" w:pos="3828"/>
      </w:tabs>
      <w:jc w:val="right"/>
      <w:rPr>
        <w:i/>
        <w:iCs/>
        <w:sz w:val="20"/>
        <w:szCs w:val="20"/>
      </w:rPr>
    </w:pPr>
    <w:r w:rsidRPr="00A02E90">
      <w:rPr>
        <w:i/>
        <w:iCs/>
        <w:sz w:val="20"/>
        <w:szCs w:val="20"/>
      </w:rPr>
      <w:tab/>
    </w:r>
    <w:r w:rsidRPr="00A02E90">
      <w:rPr>
        <w:i/>
        <w:iCs/>
        <w:sz w:val="20"/>
        <w:szCs w:val="20"/>
      </w:rPr>
      <w:tab/>
      <w:t>Accionante</w:t>
    </w:r>
    <w:bookmarkStart w:id="2" w:name="_Hlk97220063"/>
    <w:bookmarkStart w:id="3" w:name="_Hlk97220064"/>
    <w:r w:rsidRPr="00A02E90">
      <w:rPr>
        <w:i/>
        <w:iCs/>
        <w:sz w:val="20"/>
        <w:szCs w:val="20"/>
      </w:rPr>
      <w:t xml:space="preserve">: </w:t>
    </w:r>
    <w:bookmarkEnd w:id="2"/>
    <w:bookmarkEnd w:id="3"/>
    <w:r w:rsidR="00557CEA">
      <w:rPr>
        <w:i/>
        <w:iCs/>
        <w:sz w:val="20"/>
        <w:szCs w:val="20"/>
      </w:rPr>
      <w:t>Alberto de Jesús Martelo Camacho</w:t>
    </w:r>
  </w:p>
  <w:p w:rsidR="00A33041" w:rsidRDefault="00A33041" w:rsidP="008F2BC8">
    <w:pPr>
      <w:pStyle w:val="Encabezado"/>
      <w:tabs>
        <w:tab w:val="clear" w:pos="4252"/>
        <w:tab w:val="center" w:pos="3828"/>
      </w:tabs>
      <w:jc w:val="right"/>
      <w:rPr>
        <w:i/>
        <w:iCs/>
        <w:sz w:val="20"/>
        <w:szCs w:val="20"/>
      </w:rPr>
    </w:pPr>
  </w:p>
  <w:p w:rsidR="00A33041" w:rsidRDefault="00A33041" w:rsidP="008F2BC8">
    <w:pPr>
      <w:pStyle w:val="Encabezado"/>
      <w:tabs>
        <w:tab w:val="clear" w:pos="4252"/>
        <w:tab w:val="center" w:pos="3828"/>
      </w:tabs>
      <w:jc w:val="right"/>
      <w:rPr>
        <w:i/>
        <w:iCs/>
        <w:sz w:val="20"/>
        <w:szCs w:val="20"/>
      </w:rPr>
    </w:pPr>
  </w:p>
  <w:p w:rsidR="00A33041" w:rsidRPr="00A02E90" w:rsidRDefault="00A33041" w:rsidP="008F2BC8">
    <w:pPr>
      <w:pStyle w:val="Encabezado"/>
      <w:tabs>
        <w:tab w:val="clear" w:pos="4252"/>
        <w:tab w:val="center" w:pos="3828"/>
      </w:tabs>
      <w:jc w:val="right"/>
      <w:rPr>
        <w:i/>
        <w:i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E90" w:rsidRPr="008F2BC8" w:rsidRDefault="009A75AE" w:rsidP="00A02E90">
    <w:pPr>
      <w:pStyle w:val="Encabezado"/>
    </w:pPr>
    <w:r w:rsidRPr="008F2BC8">
      <w:rPr>
        <w:noProof/>
        <w:sz w:val="20"/>
        <w:szCs w:val="20"/>
        <w:lang w:eastAsia="es-CO"/>
      </w:rPr>
      <mc:AlternateContent>
        <mc:Choice Requires="wps">
          <w:drawing>
            <wp:anchor distT="0" distB="0" distL="114300" distR="114300" simplePos="0" relativeHeight="251659264" behindDoc="0" locked="0" layoutInCell="1" allowOverlap="1">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7B8EFAF"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" strokeweight="2.25pt">
              <v:shadow color="#1f3763" opacity=".5" offset="1pt"/>
            </v:shape>
          </w:pict>
        </mc:Fallback>
      </mc:AlternateContent>
    </w:r>
  </w:p>
  <w:p w:rsidR="00A02E90" w:rsidRPr="00A02E90" w:rsidRDefault="00A02E90" w:rsidP="00A02E90">
    <w:pPr>
      <w:pStyle w:val="Encabezado"/>
      <w:jc w:val="right"/>
      <w:rPr>
        <w:i/>
        <w:iCs/>
        <w:sz w:val="20"/>
        <w:szCs w:val="20"/>
      </w:rPr>
    </w:pPr>
    <w:r w:rsidRPr="00A02E90">
      <w:rPr>
        <w:i/>
        <w:iCs/>
        <w:sz w:val="20"/>
        <w:szCs w:val="20"/>
      </w:rPr>
      <w:t>Radicado: 11001-03-15-000-2022-0</w:t>
    </w:r>
    <w:r w:rsidR="00557CEA">
      <w:rPr>
        <w:i/>
        <w:iCs/>
        <w:sz w:val="20"/>
        <w:szCs w:val="20"/>
      </w:rPr>
      <w:t>4053</w:t>
    </w:r>
    <w:r w:rsidRPr="00A02E90">
      <w:rPr>
        <w:i/>
        <w:iCs/>
        <w:sz w:val="20"/>
        <w:szCs w:val="20"/>
      </w:rPr>
      <w:t>-00</w:t>
    </w:r>
  </w:p>
  <w:p w:rsidR="00A02E90" w:rsidRPr="00A02E90" w:rsidRDefault="00A02E90" w:rsidP="00A02E90">
    <w:pPr>
      <w:pStyle w:val="Encabezado"/>
      <w:tabs>
        <w:tab w:val="clear" w:pos="4252"/>
        <w:tab w:val="center" w:pos="3828"/>
      </w:tabs>
      <w:jc w:val="right"/>
      <w:rPr>
        <w:i/>
        <w:iCs/>
        <w:sz w:val="20"/>
        <w:szCs w:val="20"/>
      </w:rPr>
    </w:pPr>
    <w:r w:rsidRPr="00A02E90">
      <w:rPr>
        <w:i/>
        <w:iCs/>
        <w:sz w:val="20"/>
        <w:szCs w:val="20"/>
      </w:rPr>
      <w:tab/>
    </w:r>
    <w:r w:rsidRPr="00A02E90">
      <w:rPr>
        <w:i/>
        <w:iCs/>
        <w:sz w:val="20"/>
        <w:szCs w:val="20"/>
      </w:rPr>
      <w:tab/>
      <w:t xml:space="preserve">Accionante: </w:t>
    </w:r>
    <w:r w:rsidR="00557CEA">
      <w:rPr>
        <w:i/>
        <w:iCs/>
        <w:sz w:val="20"/>
        <w:szCs w:val="20"/>
      </w:rPr>
      <w:t>Alberto de Jesús Martelo Camacho</w:t>
    </w:r>
  </w:p>
  <w:p w:rsidR="00487668" w:rsidRPr="00A15ACE" w:rsidRDefault="009A75AE" w:rsidP="00F1441F">
    <w:pPr>
      <w:pStyle w:val="Encabezado"/>
      <w:rPr>
        <w:color w:val="767171"/>
      </w:rPr>
    </w:pPr>
    <w:r>
      <w:rPr>
        <w:noProof/>
        <w:lang w:eastAsia="es-CO"/>
      </w:rPr>
      <w:drawing>
        <wp:anchor distT="0" distB="0" distL="114300" distR="114300" simplePos="0" relativeHeight="251658240" behindDoc="0" locked="0" layoutInCell="1" allowOverlap="1">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7668" w:rsidRPr="007F276C" w:rsidRDefault="00487668" w:rsidP="00632FF0">
    <w:pPr>
      <w:pStyle w:val="Cuadrculamedia21"/>
    </w:pPr>
    <w:r w:rsidRPr="007F276C">
      <w:t>CONSEJO DE ESTADO</w:t>
    </w:r>
  </w:p>
  <w:p w:rsidR="00487668" w:rsidRPr="007F276C" w:rsidRDefault="00487668" w:rsidP="00632FF0">
    <w:pPr>
      <w:pStyle w:val="Cuadrculamedia21"/>
    </w:pPr>
    <w:r w:rsidRPr="007F276C">
      <w:t>SALA DE LO CONTENCIOSO ADMINISTRATIVO</w:t>
    </w:r>
  </w:p>
  <w:p w:rsidR="00A02E90" w:rsidRDefault="00487668" w:rsidP="00632FF0">
    <w:pPr>
      <w:pStyle w:val="Cuadrculamedia21"/>
    </w:pPr>
    <w:r w:rsidRPr="007F276C">
      <w:t>SECCIÓN TERCERA</w:t>
    </w:r>
  </w:p>
  <w:p w:rsidR="00487668" w:rsidRPr="007F276C" w:rsidRDefault="00487668" w:rsidP="00632FF0">
    <w:pPr>
      <w:pStyle w:val="Cuadrculamedia21"/>
    </w:pPr>
    <w:r w:rsidRPr="007F276C">
      <w:t>SUBSECCIÓN C</w:t>
    </w:r>
  </w:p>
  <w:p w:rsidR="00487668" w:rsidRDefault="004876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6CCAE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21E16"/>
    <w:multiLevelType w:val="multilevel"/>
    <w:tmpl w:val="4D122B0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9CB5147"/>
    <w:multiLevelType w:val="multilevel"/>
    <w:tmpl w:val="A912AA8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56C0FB9"/>
    <w:multiLevelType w:val="hybridMultilevel"/>
    <w:tmpl w:val="CB503E30"/>
    <w:lvl w:ilvl="0" w:tplc="035AF10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D374F73"/>
    <w:multiLevelType w:val="multilevel"/>
    <w:tmpl w:val="5956C4BA"/>
    <w:lvl w:ilvl="0">
      <w:start w:val="1"/>
      <w:numFmt w:val="upperRoman"/>
      <w:pStyle w:val="Ttulo1"/>
      <w:lvlText w:val="%1."/>
      <w:lvlJc w:val="righ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1054609"/>
    <w:multiLevelType w:val="hybridMultilevel"/>
    <w:tmpl w:val="7EB444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5CB1E67"/>
    <w:multiLevelType w:val="multilevel"/>
    <w:tmpl w:val="333A86F6"/>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7BE690B"/>
    <w:multiLevelType w:val="multilevel"/>
    <w:tmpl w:val="1CF8B45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6689694C"/>
    <w:multiLevelType w:val="multilevel"/>
    <w:tmpl w:val="0F221092"/>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B80388D"/>
    <w:multiLevelType w:val="multilevel"/>
    <w:tmpl w:val="8E0E4E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6"/>
  </w:num>
  <w:num w:numId="6">
    <w:abstractNumId w:val="13"/>
  </w:num>
  <w:num w:numId="7">
    <w:abstractNumId w:val="8"/>
  </w:num>
  <w:num w:numId="8">
    <w:abstractNumId w:val="4"/>
  </w:num>
  <w:num w:numId="9">
    <w:abstractNumId w:val="7"/>
  </w:num>
  <w:num w:numId="10">
    <w:abstractNumId w:val="0"/>
  </w:num>
  <w:num w:numId="11">
    <w:abstractNumId w:val="9"/>
  </w:num>
  <w:num w:numId="12">
    <w:abstractNumId w:val="10"/>
  </w:num>
  <w:num w:numId="13">
    <w:abstractNumId w:val="2"/>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05E8"/>
    <w:rsid w:val="00002AD3"/>
    <w:rsid w:val="00004E3A"/>
    <w:rsid w:val="00005041"/>
    <w:rsid w:val="00005EA5"/>
    <w:rsid w:val="00006D3C"/>
    <w:rsid w:val="000106D3"/>
    <w:rsid w:val="000131B5"/>
    <w:rsid w:val="00017CB3"/>
    <w:rsid w:val="00021BEA"/>
    <w:rsid w:val="00023BA3"/>
    <w:rsid w:val="00025F2A"/>
    <w:rsid w:val="0003218E"/>
    <w:rsid w:val="000339D1"/>
    <w:rsid w:val="000349F9"/>
    <w:rsid w:val="0003668F"/>
    <w:rsid w:val="00040DFC"/>
    <w:rsid w:val="0004245A"/>
    <w:rsid w:val="0004392F"/>
    <w:rsid w:val="00043FEC"/>
    <w:rsid w:val="00044D65"/>
    <w:rsid w:val="00044EDE"/>
    <w:rsid w:val="000457E1"/>
    <w:rsid w:val="000500FF"/>
    <w:rsid w:val="000508CD"/>
    <w:rsid w:val="00050C42"/>
    <w:rsid w:val="000532C4"/>
    <w:rsid w:val="000572B4"/>
    <w:rsid w:val="000578D4"/>
    <w:rsid w:val="0006102E"/>
    <w:rsid w:val="00061B93"/>
    <w:rsid w:val="00062443"/>
    <w:rsid w:val="00062D6A"/>
    <w:rsid w:val="0007096C"/>
    <w:rsid w:val="0007138A"/>
    <w:rsid w:val="000717E4"/>
    <w:rsid w:val="000728E0"/>
    <w:rsid w:val="00073869"/>
    <w:rsid w:val="00074933"/>
    <w:rsid w:val="00075C3B"/>
    <w:rsid w:val="00076AEF"/>
    <w:rsid w:val="00076CC4"/>
    <w:rsid w:val="00077868"/>
    <w:rsid w:val="00080E08"/>
    <w:rsid w:val="00083B8F"/>
    <w:rsid w:val="00084808"/>
    <w:rsid w:val="00085770"/>
    <w:rsid w:val="0008653A"/>
    <w:rsid w:val="00090A6A"/>
    <w:rsid w:val="00092365"/>
    <w:rsid w:val="00094E7B"/>
    <w:rsid w:val="00095CA3"/>
    <w:rsid w:val="00096FEC"/>
    <w:rsid w:val="00097896"/>
    <w:rsid w:val="000A2069"/>
    <w:rsid w:val="000A29B4"/>
    <w:rsid w:val="000A511D"/>
    <w:rsid w:val="000A59A9"/>
    <w:rsid w:val="000A5E0F"/>
    <w:rsid w:val="000B3585"/>
    <w:rsid w:val="000B3D62"/>
    <w:rsid w:val="000B771E"/>
    <w:rsid w:val="000C089F"/>
    <w:rsid w:val="000C2B43"/>
    <w:rsid w:val="000C323C"/>
    <w:rsid w:val="000C3815"/>
    <w:rsid w:val="000C59BB"/>
    <w:rsid w:val="000C5DB7"/>
    <w:rsid w:val="000C7B4F"/>
    <w:rsid w:val="000D0E41"/>
    <w:rsid w:val="000D11E9"/>
    <w:rsid w:val="000D4791"/>
    <w:rsid w:val="000D501C"/>
    <w:rsid w:val="000D5563"/>
    <w:rsid w:val="000E0D62"/>
    <w:rsid w:val="000E2D62"/>
    <w:rsid w:val="000E3B37"/>
    <w:rsid w:val="000E638B"/>
    <w:rsid w:val="000E6A0F"/>
    <w:rsid w:val="000E6ADE"/>
    <w:rsid w:val="000E7DD6"/>
    <w:rsid w:val="000F0427"/>
    <w:rsid w:val="000F1EB8"/>
    <w:rsid w:val="000F4238"/>
    <w:rsid w:val="000F4977"/>
    <w:rsid w:val="000F4994"/>
    <w:rsid w:val="000F608B"/>
    <w:rsid w:val="000F7516"/>
    <w:rsid w:val="000F785E"/>
    <w:rsid w:val="00100CBD"/>
    <w:rsid w:val="00101CAF"/>
    <w:rsid w:val="0010200E"/>
    <w:rsid w:val="0010255B"/>
    <w:rsid w:val="001039A0"/>
    <w:rsid w:val="00105352"/>
    <w:rsid w:val="00105A9B"/>
    <w:rsid w:val="001069EE"/>
    <w:rsid w:val="00106B41"/>
    <w:rsid w:val="00107650"/>
    <w:rsid w:val="00115FDF"/>
    <w:rsid w:val="00116942"/>
    <w:rsid w:val="00116D1A"/>
    <w:rsid w:val="00117091"/>
    <w:rsid w:val="00121C89"/>
    <w:rsid w:val="00123076"/>
    <w:rsid w:val="00125C8E"/>
    <w:rsid w:val="0012691C"/>
    <w:rsid w:val="00126DE9"/>
    <w:rsid w:val="00127C92"/>
    <w:rsid w:val="001300B7"/>
    <w:rsid w:val="00130A7F"/>
    <w:rsid w:val="00131347"/>
    <w:rsid w:val="001314F6"/>
    <w:rsid w:val="00133F91"/>
    <w:rsid w:val="00135F64"/>
    <w:rsid w:val="001376E0"/>
    <w:rsid w:val="00137C16"/>
    <w:rsid w:val="00137D18"/>
    <w:rsid w:val="001408DA"/>
    <w:rsid w:val="0014093D"/>
    <w:rsid w:val="00142470"/>
    <w:rsid w:val="0014251B"/>
    <w:rsid w:val="00142D39"/>
    <w:rsid w:val="00145BFA"/>
    <w:rsid w:val="00150E9B"/>
    <w:rsid w:val="0015261F"/>
    <w:rsid w:val="0015393C"/>
    <w:rsid w:val="00155E78"/>
    <w:rsid w:val="001571AE"/>
    <w:rsid w:val="0016217D"/>
    <w:rsid w:val="00163D47"/>
    <w:rsid w:val="00164218"/>
    <w:rsid w:val="00166AF6"/>
    <w:rsid w:val="00167D7A"/>
    <w:rsid w:val="00167F33"/>
    <w:rsid w:val="0017199B"/>
    <w:rsid w:val="001737AB"/>
    <w:rsid w:val="0017761E"/>
    <w:rsid w:val="00177834"/>
    <w:rsid w:val="001818F0"/>
    <w:rsid w:val="001871FB"/>
    <w:rsid w:val="00187D6D"/>
    <w:rsid w:val="0019115B"/>
    <w:rsid w:val="00193C3F"/>
    <w:rsid w:val="00194CD0"/>
    <w:rsid w:val="001953E0"/>
    <w:rsid w:val="00196201"/>
    <w:rsid w:val="001974BD"/>
    <w:rsid w:val="001A11AB"/>
    <w:rsid w:val="001A13BA"/>
    <w:rsid w:val="001A1CAE"/>
    <w:rsid w:val="001A6568"/>
    <w:rsid w:val="001B1DF4"/>
    <w:rsid w:val="001B2086"/>
    <w:rsid w:val="001B291F"/>
    <w:rsid w:val="001B2B62"/>
    <w:rsid w:val="001B366C"/>
    <w:rsid w:val="001B546A"/>
    <w:rsid w:val="001C1197"/>
    <w:rsid w:val="001C208B"/>
    <w:rsid w:val="001C2B53"/>
    <w:rsid w:val="001C35A8"/>
    <w:rsid w:val="001C3967"/>
    <w:rsid w:val="001C3C1F"/>
    <w:rsid w:val="001C3CC7"/>
    <w:rsid w:val="001D0C82"/>
    <w:rsid w:val="001D128C"/>
    <w:rsid w:val="001D37D3"/>
    <w:rsid w:val="001D3A9C"/>
    <w:rsid w:val="001D46D4"/>
    <w:rsid w:val="001D4D53"/>
    <w:rsid w:val="001D4E62"/>
    <w:rsid w:val="001D5085"/>
    <w:rsid w:val="001D5284"/>
    <w:rsid w:val="001D5816"/>
    <w:rsid w:val="001D6B97"/>
    <w:rsid w:val="001D6FAA"/>
    <w:rsid w:val="001E1B2F"/>
    <w:rsid w:val="001E556F"/>
    <w:rsid w:val="001E7758"/>
    <w:rsid w:val="001F5705"/>
    <w:rsid w:val="001F633B"/>
    <w:rsid w:val="001F77D1"/>
    <w:rsid w:val="00200E2F"/>
    <w:rsid w:val="00201170"/>
    <w:rsid w:val="00201EC3"/>
    <w:rsid w:val="00206066"/>
    <w:rsid w:val="00207BDA"/>
    <w:rsid w:val="002120B8"/>
    <w:rsid w:val="00212973"/>
    <w:rsid w:val="002141FD"/>
    <w:rsid w:val="00214D23"/>
    <w:rsid w:val="00216CBD"/>
    <w:rsid w:val="00217004"/>
    <w:rsid w:val="00217BCB"/>
    <w:rsid w:val="002230E3"/>
    <w:rsid w:val="002232C9"/>
    <w:rsid w:val="0022445F"/>
    <w:rsid w:val="00226235"/>
    <w:rsid w:val="00226C08"/>
    <w:rsid w:val="002279AE"/>
    <w:rsid w:val="002344BB"/>
    <w:rsid w:val="0023490B"/>
    <w:rsid w:val="002409A5"/>
    <w:rsid w:val="00242A97"/>
    <w:rsid w:val="00244A70"/>
    <w:rsid w:val="00244AB8"/>
    <w:rsid w:val="00244AF1"/>
    <w:rsid w:val="0024589F"/>
    <w:rsid w:val="00246239"/>
    <w:rsid w:val="002477CB"/>
    <w:rsid w:val="0025031F"/>
    <w:rsid w:val="00252780"/>
    <w:rsid w:val="00254098"/>
    <w:rsid w:val="00255568"/>
    <w:rsid w:val="002558F9"/>
    <w:rsid w:val="00261E97"/>
    <w:rsid w:val="0026512F"/>
    <w:rsid w:val="0026676B"/>
    <w:rsid w:val="002712D1"/>
    <w:rsid w:val="0027215E"/>
    <w:rsid w:val="00272D09"/>
    <w:rsid w:val="0027414E"/>
    <w:rsid w:val="002743E9"/>
    <w:rsid w:val="00275D11"/>
    <w:rsid w:val="002760D4"/>
    <w:rsid w:val="0028037E"/>
    <w:rsid w:val="0028089E"/>
    <w:rsid w:val="00281090"/>
    <w:rsid w:val="0028114B"/>
    <w:rsid w:val="002816EC"/>
    <w:rsid w:val="00281755"/>
    <w:rsid w:val="00281874"/>
    <w:rsid w:val="0028665C"/>
    <w:rsid w:val="0028766A"/>
    <w:rsid w:val="00287E1F"/>
    <w:rsid w:val="002927EB"/>
    <w:rsid w:val="00293B93"/>
    <w:rsid w:val="00294381"/>
    <w:rsid w:val="002947C0"/>
    <w:rsid w:val="0029508D"/>
    <w:rsid w:val="0029692B"/>
    <w:rsid w:val="00296DA2"/>
    <w:rsid w:val="00297C26"/>
    <w:rsid w:val="002A0032"/>
    <w:rsid w:val="002A0C55"/>
    <w:rsid w:val="002A271C"/>
    <w:rsid w:val="002A3AAE"/>
    <w:rsid w:val="002A3D0A"/>
    <w:rsid w:val="002A43C3"/>
    <w:rsid w:val="002A4456"/>
    <w:rsid w:val="002A522E"/>
    <w:rsid w:val="002A5BF4"/>
    <w:rsid w:val="002A5FA2"/>
    <w:rsid w:val="002A6C86"/>
    <w:rsid w:val="002A7F31"/>
    <w:rsid w:val="002B0A48"/>
    <w:rsid w:val="002B2800"/>
    <w:rsid w:val="002B2813"/>
    <w:rsid w:val="002B3582"/>
    <w:rsid w:val="002B4ADA"/>
    <w:rsid w:val="002B4F1D"/>
    <w:rsid w:val="002B6116"/>
    <w:rsid w:val="002B7317"/>
    <w:rsid w:val="002B76B1"/>
    <w:rsid w:val="002B7CC6"/>
    <w:rsid w:val="002C12BC"/>
    <w:rsid w:val="002C1B74"/>
    <w:rsid w:val="002C2D4A"/>
    <w:rsid w:val="002C3528"/>
    <w:rsid w:val="002C4C50"/>
    <w:rsid w:val="002D0B70"/>
    <w:rsid w:val="002D480B"/>
    <w:rsid w:val="002E1476"/>
    <w:rsid w:val="002E1978"/>
    <w:rsid w:val="002E54EC"/>
    <w:rsid w:val="002E61F8"/>
    <w:rsid w:val="002F034A"/>
    <w:rsid w:val="002F0414"/>
    <w:rsid w:val="002F1F0F"/>
    <w:rsid w:val="002F4032"/>
    <w:rsid w:val="002F4767"/>
    <w:rsid w:val="002F5C48"/>
    <w:rsid w:val="002F7066"/>
    <w:rsid w:val="002F79F7"/>
    <w:rsid w:val="00301FA1"/>
    <w:rsid w:val="003020C0"/>
    <w:rsid w:val="003020F1"/>
    <w:rsid w:val="003031AC"/>
    <w:rsid w:val="003041B2"/>
    <w:rsid w:val="00304D78"/>
    <w:rsid w:val="00304F52"/>
    <w:rsid w:val="0030517E"/>
    <w:rsid w:val="00305DF5"/>
    <w:rsid w:val="003073BB"/>
    <w:rsid w:val="0031042D"/>
    <w:rsid w:val="0031514A"/>
    <w:rsid w:val="00317502"/>
    <w:rsid w:val="00317535"/>
    <w:rsid w:val="00320D69"/>
    <w:rsid w:val="00322525"/>
    <w:rsid w:val="00322E59"/>
    <w:rsid w:val="00322EBB"/>
    <w:rsid w:val="003249BD"/>
    <w:rsid w:val="00324C40"/>
    <w:rsid w:val="00326BD3"/>
    <w:rsid w:val="003305A2"/>
    <w:rsid w:val="00330F01"/>
    <w:rsid w:val="00331CD4"/>
    <w:rsid w:val="00332E5B"/>
    <w:rsid w:val="00333350"/>
    <w:rsid w:val="0033529C"/>
    <w:rsid w:val="0033594F"/>
    <w:rsid w:val="003405D4"/>
    <w:rsid w:val="0034111B"/>
    <w:rsid w:val="00342E8D"/>
    <w:rsid w:val="003435B6"/>
    <w:rsid w:val="00344E9C"/>
    <w:rsid w:val="00346323"/>
    <w:rsid w:val="00347662"/>
    <w:rsid w:val="00347D1F"/>
    <w:rsid w:val="00350D8D"/>
    <w:rsid w:val="00351BC9"/>
    <w:rsid w:val="0035262C"/>
    <w:rsid w:val="00353DF1"/>
    <w:rsid w:val="00354065"/>
    <w:rsid w:val="00354ABD"/>
    <w:rsid w:val="0035502A"/>
    <w:rsid w:val="0035535E"/>
    <w:rsid w:val="00355CE3"/>
    <w:rsid w:val="003577DC"/>
    <w:rsid w:val="003603AD"/>
    <w:rsid w:val="00360658"/>
    <w:rsid w:val="00361478"/>
    <w:rsid w:val="00361D6D"/>
    <w:rsid w:val="0036270F"/>
    <w:rsid w:val="003633EA"/>
    <w:rsid w:val="00363A5B"/>
    <w:rsid w:val="00365AFC"/>
    <w:rsid w:val="003669F6"/>
    <w:rsid w:val="0036789B"/>
    <w:rsid w:val="00367AE7"/>
    <w:rsid w:val="00371800"/>
    <w:rsid w:val="00374674"/>
    <w:rsid w:val="00380FC2"/>
    <w:rsid w:val="00381805"/>
    <w:rsid w:val="003820C5"/>
    <w:rsid w:val="00382258"/>
    <w:rsid w:val="00383425"/>
    <w:rsid w:val="00384507"/>
    <w:rsid w:val="003859A8"/>
    <w:rsid w:val="00386B8C"/>
    <w:rsid w:val="00387BBC"/>
    <w:rsid w:val="00391ADC"/>
    <w:rsid w:val="00391D53"/>
    <w:rsid w:val="00393F0D"/>
    <w:rsid w:val="00394A69"/>
    <w:rsid w:val="003950F9"/>
    <w:rsid w:val="003952CD"/>
    <w:rsid w:val="003A12C4"/>
    <w:rsid w:val="003A3934"/>
    <w:rsid w:val="003A3E01"/>
    <w:rsid w:val="003A4293"/>
    <w:rsid w:val="003A47CE"/>
    <w:rsid w:val="003A481A"/>
    <w:rsid w:val="003A4A2A"/>
    <w:rsid w:val="003A570A"/>
    <w:rsid w:val="003B184C"/>
    <w:rsid w:val="003B2682"/>
    <w:rsid w:val="003B326D"/>
    <w:rsid w:val="003B4515"/>
    <w:rsid w:val="003B6F7D"/>
    <w:rsid w:val="003C1541"/>
    <w:rsid w:val="003C38F4"/>
    <w:rsid w:val="003C5D81"/>
    <w:rsid w:val="003D0DA6"/>
    <w:rsid w:val="003D152B"/>
    <w:rsid w:val="003D1B94"/>
    <w:rsid w:val="003D23A5"/>
    <w:rsid w:val="003D4284"/>
    <w:rsid w:val="003D42A7"/>
    <w:rsid w:val="003D478E"/>
    <w:rsid w:val="003D5234"/>
    <w:rsid w:val="003D6E1D"/>
    <w:rsid w:val="003D7F00"/>
    <w:rsid w:val="003E02F0"/>
    <w:rsid w:val="003E1AC8"/>
    <w:rsid w:val="003E2603"/>
    <w:rsid w:val="003E28C7"/>
    <w:rsid w:val="003E2D64"/>
    <w:rsid w:val="003E3BCE"/>
    <w:rsid w:val="003F03BC"/>
    <w:rsid w:val="003F2BA3"/>
    <w:rsid w:val="003F3C05"/>
    <w:rsid w:val="003F4EE1"/>
    <w:rsid w:val="003F5030"/>
    <w:rsid w:val="003F62E9"/>
    <w:rsid w:val="003F7FF5"/>
    <w:rsid w:val="00402998"/>
    <w:rsid w:val="00403DEE"/>
    <w:rsid w:val="00404DFD"/>
    <w:rsid w:val="0040645A"/>
    <w:rsid w:val="00406945"/>
    <w:rsid w:val="00407CAA"/>
    <w:rsid w:val="0041034E"/>
    <w:rsid w:val="0041151F"/>
    <w:rsid w:val="00411F4A"/>
    <w:rsid w:val="0041390B"/>
    <w:rsid w:val="004150F5"/>
    <w:rsid w:val="004168CB"/>
    <w:rsid w:val="00417556"/>
    <w:rsid w:val="004211FA"/>
    <w:rsid w:val="00424723"/>
    <w:rsid w:val="00427AA0"/>
    <w:rsid w:val="00430389"/>
    <w:rsid w:val="00430D89"/>
    <w:rsid w:val="00431A11"/>
    <w:rsid w:val="00432AF1"/>
    <w:rsid w:val="00432E47"/>
    <w:rsid w:val="00433406"/>
    <w:rsid w:val="00433AB4"/>
    <w:rsid w:val="00433E5D"/>
    <w:rsid w:val="0043445E"/>
    <w:rsid w:val="0043504D"/>
    <w:rsid w:val="004362A2"/>
    <w:rsid w:val="00436B5D"/>
    <w:rsid w:val="0044566B"/>
    <w:rsid w:val="00445E31"/>
    <w:rsid w:val="004471CF"/>
    <w:rsid w:val="00447956"/>
    <w:rsid w:val="00451926"/>
    <w:rsid w:val="00460924"/>
    <w:rsid w:val="00461700"/>
    <w:rsid w:val="00462D68"/>
    <w:rsid w:val="00463D52"/>
    <w:rsid w:val="004644BD"/>
    <w:rsid w:val="00465702"/>
    <w:rsid w:val="00465FE7"/>
    <w:rsid w:val="00466C6A"/>
    <w:rsid w:val="004720AA"/>
    <w:rsid w:val="0047256F"/>
    <w:rsid w:val="00472F87"/>
    <w:rsid w:val="004732B2"/>
    <w:rsid w:val="00474707"/>
    <w:rsid w:val="004753A1"/>
    <w:rsid w:val="0047637C"/>
    <w:rsid w:val="00477299"/>
    <w:rsid w:val="00481454"/>
    <w:rsid w:val="004814FF"/>
    <w:rsid w:val="004822AB"/>
    <w:rsid w:val="004849BB"/>
    <w:rsid w:val="00484AA7"/>
    <w:rsid w:val="00485087"/>
    <w:rsid w:val="00485422"/>
    <w:rsid w:val="004857F6"/>
    <w:rsid w:val="00485E6A"/>
    <w:rsid w:val="00486027"/>
    <w:rsid w:val="00487668"/>
    <w:rsid w:val="00491910"/>
    <w:rsid w:val="004929B5"/>
    <w:rsid w:val="00496906"/>
    <w:rsid w:val="00497735"/>
    <w:rsid w:val="004A117E"/>
    <w:rsid w:val="004A1385"/>
    <w:rsid w:val="004A1D38"/>
    <w:rsid w:val="004A20CF"/>
    <w:rsid w:val="004A2936"/>
    <w:rsid w:val="004A40D6"/>
    <w:rsid w:val="004A4EB6"/>
    <w:rsid w:val="004A59E5"/>
    <w:rsid w:val="004B4E39"/>
    <w:rsid w:val="004B61AC"/>
    <w:rsid w:val="004B6733"/>
    <w:rsid w:val="004B7B9D"/>
    <w:rsid w:val="004C1707"/>
    <w:rsid w:val="004C1847"/>
    <w:rsid w:val="004C2A3F"/>
    <w:rsid w:val="004C2C86"/>
    <w:rsid w:val="004C3DE5"/>
    <w:rsid w:val="004D154B"/>
    <w:rsid w:val="004D15B8"/>
    <w:rsid w:val="004D3CA1"/>
    <w:rsid w:val="004D4163"/>
    <w:rsid w:val="004D4910"/>
    <w:rsid w:val="004D5983"/>
    <w:rsid w:val="004D63F2"/>
    <w:rsid w:val="004D7D67"/>
    <w:rsid w:val="004E1310"/>
    <w:rsid w:val="004E30F5"/>
    <w:rsid w:val="004E3D73"/>
    <w:rsid w:val="004E4BFA"/>
    <w:rsid w:val="004E536D"/>
    <w:rsid w:val="004E57E8"/>
    <w:rsid w:val="004E75FE"/>
    <w:rsid w:val="004F1945"/>
    <w:rsid w:val="004F48ED"/>
    <w:rsid w:val="004F5855"/>
    <w:rsid w:val="004F6210"/>
    <w:rsid w:val="004F73C7"/>
    <w:rsid w:val="004F7D1C"/>
    <w:rsid w:val="005006BA"/>
    <w:rsid w:val="005012B2"/>
    <w:rsid w:val="00501997"/>
    <w:rsid w:val="005023A1"/>
    <w:rsid w:val="0050585D"/>
    <w:rsid w:val="00505946"/>
    <w:rsid w:val="005062F2"/>
    <w:rsid w:val="00507FF2"/>
    <w:rsid w:val="00510F00"/>
    <w:rsid w:val="00512B70"/>
    <w:rsid w:val="0051461E"/>
    <w:rsid w:val="00514693"/>
    <w:rsid w:val="005163AB"/>
    <w:rsid w:val="005172FC"/>
    <w:rsid w:val="00517B65"/>
    <w:rsid w:val="0052203A"/>
    <w:rsid w:val="00522073"/>
    <w:rsid w:val="00522ADE"/>
    <w:rsid w:val="00523253"/>
    <w:rsid w:val="005252AA"/>
    <w:rsid w:val="0052688D"/>
    <w:rsid w:val="00526976"/>
    <w:rsid w:val="00527CD0"/>
    <w:rsid w:val="00530A8F"/>
    <w:rsid w:val="00530CAD"/>
    <w:rsid w:val="00531CC7"/>
    <w:rsid w:val="005328C0"/>
    <w:rsid w:val="005342D3"/>
    <w:rsid w:val="00534420"/>
    <w:rsid w:val="00534DA0"/>
    <w:rsid w:val="00535927"/>
    <w:rsid w:val="00536667"/>
    <w:rsid w:val="00536A71"/>
    <w:rsid w:val="005402C8"/>
    <w:rsid w:val="0054069D"/>
    <w:rsid w:val="00542DAB"/>
    <w:rsid w:val="00551E8E"/>
    <w:rsid w:val="00554B8F"/>
    <w:rsid w:val="0055553E"/>
    <w:rsid w:val="00555EF4"/>
    <w:rsid w:val="00557CEA"/>
    <w:rsid w:val="00560EE3"/>
    <w:rsid w:val="005618E4"/>
    <w:rsid w:val="00562B47"/>
    <w:rsid w:val="00564A4C"/>
    <w:rsid w:val="00564A92"/>
    <w:rsid w:val="00565E0E"/>
    <w:rsid w:val="005666FB"/>
    <w:rsid w:val="00566726"/>
    <w:rsid w:val="00570F57"/>
    <w:rsid w:val="0057415A"/>
    <w:rsid w:val="00576742"/>
    <w:rsid w:val="00577455"/>
    <w:rsid w:val="00577D21"/>
    <w:rsid w:val="00581228"/>
    <w:rsid w:val="005819E7"/>
    <w:rsid w:val="00584E1D"/>
    <w:rsid w:val="00585CA2"/>
    <w:rsid w:val="00587385"/>
    <w:rsid w:val="00591758"/>
    <w:rsid w:val="00591A70"/>
    <w:rsid w:val="0059284D"/>
    <w:rsid w:val="0059616E"/>
    <w:rsid w:val="005A0302"/>
    <w:rsid w:val="005A1A1C"/>
    <w:rsid w:val="005A1F68"/>
    <w:rsid w:val="005A358C"/>
    <w:rsid w:val="005A4078"/>
    <w:rsid w:val="005A4387"/>
    <w:rsid w:val="005A4421"/>
    <w:rsid w:val="005A5CBD"/>
    <w:rsid w:val="005A62B4"/>
    <w:rsid w:val="005A6A94"/>
    <w:rsid w:val="005A7C85"/>
    <w:rsid w:val="005B0E44"/>
    <w:rsid w:val="005B0FB1"/>
    <w:rsid w:val="005B4520"/>
    <w:rsid w:val="005B4CB7"/>
    <w:rsid w:val="005B4D4F"/>
    <w:rsid w:val="005B5FEB"/>
    <w:rsid w:val="005B6503"/>
    <w:rsid w:val="005B6DC3"/>
    <w:rsid w:val="005B7986"/>
    <w:rsid w:val="005C0503"/>
    <w:rsid w:val="005C0B8F"/>
    <w:rsid w:val="005C4A54"/>
    <w:rsid w:val="005C4B7C"/>
    <w:rsid w:val="005C5864"/>
    <w:rsid w:val="005C668D"/>
    <w:rsid w:val="005C7286"/>
    <w:rsid w:val="005D02E3"/>
    <w:rsid w:val="005D04AB"/>
    <w:rsid w:val="005D07C8"/>
    <w:rsid w:val="005D1618"/>
    <w:rsid w:val="005D1791"/>
    <w:rsid w:val="005D56E2"/>
    <w:rsid w:val="005D5971"/>
    <w:rsid w:val="005E01A4"/>
    <w:rsid w:val="005E308C"/>
    <w:rsid w:val="005E30A7"/>
    <w:rsid w:val="005E41C3"/>
    <w:rsid w:val="005E5BA4"/>
    <w:rsid w:val="005E7881"/>
    <w:rsid w:val="005F0AEA"/>
    <w:rsid w:val="005F0FE1"/>
    <w:rsid w:val="005F5FB8"/>
    <w:rsid w:val="005F6088"/>
    <w:rsid w:val="006015F3"/>
    <w:rsid w:val="00605483"/>
    <w:rsid w:val="00607B75"/>
    <w:rsid w:val="0061044B"/>
    <w:rsid w:val="00612132"/>
    <w:rsid w:val="0061287B"/>
    <w:rsid w:val="00612AE7"/>
    <w:rsid w:val="00612C07"/>
    <w:rsid w:val="006146CC"/>
    <w:rsid w:val="00614DF3"/>
    <w:rsid w:val="00615162"/>
    <w:rsid w:val="00615372"/>
    <w:rsid w:val="006159CA"/>
    <w:rsid w:val="00615FD3"/>
    <w:rsid w:val="00616500"/>
    <w:rsid w:val="00616FC2"/>
    <w:rsid w:val="00620178"/>
    <w:rsid w:val="00621F3E"/>
    <w:rsid w:val="006229C0"/>
    <w:rsid w:val="00624369"/>
    <w:rsid w:val="00624B89"/>
    <w:rsid w:val="0062526D"/>
    <w:rsid w:val="00626D4C"/>
    <w:rsid w:val="006271CB"/>
    <w:rsid w:val="00630155"/>
    <w:rsid w:val="00632FF0"/>
    <w:rsid w:val="00633A9D"/>
    <w:rsid w:val="00633D0F"/>
    <w:rsid w:val="006371BF"/>
    <w:rsid w:val="0064007B"/>
    <w:rsid w:val="00643802"/>
    <w:rsid w:val="00643F3E"/>
    <w:rsid w:val="00645ED0"/>
    <w:rsid w:val="00646C07"/>
    <w:rsid w:val="00647F36"/>
    <w:rsid w:val="006501F3"/>
    <w:rsid w:val="0065093E"/>
    <w:rsid w:val="006517F3"/>
    <w:rsid w:val="00651F05"/>
    <w:rsid w:val="0065354E"/>
    <w:rsid w:val="006546E0"/>
    <w:rsid w:val="00654CAB"/>
    <w:rsid w:val="00655744"/>
    <w:rsid w:val="006561D5"/>
    <w:rsid w:val="006615F2"/>
    <w:rsid w:val="00663267"/>
    <w:rsid w:val="0066343E"/>
    <w:rsid w:val="0066389D"/>
    <w:rsid w:val="00664A8F"/>
    <w:rsid w:val="006663BB"/>
    <w:rsid w:val="00667692"/>
    <w:rsid w:val="00670273"/>
    <w:rsid w:val="00670737"/>
    <w:rsid w:val="00673B1F"/>
    <w:rsid w:val="00674201"/>
    <w:rsid w:val="006753B8"/>
    <w:rsid w:val="00682D32"/>
    <w:rsid w:val="006830CB"/>
    <w:rsid w:val="006834E4"/>
    <w:rsid w:val="00685672"/>
    <w:rsid w:val="00685BEE"/>
    <w:rsid w:val="006867A7"/>
    <w:rsid w:val="0068691A"/>
    <w:rsid w:val="006915BD"/>
    <w:rsid w:val="00693975"/>
    <w:rsid w:val="006941FE"/>
    <w:rsid w:val="006967EF"/>
    <w:rsid w:val="00696A73"/>
    <w:rsid w:val="0069710C"/>
    <w:rsid w:val="006A06A4"/>
    <w:rsid w:val="006A1546"/>
    <w:rsid w:val="006A4EEC"/>
    <w:rsid w:val="006A5086"/>
    <w:rsid w:val="006A5581"/>
    <w:rsid w:val="006A5B37"/>
    <w:rsid w:val="006A7934"/>
    <w:rsid w:val="006B4F11"/>
    <w:rsid w:val="006B60D1"/>
    <w:rsid w:val="006B6CC3"/>
    <w:rsid w:val="006C1423"/>
    <w:rsid w:val="006C49C5"/>
    <w:rsid w:val="006C604A"/>
    <w:rsid w:val="006C7889"/>
    <w:rsid w:val="006D22EB"/>
    <w:rsid w:val="006D2B25"/>
    <w:rsid w:val="006D3DEA"/>
    <w:rsid w:val="006D4799"/>
    <w:rsid w:val="006D51FF"/>
    <w:rsid w:val="006D5D94"/>
    <w:rsid w:val="006D688A"/>
    <w:rsid w:val="006E0A43"/>
    <w:rsid w:val="006E12E7"/>
    <w:rsid w:val="006E3913"/>
    <w:rsid w:val="006F00EE"/>
    <w:rsid w:val="006F1F6A"/>
    <w:rsid w:val="006F2DA5"/>
    <w:rsid w:val="006F4D56"/>
    <w:rsid w:val="006F6047"/>
    <w:rsid w:val="0070023E"/>
    <w:rsid w:val="00700421"/>
    <w:rsid w:val="0070104C"/>
    <w:rsid w:val="00701444"/>
    <w:rsid w:val="00704868"/>
    <w:rsid w:val="007050CA"/>
    <w:rsid w:val="00705C57"/>
    <w:rsid w:val="0071191A"/>
    <w:rsid w:val="00711E39"/>
    <w:rsid w:val="00711F03"/>
    <w:rsid w:val="00715820"/>
    <w:rsid w:val="00717546"/>
    <w:rsid w:val="00722BA9"/>
    <w:rsid w:val="0072475A"/>
    <w:rsid w:val="00726578"/>
    <w:rsid w:val="007279B1"/>
    <w:rsid w:val="0073021D"/>
    <w:rsid w:val="00730FB0"/>
    <w:rsid w:val="00733387"/>
    <w:rsid w:val="007364D3"/>
    <w:rsid w:val="0074235D"/>
    <w:rsid w:val="007434DC"/>
    <w:rsid w:val="00743E27"/>
    <w:rsid w:val="007447EC"/>
    <w:rsid w:val="00745D63"/>
    <w:rsid w:val="007469BB"/>
    <w:rsid w:val="00746E9B"/>
    <w:rsid w:val="00747EFF"/>
    <w:rsid w:val="007512EE"/>
    <w:rsid w:val="00751493"/>
    <w:rsid w:val="00752B48"/>
    <w:rsid w:val="00755665"/>
    <w:rsid w:val="00755D49"/>
    <w:rsid w:val="00760DAF"/>
    <w:rsid w:val="00761CC4"/>
    <w:rsid w:val="00766DE8"/>
    <w:rsid w:val="00766FA2"/>
    <w:rsid w:val="00772168"/>
    <w:rsid w:val="00773593"/>
    <w:rsid w:val="00773A85"/>
    <w:rsid w:val="00773BDC"/>
    <w:rsid w:val="00774E58"/>
    <w:rsid w:val="00775293"/>
    <w:rsid w:val="007759FF"/>
    <w:rsid w:val="00776A7A"/>
    <w:rsid w:val="00777396"/>
    <w:rsid w:val="007804A1"/>
    <w:rsid w:val="00780CC5"/>
    <w:rsid w:val="007810E5"/>
    <w:rsid w:val="007812A2"/>
    <w:rsid w:val="0078475B"/>
    <w:rsid w:val="007866D3"/>
    <w:rsid w:val="00790209"/>
    <w:rsid w:val="0079296B"/>
    <w:rsid w:val="00795295"/>
    <w:rsid w:val="0079603E"/>
    <w:rsid w:val="0079712D"/>
    <w:rsid w:val="0079770D"/>
    <w:rsid w:val="00797EEF"/>
    <w:rsid w:val="007A1D0D"/>
    <w:rsid w:val="007A2926"/>
    <w:rsid w:val="007A5AA5"/>
    <w:rsid w:val="007A5DA0"/>
    <w:rsid w:val="007A73FE"/>
    <w:rsid w:val="007B197E"/>
    <w:rsid w:val="007B1BFA"/>
    <w:rsid w:val="007B21FC"/>
    <w:rsid w:val="007B42C7"/>
    <w:rsid w:val="007B4E2D"/>
    <w:rsid w:val="007C0389"/>
    <w:rsid w:val="007C0D46"/>
    <w:rsid w:val="007D02C6"/>
    <w:rsid w:val="007D3BE9"/>
    <w:rsid w:val="007D48DD"/>
    <w:rsid w:val="007D4A96"/>
    <w:rsid w:val="007D634A"/>
    <w:rsid w:val="007D71D0"/>
    <w:rsid w:val="007E1222"/>
    <w:rsid w:val="007E345E"/>
    <w:rsid w:val="007E5AF8"/>
    <w:rsid w:val="007F17B2"/>
    <w:rsid w:val="007F2142"/>
    <w:rsid w:val="007F276C"/>
    <w:rsid w:val="007F2B6F"/>
    <w:rsid w:val="007F2D28"/>
    <w:rsid w:val="007F3540"/>
    <w:rsid w:val="007F43B3"/>
    <w:rsid w:val="007F587C"/>
    <w:rsid w:val="007F6209"/>
    <w:rsid w:val="007F6FD5"/>
    <w:rsid w:val="00802BD0"/>
    <w:rsid w:val="00803E57"/>
    <w:rsid w:val="008056E2"/>
    <w:rsid w:val="0080675B"/>
    <w:rsid w:val="00807448"/>
    <w:rsid w:val="00807E29"/>
    <w:rsid w:val="008106B7"/>
    <w:rsid w:val="00811F70"/>
    <w:rsid w:val="00813098"/>
    <w:rsid w:val="0081338F"/>
    <w:rsid w:val="00813A84"/>
    <w:rsid w:val="00815A0D"/>
    <w:rsid w:val="0081787A"/>
    <w:rsid w:val="00817A38"/>
    <w:rsid w:val="00822EDC"/>
    <w:rsid w:val="00823DE7"/>
    <w:rsid w:val="00823E1F"/>
    <w:rsid w:val="00824118"/>
    <w:rsid w:val="0082452A"/>
    <w:rsid w:val="008245F8"/>
    <w:rsid w:val="00824802"/>
    <w:rsid w:val="00831494"/>
    <w:rsid w:val="00835345"/>
    <w:rsid w:val="00836240"/>
    <w:rsid w:val="00840FBE"/>
    <w:rsid w:val="008416A7"/>
    <w:rsid w:val="00841805"/>
    <w:rsid w:val="008425DE"/>
    <w:rsid w:val="00844598"/>
    <w:rsid w:val="008455E4"/>
    <w:rsid w:val="008515D8"/>
    <w:rsid w:val="008520F1"/>
    <w:rsid w:val="00852E5A"/>
    <w:rsid w:val="008561CA"/>
    <w:rsid w:val="00856B5D"/>
    <w:rsid w:val="0085713C"/>
    <w:rsid w:val="008607DC"/>
    <w:rsid w:val="00862934"/>
    <w:rsid w:val="00863D39"/>
    <w:rsid w:val="00867787"/>
    <w:rsid w:val="00870831"/>
    <w:rsid w:val="00871943"/>
    <w:rsid w:val="00871E8A"/>
    <w:rsid w:val="00873ED8"/>
    <w:rsid w:val="008760F2"/>
    <w:rsid w:val="00880936"/>
    <w:rsid w:val="00881DCD"/>
    <w:rsid w:val="00884360"/>
    <w:rsid w:val="00884D17"/>
    <w:rsid w:val="008879C5"/>
    <w:rsid w:val="00892ECA"/>
    <w:rsid w:val="00893174"/>
    <w:rsid w:val="0089561B"/>
    <w:rsid w:val="00897884"/>
    <w:rsid w:val="008A0619"/>
    <w:rsid w:val="008A1118"/>
    <w:rsid w:val="008A1C02"/>
    <w:rsid w:val="008A7879"/>
    <w:rsid w:val="008B3774"/>
    <w:rsid w:val="008B3CE5"/>
    <w:rsid w:val="008B4A62"/>
    <w:rsid w:val="008B5F1A"/>
    <w:rsid w:val="008B62B5"/>
    <w:rsid w:val="008B7856"/>
    <w:rsid w:val="008C0DBE"/>
    <w:rsid w:val="008C181E"/>
    <w:rsid w:val="008C1B41"/>
    <w:rsid w:val="008C3193"/>
    <w:rsid w:val="008C4606"/>
    <w:rsid w:val="008C551D"/>
    <w:rsid w:val="008C64B2"/>
    <w:rsid w:val="008C7544"/>
    <w:rsid w:val="008C7565"/>
    <w:rsid w:val="008D10F1"/>
    <w:rsid w:val="008D18FD"/>
    <w:rsid w:val="008D1DBD"/>
    <w:rsid w:val="008D3E1B"/>
    <w:rsid w:val="008D5112"/>
    <w:rsid w:val="008D67BD"/>
    <w:rsid w:val="008D6AC2"/>
    <w:rsid w:val="008D7532"/>
    <w:rsid w:val="008D7884"/>
    <w:rsid w:val="008D7DD8"/>
    <w:rsid w:val="008E0378"/>
    <w:rsid w:val="008E0644"/>
    <w:rsid w:val="008E0A79"/>
    <w:rsid w:val="008E188D"/>
    <w:rsid w:val="008E6AF4"/>
    <w:rsid w:val="008F2BC8"/>
    <w:rsid w:val="008F4E32"/>
    <w:rsid w:val="008F4EA9"/>
    <w:rsid w:val="008F527C"/>
    <w:rsid w:val="008F5E15"/>
    <w:rsid w:val="008F64C6"/>
    <w:rsid w:val="008F69C8"/>
    <w:rsid w:val="008F7343"/>
    <w:rsid w:val="00900AD9"/>
    <w:rsid w:val="00900BD2"/>
    <w:rsid w:val="00901F80"/>
    <w:rsid w:val="009055C6"/>
    <w:rsid w:val="00906D71"/>
    <w:rsid w:val="00911C03"/>
    <w:rsid w:val="00911C2B"/>
    <w:rsid w:val="00912938"/>
    <w:rsid w:val="00913263"/>
    <w:rsid w:val="009145C2"/>
    <w:rsid w:val="009158E6"/>
    <w:rsid w:val="009210E8"/>
    <w:rsid w:val="009214E2"/>
    <w:rsid w:val="00921EA3"/>
    <w:rsid w:val="009229F1"/>
    <w:rsid w:val="00923E44"/>
    <w:rsid w:val="009243EC"/>
    <w:rsid w:val="00924C12"/>
    <w:rsid w:val="00926FB9"/>
    <w:rsid w:val="00927F82"/>
    <w:rsid w:val="009326C2"/>
    <w:rsid w:val="00932C0A"/>
    <w:rsid w:val="00937BBD"/>
    <w:rsid w:val="00940082"/>
    <w:rsid w:val="00940813"/>
    <w:rsid w:val="009430C6"/>
    <w:rsid w:val="009451B4"/>
    <w:rsid w:val="00947B9F"/>
    <w:rsid w:val="00947E5A"/>
    <w:rsid w:val="0095096E"/>
    <w:rsid w:val="0095208D"/>
    <w:rsid w:val="00953E60"/>
    <w:rsid w:val="0095469C"/>
    <w:rsid w:val="00954899"/>
    <w:rsid w:val="00955F15"/>
    <w:rsid w:val="009565C3"/>
    <w:rsid w:val="0095792E"/>
    <w:rsid w:val="00960C78"/>
    <w:rsid w:val="00962CDE"/>
    <w:rsid w:val="009638D9"/>
    <w:rsid w:val="00964945"/>
    <w:rsid w:val="00965370"/>
    <w:rsid w:val="009663E7"/>
    <w:rsid w:val="0097142D"/>
    <w:rsid w:val="0097222D"/>
    <w:rsid w:val="0097486A"/>
    <w:rsid w:val="009748DA"/>
    <w:rsid w:val="00976607"/>
    <w:rsid w:val="009769FB"/>
    <w:rsid w:val="009775B0"/>
    <w:rsid w:val="00977B6D"/>
    <w:rsid w:val="0098123E"/>
    <w:rsid w:val="00982838"/>
    <w:rsid w:val="00982AC8"/>
    <w:rsid w:val="00982F56"/>
    <w:rsid w:val="0098361D"/>
    <w:rsid w:val="00983670"/>
    <w:rsid w:val="00986FEF"/>
    <w:rsid w:val="00987FE4"/>
    <w:rsid w:val="0099254F"/>
    <w:rsid w:val="00993B36"/>
    <w:rsid w:val="00994CE8"/>
    <w:rsid w:val="00996286"/>
    <w:rsid w:val="009A1434"/>
    <w:rsid w:val="009A1B94"/>
    <w:rsid w:val="009A3204"/>
    <w:rsid w:val="009A4799"/>
    <w:rsid w:val="009A5798"/>
    <w:rsid w:val="009A5B58"/>
    <w:rsid w:val="009A66C9"/>
    <w:rsid w:val="009A75AE"/>
    <w:rsid w:val="009A7712"/>
    <w:rsid w:val="009B3C99"/>
    <w:rsid w:val="009B6AB7"/>
    <w:rsid w:val="009C06A4"/>
    <w:rsid w:val="009C2DFB"/>
    <w:rsid w:val="009C4CAC"/>
    <w:rsid w:val="009C5723"/>
    <w:rsid w:val="009C5BDB"/>
    <w:rsid w:val="009D05CA"/>
    <w:rsid w:val="009D23EB"/>
    <w:rsid w:val="009D2DE1"/>
    <w:rsid w:val="009D31BC"/>
    <w:rsid w:val="009D4D38"/>
    <w:rsid w:val="009D748B"/>
    <w:rsid w:val="009E078B"/>
    <w:rsid w:val="009E1271"/>
    <w:rsid w:val="009E303F"/>
    <w:rsid w:val="009E4AD2"/>
    <w:rsid w:val="009E7618"/>
    <w:rsid w:val="009E7CA3"/>
    <w:rsid w:val="009E7F06"/>
    <w:rsid w:val="009F0218"/>
    <w:rsid w:val="009F3B4F"/>
    <w:rsid w:val="009F3D5E"/>
    <w:rsid w:val="009F4949"/>
    <w:rsid w:val="009F5813"/>
    <w:rsid w:val="009F77E0"/>
    <w:rsid w:val="00A0226F"/>
    <w:rsid w:val="00A02E90"/>
    <w:rsid w:val="00A03C3B"/>
    <w:rsid w:val="00A03F32"/>
    <w:rsid w:val="00A0511A"/>
    <w:rsid w:val="00A10020"/>
    <w:rsid w:val="00A114E9"/>
    <w:rsid w:val="00A11C79"/>
    <w:rsid w:val="00A1204A"/>
    <w:rsid w:val="00A12CD9"/>
    <w:rsid w:val="00A1429C"/>
    <w:rsid w:val="00A144C1"/>
    <w:rsid w:val="00A15263"/>
    <w:rsid w:val="00A15ACE"/>
    <w:rsid w:val="00A175F6"/>
    <w:rsid w:val="00A2099B"/>
    <w:rsid w:val="00A21194"/>
    <w:rsid w:val="00A212D0"/>
    <w:rsid w:val="00A21CA8"/>
    <w:rsid w:val="00A226BC"/>
    <w:rsid w:val="00A241B2"/>
    <w:rsid w:val="00A256F4"/>
    <w:rsid w:val="00A25952"/>
    <w:rsid w:val="00A25C52"/>
    <w:rsid w:val="00A26DEE"/>
    <w:rsid w:val="00A273ED"/>
    <w:rsid w:val="00A32790"/>
    <w:rsid w:val="00A33041"/>
    <w:rsid w:val="00A34D82"/>
    <w:rsid w:val="00A37038"/>
    <w:rsid w:val="00A373EB"/>
    <w:rsid w:val="00A400F7"/>
    <w:rsid w:val="00A4379F"/>
    <w:rsid w:val="00A437F4"/>
    <w:rsid w:val="00A45024"/>
    <w:rsid w:val="00A467BD"/>
    <w:rsid w:val="00A46D37"/>
    <w:rsid w:val="00A47895"/>
    <w:rsid w:val="00A47FE5"/>
    <w:rsid w:val="00A5168D"/>
    <w:rsid w:val="00A5769F"/>
    <w:rsid w:val="00A60BAF"/>
    <w:rsid w:val="00A62490"/>
    <w:rsid w:val="00A63D35"/>
    <w:rsid w:val="00A64444"/>
    <w:rsid w:val="00A656D7"/>
    <w:rsid w:val="00A66FEA"/>
    <w:rsid w:val="00A725EE"/>
    <w:rsid w:val="00A7280C"/>
    <w:rsid w:val="00A73868"/>
    <w:rsid w:val="00A73E2A"/>
    <w:rsid w:val="00A770A2"/>
    <w:rsid w:val="00A77C28"/>
    <w:rsid w:val="00A80CA2"/>
    <w:rsid w:val="00A839E3"/>
    <w:rsid w:val="00A8702B"/>
    <w:rsid w:val="00A8733B"/>
    <w:rsid w:val="00A9011A"/>
    <w:rsid w:val="00A91B02"/>
    <w:rsid w:val="00A92D76"/>
    <w:rsid w:val="00A93563"/>
    <w:rsid w:val="00A94E24"/>
    <w:rsid w:val="00A952B2"/>
    <w:rsid w:val="00A957C9"/>
    <w:rsid w:val="00AA186A"/>
    <w:rsid w:val="00AA1FEA"/>
    <w:rsid w:val="00AA2633"/>
    <w:rsid w:val="00AA2C95"/>
    <w:rsid w:val="00AA40CB"/>
    <w:rsid w:val="00AA593F"/>
    <w:rsid w:val="00AA6AFC"/>
    <w:rsid w:val="00AB28DF"/>
    <w:rsid w:val="00AB33F4"/>
    <w:rsid w:val="00AB3448"/>
    <w:rsid w:val="00AB4449"/>
    <w:rsid w:val="00AB705A"/>
    <w:rsid w:val="00AC1594"/>
    <w:rsid w:val="00AC4086"/>
    <w:rsid w:val="00AC4107"/>
    <w:rsid w:val="00AC7582"/>
    <w:rsid w:val="00AC7EFA"/>
    <w:rsid w:val="00AD09D5"/>
    <w:rsid w:val="00AD175E"/>
    <w:rsid w:val="00AD19B8"/>
    <w:rsid w:val="00AE2A1D"/>
    <w:rsid w:val="00AE2AF4"/>
    <w:rsid w:val="00AE3091"/>
    <w:rsid w:val="00AE339F"/>
    <w:rsid w:val="00AE3E20"/>
    <w:rsid w:val="00AE5822"/>
    <w:rsid w:val="00AF00D8"/>
    <w:rsid w:val="00AF1097"/>
    <w:rsid w:val="00AF14EA"/>
    <w:rsid w:val="00AF2760"/>
    <w:rsid w:val="00AF4279"/>
    <w:rsid w:val="00AF634C"/>
    <w:rsid w:val="00AF63C8"/>
    <w:rsid w:val="00AF6CA0"/>
    <w:rsid w:val="00B00068"/>
    <w:rsid w:val="00B01527"/>
    <w:rsid w:val="00B02EC3"/>
    <w:rsid w:val="00B03C4E"/>
    <w:rsid w:val="00B04C70"/>
    <w:rsid w:val="00B066D1"/>
    <w:rsid w:val="00B12B09"/>
    <w:rsid w:val="00B13072"/>
    <w:rsid w:val="00B14389"/>
    <w:rsid w:val="00B160A2"/>
    <w:rsid w:val="00B1774F"/>
    <w:rsid w:val="00B17BD9"/>
    <w:rsid w:val="00B17CDD"/>
    <w:rsid w:val="00B22691"/>
    <w:rsid w:val="00B24DC3"/>
    <w:rsid w:val="00B251D5"/>
    <w:rsid w:val="00B2524B"/>
    <w:rsid w:val="00B25EDC"/>
    <w:rsid w:val="00B26F19"/>
    <w:rsid w:val="00B30110"/>
    <w:rsid w:val="00B30E85"/>
    <w:rsid w:val="00B34318"/>
    <w:rsid w:val="00B36E36"/>
    <w:rsid w:val="00B412A6"/>
    <w:rsid w:val="00B433B9"/>
    <w:rsid w:val="00B4542D"/>
    <w:rsid w:val="00B47F18"/>
    <w:rsid w:val="00B50B1C"/>
    <w:rsid w:val="00B51131"/>
    <w:rsid w:val="00B521FD"/>
    <w:rsid w:val="00B5429D"/>
    <w:rsid w:val="00B56DF0"/>
    <w:rsid w:val="00B605E5"/>
    <w:rsid w:val="00B61CC5"/>
    <w:rsid w:val="00B61EA9"/>
    <w:rsid w:val="00B62787"/>
    <w:rsid w:val="00B62BDD"/>
    <w:rsid w:val="00B63E30"/>
    <w:rsid w:val="00B6429B"/>
    <w:rsid w:val="00B64F1E"/>
    <w:rsid w:val="00B65652"/>
    <w:rsid w:val="00B6686F"/>
    <w:rsid w:val="00B67567"/>
    <w:rsid w:val="00B70FE5"/>
    <w:rsid w:val="00B71255"/>
    <w:rsid w:val="00B7170F"/>
    <w:rsid w:val="00B72282"/>
    <w:rsid w:val="00B727F8"/>
    <w:rsid w:val="00B73130"/>
    <w:rsid w:val="00B73305"/>
    <w:rsid w:val="00B7495B"/>
    <w:rsid w:val="00B74F24"/>
    <w:rsid w:val="00B76CC4"/>
    <w:rsid w:val="00B776E7"/>
    <w:rsid w:val="00B81B04"/>
    <w:rsid w:val="00B841AE"/>
    <w:rsid w:val="00B85135"/>
    <w:rsid w:val="00B864AF"/>
    <w:rsid w:val="00B866C5"/>
    <w:rsid w:val="00B9314A"/>
    <w:rsid w:val="00B93DBF"/>
    <w:rsid w:val="00B95FE4"/>
    <w:rsid w:val="00B96155"/>
    <w:rsid w:val="00B97E8B"/>
    <w:rsid w:val="00BA0ADD"/>
    <w:rsid w:val="00BA14B3"/>
    <w:rsid w:val="00BA165E"/>
    <w:rsid w:val="00BA3F78"/>
    <w:rsid w:val="00BA4509"/>
    <w:rsid w:val="00BA5781"/>
    <w:rsid w:val="00BA5BC9"/>
    <w:rsid w:val="00BA62D5"/>
    <w:rsid w:val="00BA799A"/>
    <w:rsid w:val="00BB0DD6"/>
    <w:rsid w:val="00BB45C0"/>
    <w:rsid w:val="00BB52C5"/>
    <w:rsid w:val="00BB562F"/>
    <w:rsid w:val="00BB5EBC"/>
    <w:rsid w:val="00BB7790"/>
    <w:rsid w:val="00BB79AE"/>
    <w:rsid w:val="00BB79DA"/>
    <w:rsid w:val="00BC0A01"/>
    <w:rsid w:val="00BC0C6B"/>
    <w:rsid w:val="00BC112E"/>
    <w:rsid w:val="00BC4CDD"/>
    <w:rsid w:val="00BC69C9"/>
    <w:rsid w:val="00BD062C"/>
    <w:rsid w:val="00BD1E4C"/>
    <w:rsid w:val="00BD4EAC"/>
    <w:rsid w:val="00BD67B1"/>
    <w:rsid w:val="00BD6DCC"/>
    <w:rsid w:val="00BE1AB4"/>
    <w:rsid w:val="00BE1F52"/>
    <w:rsid w:val="00BE22E9"/>
    <w:rsid w:val="00BE32EC"/>
    <w:rsid w:val="00BE38B3"/>
    <w:rsid w:val="00BE6001"/>
    <w:rsid w:val="00BE75DE"/>
    <w:rsid w:val="00BF21C7"/>
    <w:rsid w:val="00BF28CB"/>
    <w:rsid w:val="00BF2ACB"/>
    <w:rsid w:val="00BF3615"/>
    <w:rsid w:val="00BF5FF0"/>
    <w:rsid w:val="00BF7394"/>
    <w:rsid w:val="00BF74CE"/>
    <w:rsid w:val="00BF7762"/>
    <w:rsid w:val="00C018AC"/>
    <w:rsid w:val="00C04F42"/>
    <w:rsid w:val="00C05729"/>
    <w:rsid w:val="00C0691B"/>
    <w:rsid w:val="00C10456"/>
    <w:rsid w:val="00C106ED"/>
    <w:rsid w:val="00C113F0"/>
    <w:rsid w:val="00C1485A"/>
    <w:rsid w:val="00C162B0"/>
    <w:rsid w:val="00C17592"/>
    <w:rsid w:val="00C17E75"/>
    <w:rsid w:val="00C22C4C"/>
    <w:rsid w:val="00C25148"/>
    <w:rsid w:val="00C301D0"/>
    <w:rsid w:val="00C31FBA"/>
    <w:rsid w:val="00C3388A"/>
    <w:rsid w:val="00C35D9A"/>
    <w:rsid w:val="00C41544"/>
    <w:rsid w:val="00C41AD5"/>
    <w:rsid w:val="00C41C74"/>
    <w:rsid w:val="00C43CA0"/>
    <w:rsid w:val="00C44732"/>
    <w:rsid w:val="00C44D42"/>
    <w:rsid w:val="00C454F9"/>
    <w:rsid w:val="00C4603F"/>
    <w:rsid w:val="00C52443"/>
    <w:rsid w:val="00C54375"/>
    <w:rsid w:val="00C54A33"/>
    <w:rsid w:val="00C54B03"/>
    <w:rsid w:val="00C550A8"/>
    <w:rsid w:val="00C55F2E"/>
    <w:rsid w:val="00C56191"/>
    <w:rsid w:val="00C56A73"/>
    <w:rsid w:val="00C57DCA"/>
    <w:rsid w:val="00C60B56"/>
    <w:rsid w:val="00C6159D"/>
    <w:rsid w:val="00C63873"/>
    <w:rsid w:val="00C66E6C"/>
    <w:rsid w:val="00C70123"/>
    <w:rsid w:val="00C71904"/>
    <w:rsid w:val="00C720DA"/>
    <w:rsid w:val="00C748D4"/>
    <w:rsid w:val="00C7549A"/>
    <w:rsid w:val="00C76391"/>
    <w:rsid w:val="00C82955"/>
    <w:rsid w:val="00C82C08"/>
    <w:rsid w:val="00C83733"/>
    <w:rsid w:val="00C845F4"/>
    <w:rsid w:val="00C85928"/>
    <w:rsid w:val="00C87516"/>
    <w:rsid w:val="00C90D32"/>
    <w:rsid w:val="00C90EAC"/>
    <w:rsid w:val="00C90FC9"/>
    <w:rsid w:val="00C94879"/>
    <w:rsid w:val="00C97E02"/>
    <w:rsid w:val="00C97F5D"/>
    <w:rsid w:val="00CA0B61"/>
    <w:rsid w:val="00CA2DFB"/>
    <w:rsid w:val="00CB17FD"/>
    <w:rsid w:val="00CB2824"/>
    <w:rsid w:val="00CB3811"/>
    <w:rsid w:val="00CB7EE0"/>
    <w:rsid w:val="00CB7FDD"/>
    <w:rsid w:val="00CC0968"/>
    <w:rsid w:val="00CC5D6D"/>
    <w:rsid w:val="00CC63F8"/>
    <w:rsid w:val="00CD22D4"/>
    <w:rsid w:val="00CD258C"/>
    <w:rsid w:val="00CD2F93"/>
    <w:rsid w:val="00CD737B"/>
    <w:rsid w:val="00CE0312"/>
    <w:rsid w:val="00CE13E3"/>
    <w:rsid w:val="00CE1A1C"/>
    <w:rsid w:val="00CE3CEF"/>
    <w:rsid w:val="00CE4AA3"/>
    <w:rsid w:val="00CE4B2E"/>
    <w:rsid w:val="00CE4DA2"/>
    <w:rsid w:val="00CE5089"/>
    <w:rsid w:val="00CE549E"/>
    <w:rsid w:val="00CE5E65"/>
    <w:rsid w:val="00CF0855"/>
    <w:rsid w:val="00CF2186"/>
    <w:rsid w:val="00CF27DA"/>
    <w:rsid w:val="00CF6F84"/>
    <w:rsid w:val="00CF701C"/>
    <w:rsid w:val="00D005FA"/>
    <w:rsid w:val="00D0197C"/>
    <w:rsid w:val="00D038A1"/>
    <w:rsid w:val="00D10C43"/>
    <w:rsid w:val="00D1160F"/>
    <w:rsid w:val="00D131F2"/>
    <w:rsid w:val="00D13628"/>
    <w:rsid w:val="00D13F35"/>
    <w:rsid w:val="00D13FA7"/>
    <w:rsid w:val="00D142FE"/>
    <w:rsid w:val="00D15C29"/>
    <w:rsid w:val="00D15D0C"/>
    <w:rsid w:val="00D163C7"/>
    <w:rsid w:val="00D17B04"/>
    <w:rsid w:val="00D20FCA"/>
    <w:rsid w:val="00D2102D"/>
    <w:rsid w:val="00D223BC"/>
    <w:rsid w:val="00D22954"/>
    <w:rsid w:val="00D24218"/>
    <w:rsid w:val="00D249AC"/>
    <w:rsid w:val="00D25B0A"/>
    <w:rsid w:val="00D2756B"/>
    <w:rsid w:val="00D30A0B"/>
    <w:rsid w:val="00D31837"/>
    <w:rsid w:val="00D33FB4"/>
    <w:rsid w:val="00D34949"/>
    <w:rsid w:val="00D37EAE"/>
    <w:rsid w:val="00D407EB"/>
    <w:rsid w:val="00D41922"/>
    <w:rsid w:val="00D41F0F"/>
    <w:rsid w:val="00D44ACA"/>
    <w:rsid w:val="00D45511"/>
    <w:rsid w:val="00D4678D"/>
    <w:rsid w:val="00D47156"/>
    <w:rsid w:val="00D478FB"/>
    <w:rsid w:val="00D50AAD"/>
    <w:rsid w:val="00D50BDE"/>
    <w:rsid w:val="00D519EA"/>
    <w:rsid w:val="00D52648"/>
    <w:rsid w:val="00D52A7B"/>
    <w:rsid w:val="00D53A8F"/>
    <w:rsid w:val="00D5416F"/>
    <w:rsid w:val="00D54924"/>
    <w:rsid w:val="00D551D9"/>
    <w:rsid w:val="00D55AAB"/>
    <w:rsid w:val="00D5712A"/>
    <w:rsid w:val="00D57C10"/>
    <w:rsid w:val="00D61C34"/>
    <w:rsid w:val="00D6675B"/>
    <w:rsid w:val="00D66C0F"/>
    <w:rsid w:val="00D677A8"/>
    <w:rsid w:val="00D678C7"/>
    <w:rsid w:val="00D67E46"/>
    <w:rsid w:val="00D67E8F"/>
    <w:rsid w:val="00D718FC"/>
    <w:rsid w:val="00D71EBF"/>
    <w:rsid w:val="00D729A8"/>
    <w:rsid w:val="00D742C9"/>
    <w:rsid w:val="00D75612"/>
    <w:rsid w:val="00D7622F"/>
    <w:rsid w:val="00D76981"/>
    <w:rsid w:val="00D771F0"/>
    <w:rsid w:val="00D80C0E"/>
    <w:rsid w:val="00D82454"/>
    <w:rsid w:val="00D82B1F"/>
    <w:rsid w:val="00D82F8D"/>
    <w:rsid w:val="00D833EE"/>
    <w:rsid w:val="00D84024"/>
    <w:rsid w:val="00D849FD"/>
    <w:rsid w:val="00D84DB4"/>
    <w:rsid w:val="00D910C4"/>
    <w:rsid w:val="00D920EA"/>
    <w:rsid w:val="00D947F5"/>
    <w:rsid w:val="00D94847"/>
    <w:rsid w:val="00D955DD"/>
    <w:rsid w:val="00D9696C"/>
    <w:rsid w:val="00DA0826"/>
    <w:rsid w:val="00DA20C1"/>
    <w:rsid w:val="00DA297F"/>
    <w:rsid w:val="00DA5410"/>
    <w:rsid w:val="00DA6104"/>
    <w:rsid w:val="00DA78DF"/>
    <w:rsid w:val="00DB00A3"/>
    <w:rsid w:val="00DB0D2F"/>
    <w:rsid w:val="00DB25AA"/>
    <w:rsid w:val="00DB38EE"/>
    <w:rsid w:val="00DB4474"/>
    <w:rsid w:val="00DB4688"/>
    <w:rsid w:val="00DB559A"/>
    <w:rsid w:val="00DB7A08"/>
    <w:rsid w:val="00DC07F8"/>
    <w:rsid w:val="00DC1D8D"/>
    <w:rsid w:val="00DC29F4"/>
    <w:rsid w:val="00DC2A3C"/>
    <w:rsid w:val="00DC6A53"/>
    <w:rsid w:val="00DD2CEB"/>
    <w:rsid w:val="00DD3EF9"/>
    <w:rsid w:val="00DD438D"/>
    <w:rsid w:val="00DD4F6D"/>
    <w:rsid w:val="00DD572C"/>
    <w:rsid w:val="00DD776A"/>
    <w:rsid w:val="00DE1BE7"/>
    <w:rsid w:val="00DE230E"/>
    <w:rsid w:val="00DE408C"/>
    <w:rsid w:val="00DE5BA5"/>
    <w:rsid w:val="00DE5D59"/>
    <w:rsid w:val="00DE5F6D"/>
    <w:rsid w:val="00DE7123"/>
    <w:rsid w:val="00DF0704"/>
    <w:rsid w:val="00DF2492"/>
    <w:rsid w:val="00DF2A25"/>
    <w:rsid w:val="00DF3BDB"/>
    <w:rsid w:val="00DF3E2E"/>
    <w:rsid w:val="00DF3FE4"/>
    <w:rsid w:val="00DF75CB"/>
    <w:rsid w:val="00DF79A2"/>
    <w:rsid w:val="00DF7AD8"/>
    <w:rsid w:val="00E028CE"/>
    <w:rsid w:val="00E03F83"/>
    <w:rsid w:val="00E040F4"/>
    <w:rsid w:val="00E0485E"/>
    <w:rsid w:val="00E0616D"/>
    <w:rsid w:val="00E06188"/>
    <w:rsid w:val="00E06C45"/>
    <w:rsid w:val="00E07C43"/>
    <w:rsid w:val="00E10A17"/>
    <w:rsid w:val="00E116A9"/>
    <w:rsid w:val="00E12D7D"/>
    <w:rsid w:val="00E22FEE"/>
    <w:rsid w:val="00E23628"/>
    <w:rsid w:val="00E24B33"/>
    <w:rsid w:val="00E27891"/>
    <w:rsid w:val="00E34A35"/>
    <w:rsid w:val="00E34CCC"/>
    <w:rsid w:val="00E34CEA"/>
    <w:rsid w:val="00E36D7A"/>
    <w:rsid w:val="00E425BA"/>
    <w:rsid w:val="00E4328A"/>
    <w:rsid w:val="00E43C4B"/>
    <w:rsid w:val="00E4503C"/>
    <w:rsid w:val="00E45687"/>
    <w:rsid w:val="00E458D7"/>
    <w:rsid w:val="00E45C74"/>
    <w:rsid w:val="00E45CDE"/>
    <w:rsid w:val="00E52B44"/>
    <w:rsid w:val="00E52C28"/>
    <w:rsid w:val="00E52EF7"/>
    <w:rsid w:val="00E54103"/>
    <w:rsid w:val="00E54558"/>
    <w:rsid w:val="00E54E01"/>
    <w:rsid w:val="00E560B5"/>
    <w:rsid w:val="00E57EC1"/>
    <w:rsid w:val="00E61B7E"/>
    <w:rsid w:val="00E61CE5"/>
    <w:rsid w:val="00E61FE3"/>
    <w:rsid w:val="00E620AC"/>
    <w:rsid w:val="00E63A1E"/>
    <w:rsid w:val="00E649DA"/>
    <w:rsid w:val="00E65D59"/>
    <w:rsid w:val="00E66E47"/>
    <w:rsid w:val="00E70863"/>
    <w:rsid w:val="00E70EA8"/>
    <w:rsid w:val="00E71F1E"/>
    <w:rsid w:val="00E7375A"/>
    <w:rsid w:val="00E73A40"/>
    <w:rsid w:val="00E7554C"/>
    <w:rsid w:val="00E75EBA"/>
    <w:rsid w:val="00E7606D"/>
    <w:rsid w:val="00E7630E"/>
    <w:rsid w:val="00E800E8"/>
    <w:rsid w:val="00E80F59"/>
    <w:rsid w:val="00E81297"/>
    <w:rsid w:val="00E81E26"/>
    <w:rsid w:val="00E82C87"/>
    <w:rsid w:val="00E8418F"/>
    <w:rsid w:val="00E856EE"/>
    <w:rsid w:val="00E8616A"/>
    <w:rsid w:val="00E86372"/>
    <w:rsid w:val="00E86472"/>
    <w:rsid w:val="00E86900"/>
    <w:rsid w:val="00E87355"/>
    <w:rsid w:val="00E9135F"/>
    <w:rsid w:val="00E9690D"/>
    <w:rsid w:val="00E969B1"/>
    <w:rsid w:val="00EA0A57"/>
    <w:rsid w:val="00EA0FB7"/>
    <w:rsid w:val="00EA1171"/>
    <w:rsid w:val="00EA4817"/>
    <w:rsid w:val="00EA58FA"/>
    <w:rsid w:val="00EA7915"/>
    <w:rsid w:val="00EA7C07"/>
    <w:rsid w:val="00EA7F52"/>
    <w:rsid w:val="00EB257B"/>
    <w:rsid w:val="00EB2DB6"/>
    <w:rsid w:val="00EB3C81"/>
    <w:rsid w:val="00EB57EA"/>
    <w:rsid w:val="00EB5D44"/>
    <w:rsid w:val="00EB620A"/>
    <w:rsid w:val="00EC1F42"/>
    <w:rsid w:val="00EC262A"/>
    <w:rsid w:val="00EC38ED"/>
    <w:rsid w:val="00EC48AC"/>
    <w:rsid w:val="00ED6B20"/>
    <w:rsid w:val="00ED72BB"/>
    <w:rsid w:val="00ED7EC6"/>
    <w:rsid w:val="00EE1313"/>
    <w:rsid w:val="00EE2730"/>
    <w:rsid w:val="00EE3C95"/>
    <w:rsid w:val="00EF0CD3"/>
    <w:rsid w:val="00EF103E"/>
    <w:rsid w:val="00EF312C"/>
    <w:rsid w:val="00EF5013"/>
    <w:rsid w:val="00EF56F4"/>
    <w:rsid w:val="00EF7222"/>
    <w:rsid w:val="00F00EF0"/>
    <w:rsid w:val="00F00FEC"/>
    <w:rsid w:val="00F01167"/>
    <w:rsid w:val="00F022AA"/>
    <w:rsid w:val="00F02EDD"/>
    <w:rsid w:val="00F06906"/>
    <w:rsid w:val="00F0772F"/>
    <w:rsid w:val="00F1395C"/>
    <w:rsid w:val="00F1441F"/>
    <w:rsid w:val="00F16551"/>
    <w:rsid w:val="00F16FD3"/>
    <w:rsid w:val="00F17D11"/>
    <w:rsid w:val="00F20F73"/>
    <w:rsid w:val="00F218F2"/>
    <w:rsid w:val="00F25160"/>
    <w:rsid w:val="00F25484"/>
    <w:rsid w:val="00F25FDE"/>
    <w:rsid w:val="00F3227C"/>
    <w:rsid w:val="00F329E6"/>
    <w:rsid w:val="00F32EDF"/>
    <w:rsid w:val="00F3337F"/>
    <w:rsid w:val="00F34DAD"/>
    <w:rsid w:val="00F41540"/>
    <w:rsid w:val="00F42ACE"/>
    <w:rsid w:val="00F466E4"/>
    <w:rsid w:val="00F46730"/>
    <w:rsid w:val="00F46FC2"/>
    <w:rsid w:val="00F5026B"/>
    <w:rsid w:val="00F532EA"/>
    <w:rsid w:val="00F53628"/>
    <w:rsid w:val="00F5441C"/>
    <w:rsid w:val="00F545B2"/>
    <w:rsid w:val="00F6056C"/>
    <w:rsid w:val="00F606D7"/>
    <w:rsid w:val="00F6085F"/>
    <w:rsid w:val="00F60A7C"/>
    <w:rsid w:val="00F64B8C"/>
    <w:rsid w:val="00F713AF"/>
    <w:rsid w:val="00F743D3"/>
    <w:rsid w:val="00F74E49"/>
    <w:rsid w:val="00F80F75"/>
    <w:rsid w:val="00F81D34"/>
    <w:rsid w:val="00F832CF"/>
    <w:rsid w:val="00F8444F"/>
    <w:rsid w:val="00F91885"/>
    <w:rsid w:val="00F918B9"/>
    <w:rsid w:val="00F91B32"/>
    <w:rsid w:val="00F94C84"/>
    <w:rsid w:val="00F95509"/>
    <w:rsid w:val="00FA16AF"/>
    <w:rsid w:val="00FA19C3"/>
    <w:rsid w:val="00FA230B"/>
    <w:rsid w:val="00FA262B"/>
    <w:rsid w:val="00FA2DE2"/>
    <w:rsid w:val="00FA50BE"/>
    <w:rsid w:val="00FA5BD0"/>
    <w:rsid w:val="00FA6271"/>
    <w:rsid w:val="00FB1EEF"/>
    <w:rsid w:val="00FB2165"/>
    <w:rsid w:val="00FB3F30"/>
    <w:rsid w:val="00FB5C77"/>
    <w:rsid w:val="00FB605A"/>
    <w:rsid w:val="00FB6257"/>
    <w:rsid w:val="00FB6A89"/>
    <w:rsid w:val="00FB7209"/>
    <w:rsid w:val="00FB742C"/>
    <w:rsid w:val="00FB791D"/>
    <w:rsid w:val="00FC4954"/>
    <w:rsid w:val="00FD05B1"/>
    <w:rsid w:val="00FD2E47"/>
    <w:rsid w:val="00FD3474"/>
    <w:rsid w:val="00FD78BE"/>
    <w:rsid w:val="00FD7CCF"/>
    <w:rsid w:val="00FE09DF"/>
    <w:rsid w:val="00FE0C11"/>
    <w:rsid w:val="00FE137B"/>
    <w:rsid w:val="00FE3D08"/>
    <w:rsid w:val="00FE54CA"/>
    <w:rsid w:val="00FE7205"/>
    <w:rsid w:val="00FE7536"/>
    <w:rsid w:val="00FE78FD"/>
    <w:rsid w:val="00FF01FC"/>
    <w:rsid w:val="00FF0BD7"/>
    <w:rsid w:val="00FF190B"/>
    <w:rsid w:val="00FF2AD3"/>
    <w:rsid w:val="00FF37E3"/>
    <w:rsid w:val="00FF5206"/>
    <w:rsid w:val="00FF55A8"/>
    <w:rsid w:val="00FF5B79"/>
    <w:rsid w:val="00FF62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B4AE0"/>
  <w15:docId w15:val="{269CC49E-2722-4E08-B02B-C4339126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023E"/>
    <w:pPr>
      <w:jc w:val="both"/>
    </w:pPr>
    <w:rPr>
      <w:sz w:val="16"/>
      <w:szCs w:val="16"/>
      <w:lang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DA5410"/>
    <w:rPr>
      <w:sz w:val="20"/>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DA5410"/>
    <w:rPr>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uiPriority w:val="99"/>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customStyle="1" w:styleId="Cuadrculamedia21">
    <w:name w:val="Cuadrícula media 21"/>
    <w:aliases w:val="Encabezado1"/>
    <w:link w:val="Cuadrculamedia2Car"/>
    <w:autoRedefine/>
    <w:uiPriority w:val="1"/>
    <w:qFormat/>
    <w:rsid w:val="00632FF0"/>
    <w:pPr>
      <w:jc w:val="center"/>
    </w:pPr>
    <w:rPr>
      <w:b/>
      <w:caps/>
      <w:color w:val="000000"/>
      <w:sz w:val="24"/>
      <w:szCs w:val="16"/>
      <w:lang w:eastAsia="es-ES_tradnl"/>
    </w:rPr>
  </w:style>
  <w:style w:type="character" w:customStyle="1" w:styleId="Cuadrculamedia2Car">
    <w:name w:val="Cuadrícula media 2 Car"/>
    <w:aliases w:val="Encabezado1 Car"/>
    <w:link w:val="Cuadrculamedia21"/>
    <w:uiPriority w:val="1"/>
    <w:rsid w:val="00632FF0"/>
    <w:rPr>
      <w:b/>
      <w:caps/>
      <w:color w:val="000000"/>
      <w:sz w:val="24"/>
      <w:szCs w:val="16"/>
      <w:lang w:val="es-CO" w:eastAsia="es-ES_tradnl"/>
    </w:rPr>
  </w:style>
  <w:style w:type="paragraph" w:customStyle="1" w:styleId="Cuadrculavistosa-nfasis11">
    <w:name w:val="Cuadrícula vistosa - Énfasis 11"/>
    <w:basedOn w:val="Normal"/>
    <w:next w:val="Normal"/>
    <w:link w:val="Cuadrculavistosa-nfasis1Car"/>
    <w:autoRedefine/>
    <w:uiPriority w:val="29"/>
    <w:qFormat/>
    <w:rsid w:val="00083B8F"/>
    <w:pPr>
      <w:ind w:left="862" w:right="862"/>
      <w:jc w:val="left"/>
    </w:pPr>
    <w:rPr>
      <w:i/>
      <w:iCs/>
      <w:color w:val="404040"/>
    </w:rPr>
  </w:style>
  <w:style w:type="character" w:customStyle="1" w:styleId="Cuadrculavistosa-nfasis1Car">
    <w:name w:val="Cuadrícula vistosa - Énfasis 1 Car"/>
    <w:link w:val="Cuadrculavistosa-nfasis11"/>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customStyle="1" w:styleId="Listavistosa-nfasis11">
    <w:name w:val="Lista vistosa - Énfasis 11"/>
    <w:basedOn w:val="Normal"/>
    <w:uiPriority w:val="34"/>
    <w:qFormat/>
    <w:rsid w:val="00E425BA"/>
    <w:pPr>
      <w:ind w:left="708"/>
    </w:pPr>
  </w:style>
  <w:style w:type="paragraph" w:styleId="Asuntodelcomentario">
    <w:name w:val="annotation subject"/>
    <w:basedOn w:val="Textocomentario"/>
    <w:next w:val="Textocomentario"/>
    <w:link w:val="AsuntodelcomentarioCar"/>
    <w:uiPriority w:val="99"/>
    <w:semiHidden/>
    <w:unhideWhenUsed/>
    <w:rsid w:val="00643802"/>
    <w:pPr>
      <w:spacing w:after="0" w:line="240" w:lineRule="auto"/>
      <w:jc w:val="both"/>
    </w:pPr>
    <w:rPr>
      <w:rFonts w:ascii="Arial" w:hAnsi="Arial" w:cs="Arial"/>
      <w:b/>
      <w:bCs/>
      <w:lang w:val="es-CO" w:eastAsia="es-ES_tradnl"/>
    </w:rPr>
  </w:style>
  <w:style w:type="character" w:customStyle="1" w:styleId="AsuntodelcomentarioCar">
    <w:name w:val="Asunto del comentario Car"/>
    <w:link w:val="Asuntodelcomentario"/>
    <w:uiPriority w:val="99"/>
    <w:semiHidden/>
    <w:rsid w:val="00643802"/>
    <w:rPr>
      <w:rFonts w:ascii="Calibri" w:hAnsi="Calibri" w:cs="Times New Roman"/>
      <w:b/>
      <w:bCs/>
      <w:lang w:val="es-ES" w:eastAsia="es-ES_tradnl"/>
    </w:rPr>
  </w:style>
  <w:style w:type="paragraph" w:styleId="Prrafodelista">
    <w:name w:val="List Paragraph"/>
    <w:basedOn w:val="Normal"/>
    <w:link w:val="PrrafodelistaCar"/>
    <w:uiPriority w:val="34"/>
    <w:qFormat/>
    <w:rsid w:val="003B184C"/>
    <w:pPr>
      <w:ind w:left="708"/>
      <w:jc w:val="left"/>
    </w:pPr>
    <w:rPr>
      <w:rFonts w:ascii="Calibri" w:eastAsia="Times New Roman" w:hAnsi="Calibri" w:cs="Times New Roman"/>
      <w:sz w:val="22"/>
      <w:szCs w:val="22"/>
      <w:lang w:val="es-ES" w:eastAsia="en-US"/>
    </w:rPr>
  </w:style>
  <w:style w:type="character" w:customStyle="1" w:styleId="PrrafodelistaCar">
    <w:name w:val="Párrafo de lista Car"/>
    <w:link w:val="Prrafodelista"/>
    <w:uiPriority w:val="34"/>
    <w:qFormat/>
    <w:locked/>
    <w:rsid w:val="003B184C"/>
    <w:rPr>
      <w:rFonts w:ascii="Calibri" w:eastAsia="Times New Roman" w:hAnsi="Calibri" w:cs="Times New Roman"/>
      <w:sz w:val="22"/>
      <w:szCs w:val="22"/>
      <w:lang w:eastAsia="en-US"/>
    </w:rPr>
  </w:style>
  <w:style w:type="paragraph" w:styleId="NormalWeb">
    <w:name w:val="Normal (Web)"/>
    <w:basedOn w:val="Normal"/>
    <w:uiPriority w:val="99"/>
    <w:unhideWhenUsed/>
    <w:rsid w:val="00E4503C"/>
    <w:pPr>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p1">
    <w:name w:val="p1"/>
    <w:basedOn w:val="Normal"/>
    <w:rsid w:val="003E02F0"/>
    <w:pPr>
      <w:jc w:val="left"/>
    </w:pPr>
    <w:rPr>
      <w:rFonts w:ascii="Helvetica" w:hAnsi="Helvetica" w:cs="Times New Roman"/>
      <w:lang w:val="es-ES_tradnl"/>
    </w:rPr>
  </w:style>
  <w:style w:type="paragraph" w:customStyle="1" w:styleId="paragraph">
    <w:name w:val="paragraph"/>
    <w:basedOn w:val="Normal"/>
    <w:rsid w:val="00C56A73"/>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C56A73"/>
  </w:style>
  <w:style w:type="character" w:customStyle="1" w:styleId="eop">
    <w:name w:val="eop"/>
    <w:basedOn w:val="Fuentedeprrafopredeter"/>
    <w:rsid w:val="00C56A73"/>
  </w:style>
  <w:style w:type="character" w:customStyle="1" w:styleId="superscript">
    <w:name w:val="superscript"/>
    <w:basedOn w:val="Fuentedeprrafopredeter"/>
    <w:rsid w:val="00C56A73"/>
  </w:style>
  <w:style w:type="table" w:styleId="Tablaconcuadrcula">
    <w:name w:val="Table Grid"/>
    <w:basedOn w:val="Tablanormal"/>
    <w:uiPriority w:val="39"/>
    <w:rsid w:val="00F64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Fuentedeprrafopredeter"/>
    <w:rsid w:val="00C54B03"/>
  </w:style>
  <w:style w:type="paragraph" w:styleId="Revisin">
    <w:name w:val="Revision"/>
    <w:hidden/>
    <w:uiPriority w:val="99"/>
    <w:semiHidden/>
    <w:rsid w:val="008515D8"/>
    <w:rPr>
      <w:sz w:val="16"/>
      <w:szCs w:val="1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6850">
      <w:bodyDiv w:val="1"/>
      <w:marLeft w:val="0"/>
      <w:marRight w:val="0"/>
      <w:marTop w:val="0"/>
      <w:marBottom w:val="0"/>
      <w:divBdr>
        <w:top w:val="none" w:sz="0" w:space="0" w:color="auto"/>
        <w:left w:val="none" w:sz="0" w:space="0" w:color="auto"/>
        <w:bottom w:val="none" w:sz="0" w:space="0" w:color="auto"/>
        <w:right w:val="none" w:sz="0" w:space="0" w:color="auto"/>
      </w:divBdr>
    </w:div>
    <w:div w:id="63379150">
      <w:bodyDiv w:val="1"/>
      <w:marLeft w:val="0"/>
      <w:marRight w:val="0"/>
      <w:marTop w:val="0"/>
      <w:marBottom w:val="0"/>
      <w:divBdr>
        <w:top w:val="none" w:sz="0" w:space="0" w:color="auto"/>
        <w:left w:val="none" w:sz="0" w:space="0" w:color="auto"/>
        <w:bottom w:val="none" w:sz="0" w:space="0" w:color="auto"/>
        <w:right w:val="none" w:sz="0" w:space="0" w:color="auto"/>
      </w:divBdr>
      <w:divsChild>
        <w:div w:id="681014117">
          <w:marLeft w:val="0"/>
          <w:marRight w:val="0"/>
          <w:marTop w:val="0"/>
          <w:marBottom w:val="0"/>
          <w:divBdr>
            <w:top w:val="none" w:sz="0" w:space="0" w:color="auto"/>
            <w:left w:val="none" w:sz="0" w:space="0" w:color="auto"/>
            <w:bottom w:val="none" w:sz="0" w:space="0" w:color="auto"/>
            <w:right w:val="none" w:sz="0" w:space="0" w:color="auto"/>
          </w:divBdr>
        </w:div>
        <w:div w:id="1237518501">
          <w:marLeft w:val="0"/>
          <w:marRight w:val="0"/>
          <w:marTop w:val="0"/>
          <w:marBottom w:val="0"/>
          <w:divBdr>
            <w:top w:val="none" w:sz="0" w:space="0" w:color="auto"/>
            <w:left w:val="none" w:sz="0" w:space="0" w:color="auto"/>
            <w:bottom w:val="none" w:sz="0" w:space="0" w:color="auto"/>
            <w:right w:val="none" w:sz="0" w:space="0" w:color="auto"/>
          </w:divBdr>
        </w:div>
        <w:div w:id="1518811966">
          <w:marLeft w:val="0"/>
          <w:marRight w:val="0"/>
          <w:marTop w:val="0"/>
          <w:marBottom w:val="0"/>
          <w:divBdr>
            <w:top w:val="none" w:sz="0" w:space="0" w:color="auto"/>
            <w:left w:val="none" w:sz="0" w:space="0" w:color="auto"/>
            <w:bottom w:val="none" w:sz="0" w:space="0" w:color="auto"/>
            <w:right w:val="none" w:sz="0" w:space="0" w:color="auto"/>
          </w:divBdr>
          <w:divsChild>
            <w:div w:id="166791827">
              <w:marLeft w:val="0"/>
              <w:marRight w:val="0"/>
              <w:marTop w:val="0"/>
              <w:marBottom w:val="0"/>
              <w:divBdr>
                <w:top w:val="none" w:sz="0" w:space="0" w:color="auto"/>
                <w:left w:val="none" w:sz="0" w:space="0" w:color="auto"/>
                <w:bottom w:val="none" w:sz="0" w:space="0" w:color="auto"/>
                <w:right w:val="none" w:sz="0" w:space="0" w:color="auto"/>
              </w:divBdr>
            </w:div>
            <w:div w:id="988217389">
              <w:marLeft w:val="0"/>
              <w:marRight w:val="0"/>
              <w:marTop w:val="0"/>
              <w:marBottom w:val="0"/>
              <w:divBdr>
                <w:top w:val="none" w:sz="0" w:space="0" w:color="auto"/>
                <w:left w:val="none" w:sz="0" w:space="0" w:color="auto"/>
                <w:bottom w:val="none" w:sz="0" w:space="0" w:color="auto"/>
                <w:right w:val="none" w:sz="0" w:space="0" w:color="auto"/>
              </w:divBdr>
            </w:div>
            <w:div w:id="1356692664">
              <w:marLeft w:val="0"/>
              <w:marRight w:val="0"/>
              <w:marTop w:val="0"/>
              <w:marBottom w:val="0"/>
              <w:divBdr>
                <w:top w:val="none" w:sz="0" w:space="0" w:color="auto"/>
                <w:left w:val="none" w:sz="0" w:space="0" w:color="auto"/>
                <w:bottom w:val="none" w:sz="0" w:space="0" w:color="auto"/>
                <w:right w:val="none" w:sz="0" w:space="0" w:color="auto"/>
              </w:divBdr>
            </w:div>
            <w:div w:id="1548445150">
              <w:marLeft w:val="0"/>
              <w:marRight w:val="0"/>
              <w:marTop w:val="0"/>
              <w:marBottom w:val="0"/>
              <w:divBdr>
                <w:top w:val="none" w:sz="0" w:space="0" w:color="auto"/>
                <w:left w:val="none" w:sz="0" w:space="0" w:color="auto"/>
                <w:bottom w:val="none" w:sz="0" w:space="0" w:color="auto"/>
                <w:right w:val="none" w:sz="0" w:space="0" w:color="auto"/>
              </w:divBdr>
            </w:div>
          </w:divsChild>
        </w:div>
        <w:div w:id="1642228025">
          <w:marLeft w:val="0"/>
          <w:marRight w:val="0"/>
          <w:marTop w:val="0"/>
          <w:marBottom w:val="0"/>
          <w:divBdr>
            <w:top w:val="none" w:sz="0" w:space="0" w:color="auto"/>
            <w:left w:val="none" w:sz="0" w:space="0" w:color="auto"/>
            <w:bottom w:val="none" w:sz="0" w:space="0" w:color="auto"/>
            <w:right w:val="none" w:sz="0" w:space="0" w:color="auto"/>
          </w:divBdr>
        </w:div>
      </w:divsChild>
    </w:div>
    <w:div w:id="96993975">
      <w:bodyDiv w:val="1"/>
      <w:marLeft w:val="0"/>
      <w:marRight w:val="0"/>
      <w:marTop w:val="0"/>
      <w:marBottom w:val="0"/>
      <w:divBdr>
        <w:top w:val="none" w:sz="0" w:space="0" w:color="auto"/>
        <w:left w:val="none" w:sz="0" w:space="0" w:color="auto"/>
        <w:bottom w:val="none" w:sz="0" w:space="0" w:color="auto"/>
        <w:right w:val="none" w:sz="0" w:space="0" w:color="auto"/>
      </w:divBdr>
      <w:divsChild>
        <w:div w:id="547762339">
          <w:marLeft w:val="0"/>
          <w:marRight w:val="0"/>
          <w:marTop w:val="0"/>
          <w:marBottom w:val="0"/>
          <w:divBdr>
            <w:top w:val="none" w:sz="0" w:space="0" w:color="auto"/>
            <w:left w:val="none" w:sz="0" w:space="0" w:color="auto"/>
            <w:bottom w:val="none" w:sz="0" w:space="0" w:color="auto"/>
            <w:right w:val="none" w:sz="0" w:space="0" w:color="auto"/>
          </w:divBdr>
        </w:div>
        <w:div w:id="854030733">
          <w:marLeft w:val="0"/>
          <w:marRight w:val="0"/>
          <w:marTop w:val="0"/>
          <w:marBottom w:val="0"/>
          <w:divBdr>
            <w:top w:val="none" w:sz="0" w:space="0" w:color="auto"/>
            <w:left w:val="none" w:sz="0" w:space="0" w:color="auto"/>
            <w:bottom w:val="none" w:sz="0" w:space="0" w:color="auto"/>
            <w:right w:val="none" w:sz="0" w:space="0" w:color="auto"/>
          </w:divBdr>
        </w:div>
        <w:div w:id="943345917">
          <w:marLeft w:val="0"/>
          <w:marRight w:val="0"/>
          <w:marTop w:val="0"/>
          <w:marBottom w:val="0"/>
          <w:divBdr>
            <w:top w:val="none" w:sz="0" w:space="0" w:color="auto"/>
            <w:left w:val="none" w:sz="0" w:space="0" w:color="auto"/>
            <w:bottom w:val="none" w:sz="0" w:space="0" w:color="auto"/>
            <w:right w:val="none" w:sz="0" w:space="0" w:color="auto"/>
          </w:divBdr>
        </w:div>
        <w:div w:id="1270434469">
          <w:marLeft w:val="0"/>
          <w:marRight w:val="0"/>
          <w:marTop w:val="0"/>
          <w:marBottom w:val="0"/>
          <w:divBdr>
            <w:top w:val="none" w:sz="0" w:space="0" w:color="auto"/>
            <w:left w:val="none" w:sz="0" w:space="0" w:color="auto"/>
            <w:bottom w:val="none" w:sz="0" w:space="0" w:color="auto"/>
            <w:right w:val="none" w:sz="0" w:space="0" w:color="auto"/>
          </w:divBdr>
        </w:div>
      </w:divsChild>
    </w:div>
    <w:div w:id="685719166">
      <w:bodyDiv w:val="1"/>
      <w:marLeft w:val="0"/>
      <w:marRight w:val="0"/>
      <w:marTop w:val="0"/>
      <w:marBottom w:val="0"/>
      <w:divBdr>
        <w:top w:val="none" w:sz="0" w:space="0" w:color="auto"/>
        <w:left w:val="none" w:sz="0" w:space="0" w:color="auto"/>
        <w:bottom w:val="none" w:sz="0" w:space="0" w:color="auto"/>
        <w:right w:val="none" w:sz="0" w:space="0" w:color="auto"/>
      </w:divBdr>
      <w:divsChild>
        <w:div w:id="125244389">
          <w:marLeft w:val="0"/>
          <w:marRight w:val="0"/>
          <w:marTop w:val="0"/>
          <w:marBottom w:val="0"/>
          <w:divBdr>
            <w:top w:val="none" w:sz="0" w:space="0" w:color="auto"/>
            <w:left w:val="none" w:sz="0" w:space="0" w:color="auto"/>
            <w:bottom w:val="none" w:sz="0" w:space="0" w:color="auto"/>
            <w:right w:val="none" w:sz="0" w:space="0" w:color="auto"/>
          </w:divBdr>
        </w:div>
        <w:div w:id="754984244">
          <w:marLeft w:val="0"/>
          <w:marRight w:val="0"/>
          <w:marTop w:val="0"/>
          <w:marBottom w:val="0"/>
          <w:divBdr>
            <w:top w:val="none" w:sz="0" w:space="0" w:color="auto"/>
            <w:left w:val="none" w:sz="0" w:space="0" w:color="auto"/>
            <w:bottom w:val="none" w:sz="0" w:space="0" w:color="auto"/>
            <w:right w:val="none" w:sz="0" w:space="0" w:color="auto"/>
          </w:divBdr>
        </w:div>
        <w:div w:id="1261991341">
          <w:marLeft w:val="0"/>
          <w:marRight w:val="0"/>
          <w:marTop w:val="0"/>
          <w:marBottom w:val="0"/>
          <w:divBdr>
            <w:top w:val="none" w:sz="0" w:space="0" w:color="auto"/>
            <w:left w:val="none" w:sz="0" w:space="0" w:color="auto"/>
            <w:bottom w:val="none" w:sz="0" w:space="0" w:color="auto"/>
            <w:right w:val="none" w:sz="0" w:space="0" w:color="auto"/>
          </w:divBdr>
        </w:div>
        <w:div w:id="1281187207">
          <w:marLeft w:val="0"/>
          <w:marRight w:val="0"/>
          <w:marTop w:val="0"/>
          <w:marBottom w:val="0"/>
          <w:divBdr>
            <w:top w:val="none" w:sz="0" w:space="0" w:color="auto"/>
            <w:left w:val="none" w:sz="0" w:space="0" w:color="auto"/>
            <w:bottom w:val="none" w:sz="0" w:space="0" w:color="auto"/>
            <w:right w:val="none" w:sz="0" w:space="0" w:color="auto"/>
          </w:divBdr>
        </w:div>
        <w:div w:id="2015523272">
          <w:marLeft w:val="0"/>
          <w:marRight w:val="0"/>
          <w:marTop w:val="0"/>
          <w:marBottom w:val="0"/>
          <w:divBdr>
            <w:top w:val="none" w:sz="0" w:space="0" w:color="auto"/>
            <w:left w:val="none" w:sz="0" w:space="0" w:color="auto"/>
            <w:bottom w:val="none" w:sz="0" w:space="0" w:color="auto"/>
            <w:right w:val="none" w:sz="0" w:space="0" w:color="auto"/>
          </w:divBdr>
        </w:div>
      </w:divsChild>
    </w:div>
    <w:div w:id="693964010">
      <w:bodyDiv w:val="1"/>
      <w:marLeft w:val="0"/>
      <w:marRight w:val="0"/>
      <w:marTop w:val="0"/>
      <w:marBottom w:val="0"/>
      <w:divBdr>
        <w:top w:val="none" w:sz="0" w:space="0" w:color="auto"/>
        <w:left w:val="none" w:sz="0" w:space="0" w:color="auto"/>
        <w:bottom w:val="none" w:sz="0" w:space="0" w:color="auto"/>
        <w:right w:val="none" w:sz="0" w:space="0" w:color="auto"/>
      </w:divBdr>
    </w:div>
    <w:div w:id="810487470">
      <w:bodyDiv w:val="1"/>
      <w:marLeft w:val="0"/>
      <w:marRight w:val="0"/>
      <w:marTop w:val="0"/>
      <w:marBottom w:val="0"/>
      <w:divBdr>
        <w:top w:val="none" w:sz="0" w:space="0" w:color="auto"/>
        <w:left w:val="none" w:sz="0" w:space="0" w:color="auto"/>
        <w:bottom w:val="none" w:sz="0" w:space="0" w:color="auto"/>
        <w:right w:val="none" w:sz="0" w:space="0" w:color="auto"/>
      </w:divBdr>
      <w:divsChild>
        <w:div w:id="732973955">
          <w:marLeft w:val="0"/>
          <w:marRight w:val="0"/>
          <w:marTop w:val="0"/>
          <w:marBottom w:val="0"/>
          <w:divBdr>
            <w:top w:val="none" w:sz="0" w:space="0" w:color="auto"/>
            <w:left w:val="none" w:sz="0" w:space="0" w:color="auto"/>
            <w:bottom w:val="none" w:sz="0" w:space="0" w:color="auto"/>
            <w:right w:val="none" w:sz="0" w:space="0" w:color="auto"/>
          </w:divBdr>
        </w:div>
        <w:div w:id="1827554281">
          <w:marLeft w:val="0"/>
          <w:marRight w:val="0"/>
          <w:marTop w:val="0"/>
          <w:marBottom w:val="0"/>
          <w:divBdr>
            <w:top w:val="none" w:sz="0" w:space="0" w:color="auto"/>
            <w:left w:val="none" w:sz="0" w:space="0" w:color="auto"/>
            <w:bottom w:val="none" w:sz="0" w:space="0" w:color="auto"/>
            <w:right w:val="none" w:sz="0" w:space="0" w:color="auto"/>
          </w:divBdr>
        </w:div>
        <w:div w:id="1860048635">
          <w:marLeft w:val="0"/>
          <w:marRight w:val="0"/>
          <w:marTop w:val="0"/>
          <w:marBottom w:val="0"/>
          <w:divBdr>
            <w:top w:val="none" w:sz="0" w:space="0" w:color="auto"/>
            <w:left w:val="none" w:sz="0" w:space="0" w:color="auto"/>
            <w:bottom w:val="none" w:sz="0" w:space="0" w:color="auto"/>
            <w:right w:val="none" w:sz="0" w:space="0" w:color="auto"/>
          </w:divBdr>
        </w:div>
      </w:divsChild>
    </w:div>
    <w:div w:id="1255750009">
      <w:bodyDiv w:val="1"/>
      <w:marLeft w:val="0"/>
      <w:marRight w:val="0"/>
      <w:marTop w:val="0"/>
      <w:marBottom w:val="0"/>
      <w:divBdr>
        <w:top w:val="none" w:sz="0" w:space="0" w:color="auto"/>
        <w:left w:val="none" w:sz="0" w:space="0" w:color="auto"/>
        <w:bottom w:val="none" w:sz="0" w:space="0" w:color="auto"/>
        <w:right w:val="none" w:sz="0" w:space="0" w:color="auto"/>
      </w:divBdr>
      <w:divsChild>
        <w:div w:id="500122761">
          <w:marLeft w:val="0"/>
          <w:marRight w:val="0"/>
          <w:marTop w:val="0"/>
          <w:marBottom w:val="0"/>
          <w:divBdr>
            <w:top w:val="none" w:sz="0" w:space="0" w:color="auto"/>
            <w:left w:val="none" w:sz="0" w:space="0" w:color="auto"/>
            <w:bottom w:val="none" w:sz="0" w:space="0" w:color="auto"/>
            <w:right w:val="none" w:sz="0" w:space="0" w:color="auto"/>
          </w:divBdr>
        </w:div>
        <w:div w:id="925571568">
          <w:marLeft w:val="0"/>
          <w:marRight w:val="0"/>
          <w:marTop w:val="0"/>
          <w:marBottom w:val="0"/>
          <w:divBdr>
            <w:top w:val="none" w:sz="0" w:space="0" w:color="auto"/>
            <w:left w:val="none" w:sz="0" w:space="0" w:color="auto"/>
            <w:bottom w:val="none" w:sz="0" w:space="0" w:color="auto"/>
            <w:right w:val="none" w:sz="0" w:space="0" w:color="auto"/>
          </w:divBdr>
        </w:div>
      </w:divsChild>
    </w:div>
    <w:div w:id="1353191341">
      <w:bodyDiv w:val="1"/>
      <w:marLeft w:val="0"/>
      <w:marRight w:val="0"/>
      <w:marTop w:val="0"/>
      <w:marBottom w:val="0"/>
      <w:divBdr>
        <w:top w:val="none" w:sz="0" w:space="0" w:color="auto"/>
        <w:left w:val="none" w:sz="0" w:space="0" w:color="auto"/>
        <w:bottom w:val="none" w:sz="0" w:space="0" w:color="auto"/>
        <w:right w:val="none" w:sz="0" w:space="0" w:color="auto"/>
      </w:divBdr>
      <w:divsChild>
        <w:div w:id="729111079">
          <w:marLeft w:val="0"/>
          <w:marRight w:val="0"/>
          <w:marTop w:val="0"/>
          <w:marBottom w:val="0"/>
          <w:divBdr>
            <w:top w:val="none" w:sz="0" w:space="0" w:color="auto"/>
            <w:left w:val="none" w:sz="0" w:space="0" w:color="auto"/>
            <w:bottom w:val="none" w:sz="0" w:space="0" w:color="auto"/>
            <w:right w:val="none" w:sz="0" w:space="0" w:color="auto"/>
          </w:divBdr>
        </w:div>
        <w:div w:id="832377491">
          <w:marLeft w:val="0"/>
          <w:marRight w:val="0"/>
          <w:marTop w:val="0"/>
          <w:marBottom w:val="0"/>
          <w:divBdr>
            <w:top w:val="none" w:sz="0" w:space="0" w:color="auto"/>
            <w:left w:val="none" w:sz="0" w:space="0" w:color="auto"/>
            <w:bottom w:val="none" w:sz="0" w:space="0" w:color="auto"/>
            <w:right w:val="none" w:sz="0" w:space="0" w:color="auto"/>
          </w:divBdr>
        </w:div>
        <w:div w:id="849833307">
          <w:marLeft w:val="0"/>
          <w:marRight w:val="0"/>
          <w:marTop w:val="0"/>
          <w:marBottom w:val="0"/>
          <w:divBdr>
            <w:top w:val="none" w:sz="0" w:space="0" w:color="auto"/>
            <w:left w:val="none" w:sz="0" w:space="0" w:color="auto"/>
            <w:bottom w:val="none" w:sz="0" w:space="0" w:color="auto"/>
            <w:right w:val="none" w:sz="0" w:space="0" w:color="auto"/>
          </w:divBdr>
        </w:div>
        <w:div w:id="901133737">
          <w:marLeft w:val="0"/>
          <w:marRight w:val="0"/>
          <w:marTop w:val="0"/>
          <w:marBottom w:val="0"/>
          <w:divBdr>
            <w:top w:val="none" w:sz="0" w:space="0" w:color="auto"/>
            <w:left w:val="none" w:sz="0" w:space="0" w:color="auto"/>
            <w:bottom w:val="none" w:sz="0" w:space="0" w:color="auto"/>
            <w:right w:val="none" w:sz="0" w:space="0" w:color="auto"/>
          </w:divBdr>
        </w:div>
        <w:div w:id="1659190375">
          <w:marLeft w:val="0"/>
          <w:marRight w:val="0"/>
          <w:marTop w:val="0"/>
          <w:marBottom w:val="0"/>
          <w:divBdr>
            <w:top w:val="none" w:sz="0" w:space="0" w:color="auto"/>
            <w:left w:val="none" w:sz="0" w:space="0" w:color="auto"/>
            <w:bottom w:val="none" w:sz="0" w:space="0" w:color="auto"/>
            <w:right w:val="none" w:sz="0" w:space="0" w:color="auto"/>
          </w:divBdr>
        </w:div>
      </w:divsChild>
    </w:div>
    <w:div w:id="1441802645">
      <w:bodyDiv w:val="1"/>
      <w:marLeft w:val="0"/>
      <w:marRight w:val="0"/>
      <w:marTop w:val="0"/>
      <w:marBottom w:val="0"/>
      <w:divBdr>
        <w:top w:val="none" w:sz="0" w:space="0" w:color="auto"/>
        <w:left w:val="none" w:sz="0" w:space="0" w:color="auto"/>
        <w:bottom w:val="none" w:sz="0" w:space="0" w:color="auto"/>
        <w:right w:val="none" w:sz="0" w:space="0" w:color="auto"/>
      </w:divBdr>
    </w:div>
    <w:div w:id="1475098924">
      <w:bodyDiv w:val="1"/>
      <w:marLeft w:val="0"/>
      <w:marRight w:val="0"/>
      <w:marTop w:val="0"/>
      <w:marBottom w:val="0"/>
      <w:divBdr>
        <w:top w:val="none" w:sz="0" w:space="0" w:color="auto"/>
        <w:left w:val="none" w:sz="0" w:space="0" w:color="auto"/>
        <w:bottom w:val="none" w:sz="0" w:space="0" w:color="auto"/>
        <w:right w:val="none" w:sz="0" w:space="0" w:color="auto"/>
      </w:divBdr>
      <w:divsChild>
        <w:div w:id="81606035">
          <w:marLeft w:val="0"/>
          <w:marRight w:val="0"/>
          <w:marTop w:val="0"/>
          <w:marBottom w:val="0"/>
          <w:divBdr>
            <w:top w:val="none" w:sz="0" w:space="0" w:color="auto"/>
            <w:left w:val="none" w:sz="0" w:space="0" w:color="auto"/>
            <w:bottom w:val="none" w:sz="0" w:space="0" w:color="auto"/>
            <w:right w:val="none" w:sz="0" w:space="0" w:color="auto"/>
          </w:divBdr>
        </w:div>
        <w:div w:id="661472340">
          <w:marLeft w:val="0"/>
          <w:marRight w:val="0"/>
          <w:marTop w:val="0"/>
          <w:marBottom w:val="0"/>
          <w:divBdr>
            <w:top w:val="none" w:sz="0" w:space="0" w:color="auto"/>
            <w:left w:val="none" w:sz="0" w:space="0" w:color="auto"/>
            <w:bottom w:val="none" w:sz="0" w:space="0" w:color="auto"/>
            <w:right w:val="none" w:sz="0" w:space="0" w:color="auto"/>
          </w:divBdr>
          <w:divsChild>
            <w:div w:id="650184440">
              <w:marLeft w:val="0"/>
              <w:marRight w:val="0"/>
              <w:marTop w:val="0"/>
              <w:marBottom w:val="0"/>
              <w:divBdr>
                <w:top w:val="none" w:sz="0" w:space="0" w:color="auto"/>
                <w:left w:val="none" w:sz="0" w:space="0" w:color="auto"/>
                <w:bottom w:val="none" w:sz="0" w:space="0" w:color="auto"/>
                <w:right w:val="none" w:sz="0" w:space="0" w:color="auto"/>
              </w:divBdr>
            </w:div>
            <w:div w:id="704671986">
              <w:marLeft w:val="0"/>
              <w:marRight w:val="0"/>
              <w:marTop w:val="0"/>
              <w:marBottom w:val="0"/>
              <w:divBdr>
                <w:top w:val="none" w:sz="0" w:space="0" w:color="auto"/>
                <w:left w:val="none" w:sz="0" w:space="0" w:color="auto"/>
                <w:bottom w:val="none" w:sz="0" w:space="0" w:color="auto"/>
                <w:right w:val="none" w:sz="0" w:space="0" w:color="auto"/>
              </w:divBdr>
            </w:div>
            <w:div w:id="1890337480">
              <w:marLeft w:val="0"/>
              <w:marRight w:val="0"/>
              <w:marTop w:val="0"/>
              <w:marBottom w:val="0"/>
              <w:divBdr>
                <w:top w:val="none" w:sz="0" w:space="0" w:color="auto"/>
                <w:left w:val="none" w:sz="0" w:space="0" w:color="auto"/>
                <w:bottom w:val="none" w:sz="0" w:space="0" w:color="auto"/>
                <w:right w:val="none" w:sz="0" w:space="0" w:color="auto"/>
              </w:divBdr>
            </w:div>
            <w:div w:id="2105374679">
              <w:marLeft w:val="0"/>
              <w:marRight w:val="0"/>
              <w:marTop w:val="0"/>
              <w:marBottom w:val="0"/>
              <w:divBdr>
                <w:top w:val="none" w:sz="0" w:space="0" w:color="auto"/>
                <w:left w:val="none" w:sz="0" w:space="0" w:color="auto"/>
                <w:bottom w:val="none" w:sz="0" w:space="0" w:color="auto"/>
                <w:right w:val="none" w:sz="0" w:space="0" w:color="auto"/>
              </w:divBdr>
            </w:div>
          </w:divsChild>
        </w:div>
        <w:div w:id="1859389933">
          <w:marLeft w:val="0"/>
          <w:marRight w:val="0"/>
          <w:marTop w:val="0"/>
          <w:marBottom w:val="0"/>
          <w:divBdr>
            <w:top w:val="none" w:sz="0" w:space="0" w:color="auto"/>
            <w:left w:val="none" w:sz="0" w:space="0" w:color="auto"/>
            <w:bottom w:val="none" w:sz="0" w:space="0" w:color="auto"/>
            <w:right w:val="none" w:sz="0" w:space="0" w:color="auto"/>
          </w:divBdr>
        </w:div>
        <w:div w:id="1909413223">
          <w:marLeft w:val="0"/>
          <w:marRight w:val="0"/>
          <w:marTop w:val="0"/>
          <w:marBottom w:val="0"/>
          <w:divBdr>
            <w:top w:val="none" w:sz="0" w:space="0" w:color="auto"/>
            <w:left w:val="none" w:sz="0" w:space="0" w:color="auto"/>
            <w:bottom w:val="none" w:sz="0" w:space="0" w:color="auto"/>
            <w:right w:val="none" w:sz="0" w:space="0" w:color="auto"/>
          </w:divBdr>
        </w:div>
      </w:divsChild>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47977332">
      <w:bodyDiv w:val="1"/>
      <w:marLeft w:val="0"/>
      <w:marRight w:val="0"/>
      <w:marTop w:val="0"/>
      <w:marBottom w:val="0"/>
      <w:divBdr>
        <w:top w:val="none" w:sz="0" w:space="0" w:color="auto"/>
        <w:left w:val="none" w:sz="0" w:space="0" w:color="auto"/>
        <w:bottom w:val="none" w:sz="0" w:space="0" w:color="auto"/>
        <w:right w:val="none" w:sz="0" w:space="0" w:color="auto"/>
      </w:divBdr>
      <w:divsChild>
        <w:div w:id="1167330781">
          <w:marLeft w:val="0"/>
          <w:marRight w:val="0"/>
          <w:marTop w:val="0"/>
          <w:marBottom w:val="0"/>
          <w:divBdr>
            <w:top w:val="none" w:sz="0" w:space="0" w:color="auto"/>
            <w:left w:val="none" w:sz="0" w:space="0" w:color="auto"/>
            <w:bottom w:val="none" w:sz="0" w:space="0" w:color="auto"/>
            <w:right w:val="none" w:sz="0" w:space="0" w:color="auto"/>
          </w:divBdr>
        </w:div>
        <w:div w:id="1390616044">
          <w:marLeft w:val="0"/>
          <w:marRight w:val="0"/>
          <w:marTop w:val="0"/>
          <w:marBottom w:val="0"/>
          <w:divBdr>
            <w:top w:val="none" w:sz="0" w:space="0" w:color="auto"/>
            <w:left w:val="none" w:sz="0" w:space="0" w:color="auto"/>
            <w:bottom w:val="none" w:sz="0" w:space="0" w:color="auto"/>
            <w:right w:val="none" w:sz="0" w:space="0" w:color="auto"/>
          </w:divBdr>
        </w:div>
        <w:div w:id="1770925565">
          <w:marLeft w:val="0"/>
          <w:marRight w:val="0"/>
          <w:marTop w:val="0"/>
          <w:marBottom w:val="0"/>
          <w:divBdr>
            <w:top w:val="none" w:sz="0" w:space="0" w:color="auto"/>
            <w:left w:val="none" w:sz="0" w:space="0" w:color="auto"/>
            <w:bottom w:val="none" w:sz="0" w:space="0" w:color="auto"/>
            <w:right w:val="none" w:sz="0" w:space="0" w:color="auto"/>
          </w:divBdr>
        </w:div>
      </w:divsChild>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2021084305">
      <w:bodyDiv w:val="1"/>
      <w:marLeft w:val="0"/>
      <w:marRight w:val="0"/>
      <w:marTop w:val="0"/>
      <w:marBottom w:val="0"/>
      <w:divBdr>
        <w:top w:val="none" w:sz="0" w:space="0" w:color="auto"/>
        <w:left w:val="none" w:sz="0" w:space="0" w:color="auto"/>
        <w:bottom w:val="none" w:sz="0" w:space="0" w:color="auto"/>
        <w:right w:val="none" w:sz="0" w:space="0" w:color="auto"/>
      </w:divBdr>
      <w:divsChild>
        <w:div w:id="469438548">
          <w:marLeft w:val="0"/>
          <w:marRight w:val="0"/>
          <w:marTop w:val="0"/>
          <w:marBottom w:val="0"/>
          <w:divBdr>
            <w:top w:val="none" w:sz="0" w:space="0" w:color="auto"/>
            <w:left w:val="none" w:sz="0" w:space="0" w:color="auto"/>
            <w:bottom w:val="none" w:sz="0" w:space="0" w:color="auto"/>
            <w:right w:val="none" w:sz="0" w:space="0" w:color="auto"/>
          </w:divBdr>
        </w:div>
        <w:div w:id="21082311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11BB2-0168-4E10-9CC1-47233C894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FC0F1D-2BDC-42F6-B04C-A99879CA41C3}">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3.xml><?xml version="1.0" encoding="utf-8"?>
<ds:datastoreItem xmlns:ds="http://schemas.openxmlformats.org/officeDocument/2006/customXml" ds:itemID="{0D478CE4-FADE-4957-AFFD-974B75E2491A}">
  <ds:schemaRefs>
    <ds:schemaRef ds:uri="http://schemas.microsoft.com/sharepoint/v3/contenttype/forms"/>
  </ds:schemaRefs>
</ds:datastoreItem>
</file>

<file path=customXml/itemProps4.xml><?xml version="1.0" encoding="utf-8"?>
<ds:datastoreItem xmlns:ds="http://schemas.openxmlformats.org/officeDocument/2006/customXml" ds:itemID="{6351DDC0-819D-4571-9AAC-3AB12CEC5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4063</Words>
  <Characters>22351</Characters>
  <Application>Microsoft Office Word</Application>
  <DocSecurity>0</DocSecurity>
  <Lines>186</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CONSEJO SUPERIOR DE LA JUDICATURA</Company>
  <LinksUpToDate>false</LinksUpToDate>
  <CharactersWithSpaces>26362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 12 No. 7-65 – Tel: (57-1) 350-6700 – Bogotá D.C. – Colombiawww.consejodeestado.gov.co</dc:creator>
  <cp:keywords/>
  <dc:description/>
  <cp:lastModifiedBy>Sonia Esther Jaimes Valencia</cp:lastModifiedBy>
  <cp:revision>4</cp:revision>
  <dcterms:created xsi:type="dcterms:W3CDTF">2022-09-08T14:47:00Z</dcterms:created>
  <dcterms:modified xsi:type="dcterms:W3CDTF">2022-09-09T16:15:00Z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0x010100496D613285C0014AAED4B1F625C25E75</vt:lpwstr>
  </property>
</Properties>
</file>