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A8F58" w14:textId="77777777" w:rsidR="001A40E4" w:rsidRPr="00CF2F00" w:rsidRDefault="00E44FE5" w:rsidP="00E36187">
      <w:pPr>
        <w:spacing w:after="0"/>
        <w:jc w:val="center"/>
        <w:rPr>
          <w:rFonts w:ascii="Arial" w:hAnsi="Arial" w:cs="Arial"/>
          <w:b/>
          <w:sz w:val="24"/>
          <w:szCs w:val="24"/>
        </w:rPr>
      </w:pPr>
      <w:bookmarkStart w:id="0" w:name="_GoBack"/>
      <w:bookmarkEnd w:id="0"/>
      <w:r w:rsidRPr="00CF2F00">
        <w:rPr>
          <w:rFonts w:ascii="Arial" w:hAnsi="Arial" w:cs="Arial"/>
          <w:b/>
          <w:sz w:val="24"/>
          <w:szCs w:val="24"/>
        </w:rPr>
        <w:t>Consejero Ponente: NICOLÁS YEPES CORRALES</w:t>
      </w:r>
    </w:p>
    <w:p w14:paraId="1DC9DA31" w14:textId="77777777" w:rsidR="00E44FE5" w:rsidRPr="00CF2F00" w:rsidRDefault="00E44FE5" w:rsidP="00E36187">
      <w:pPr>
        <w:spacing w:after="0" w:line="360" w:lineRule="auto"/>
        <w:rPr>
          <w:rFonts w:ascii="Arial" w:hAnsi="Arial" w:cs="Arial"/>
          <w:sz w:val="24"/>
          <w:szCs w:val="24"/>
        </w:rPr>
      </w:pPr>
    </w:p>
    <w:p w14:paraId="63C45E9E" w14:textId="77777777" w:rsidR="00E44FE5" w:rsidRPr="00CF2F00" w:rsidRDefault="00E44FE5" w:rsidP="00E36187">
      <w:pPr>
        <w:spacing w:after="0" w:line="360" w:lineRule="auto"/>
        <w:rPr>
          <w:rFonts w:ascii="Arial" w:hAnsi="Arial" w:cs="Arial"/>
          <w:sz w:val="24"/>
          <w:szCs w:val="24"/>
        </w:rPr>
      </w:pPr>
      <w:r w:rsidRPr="00CF2F00">
        <w:rPr>
          <w:rFonts w:ascii="Arial" w:hAnsi="Arial" w:cs="Arial"/>
          <w:sz w:val="24"/>
          <w:szCs w:val="24"/>
        </w:rPr>
        <w:t>Bogotá D.C., treinta y uno (31) de agosto de dos mil veinte (2020)</w:t>
      </w:r>
    </w:p>
    <w:p w14:paraId="7F6EC4E9" w14:textId="77777777" w:rsidR="00E44FE5" w:rsidRPr="00CF2F00" w:rsidRDefault="00E44FE5" w:rsidP="00014499">
      <w:pPr>
        <w:spacing w:after="0" w:line="360" w:lineRule="auto"/>
        <w:jc w:val="both"/>
        <w:rPr>
          <w:rFonts w:ascii="Arial" w:hAnsi="Arial" w:cs="Arial"/>
          <w:sz w:val="24"/>
          <w:szCs w:val="24"/>
        </w:rPr>
      </w:pPr>
    </w:p>
    <w:p w14:paraId="578525F7" w14:textId="76857198" w:rsidR="00E44FE5" w:rsidRPr="00CF2F00" w:rsidRDefault="00E44FE5" w:rsidP="00014499">
      <w:pPr>
        <w:spacing w:after="0" w:line="276" w:lineRule="auto"/>
        <w:jc w:val="both"/>
        <w:rPr>
          <w:rFonts w:ascii="Arial" w:hAnsi="Arial" w:cs="Arial"/>
          <w:b/>
          <w:sz w:val="24"/>
          <w:szCs w:val="24"/>
        </w:rPr>
      </w:pPr>
      <w:r w:rsidRPr="00CF2F00">
        <w:rPr>
          <w:rFonts w:ascii="Arial" w:hAnsi="Arial" w:cs="Arial"/>
          <w:b/>
          <w:sz w:val="24"/>
          <w:szCs w:val="24"/>
        </w:rPr>
        <w:t xml:space="preserve">Radicación: </w:t>
      </w:r>
      <w:r w:rsidRPr="00CF2F00">
        <w:rPr>
          <w:rFonts w:ascii="Arial" w:hAnsi="Arial" w:cs="Arial"/>
          <w:sz w:val="24"/>
          <w:szCs w:val="24"/>
        </w:rPr>
        <w:t>11001-0315-000-2020-03237-00</w:t>
      </w:r>
    </w:p>
    <w:p w14:paraId="2A0E505F" w14:textId="77777777" w:rsidR="00E44FE5" w:rsidRPr="00CF2F00" w:rsidRDefault="00E44FE5" w:rsidP="00014499">
      <w:pPr>
        <w:spacing w:after="0" w:line="276" w:lineRule="auto"/>
        <w:jc w:val="both"/>
        <w:rPr>
          <w:rFonts w:ascii="Arial" w:hAnsi="Arial" w:cs="Arial"/>
          <w:b/>
          <w:sz w:val="24"/>
          <w:szCs w:val="24"/>
        </w:rPr>
      </w:pPr>
      <w:r w:rsidRPr="00CF2F00">
        <w:rPr>
          <w:rFonts w:ascii="Arial" w:hAnsi="Arial" w:cs="Arial"/>
          <w:b/>
          <w:sz w:val="24"/>
          <w:szCs w:val="24"/>
        </w:rPr>
        <w:t xml:space="preserve">Accionante: </w:t>
      </w:r>
      <w:r w:rsidRPr="00CF2F00">
        <w:rPr>
          <w:rFonts w:ascii="Arial" w:hAnsi="Arial" w:cs="Arial"/>
          <w:sz w:val="24"/>
          <w:szCs w:val="24"/>
        </w:rPr>
        <w:t>Luis Fernando Jaramillo Acosta</w:t>
      </w:r>
      <w:r w:rsidRPr="00CF2F00">
        <w:rPr>
          <w:rFonts w:ascii="Arial" w:hAnsi="Arial" w:cs="Arial"/>
          <w:b/>
          <w:sz w:val="24"/>
          <w:szCs w:val="24"/>
        </w:rPr>
        <w:t xml:space="preserve"> </w:t>
      </w:r>
    </w:p>
    <w:p w14:paraId="022E059C" w14:textId="77777777" w:rsidR="00E44FE5" w:rsidRPr="00CF2F00" w:rsidRDefault="00E44FE5" w:rsidP="00014499">
      <w:pPr>
        <w:spacing w:after="0" w:line="276" w:lineRule="auto"/>
        <w:jc w:val="both"/>
        <w:rPr>
          <w:rFonts w:ascii="Arial" w:hAnsi="Arial" w:cs="Arial"/>
          <w:b/>
          <w:sz w:val="24"/>
          <w:szCs w:val="24"/>
        </w:rPr>
      </w:pPr>
      <w:r w:rsidRPr="00CF2F00">
        <w:rPr>
          <w:rFonts w:ascii="Arial" w:hAnsi="Arial" w:cs="Arial"/>
          <w:b/>
          <w:sz w:val="24"/>
          <w:szCs w:val="24"/>
        </w:rPr>
        <w:t xml:space="preserve">Accionado: </w:t>
      </w:r>
      <w:r w:rsidRPr="00CF2F00">
        <w:rPr>
          <w:rFonts w:ascii="Arial" w:hAnsi="Arial" w:cs="Arial"/>
          <w:sz w:val="24"/>
          <w:szCs w:val="24"/>
        </w:rPr>
        <w:t>Subsección A de la Sección Segunda del Tribunal Administrativo de Cundinamarca</w:t>
      </w:r>
      <w:r w:rsidRPr="00CF2F00">
        <w:rPr>
          <w:rFonts w:ascii="Arial" w:hAnsi="Arial" w:cs="Arial"/>
          <w:b/>
          <w:sz w:val="24"/>
          <w:szCs w:val="24"/>
        </w:rPr>
        <w:t xml:space="preserve"> </w:t>
      </w:r>
    </w:p>
    <w:p w14:paraId="3A99F4E2" w14:textId="77777777" w:rsidR="00E44FE5" w:rsidRPr="00CF2F00" w:rsidRDefault="00E44FE5" w:rsidP="00014499">
      <w:pPr>
        <w:spacing w:after="0" w:line="276" w:lineRule="auto"/>
        <w:jc w:val="both"/>
        <w:rPr>
          <w:rFonts w:ascii="Arial" w:hAnsi="Arial" w:cs="Arial"/>
          <w:sz w:val="24"/>
          <w:szCs w:val="24"/>
        </w:rPr>
      </w:pPr>
      <w:r w:rsidRPr="00CF2F00">
        <w:rPr>
          <w:rFonts w:ascii="Arial" w:hAnsi="Arial" w:cs="Arial"/>
          <w:b/>
          <w:sz w:val="24"/>
          <w:szCs w:val="24"/>
        </w:rPr>
        <w:t>Asunto:</w:t>
      </w:r>
      <w:r w:rsidRPr="00CF2F00">
        <w:rPr>
          <w:rFonts w:ascii="Arial" w:hAnsi="Arial" w:cs="Arial"/>
          <w:sz w:val="24"/>
          <w:szCs w:val="24"/>
        </w:rPr>
        <w:t xml:space="preserve"> Acción de tutela – Sentencia de primera instancia </w:t>
      </w:r>
    </w:p>
    <w:p w14:paraId="3F545952" w14:textId="77777777" w:rsidR="00E44FE5" w:rsidRPr="00CF2F00" w:rsidRDefault="00E44FE5" w:rsidP="00014499">
      <w:pPr>
        <w:spacing w:after="0" w:line="276" w:lineRule="auto"/>
        <w:jc w:val="both"/>
        <w:rPr>
          <w:rFonts w:ascii="Arial" w:hAnsi="Arial" w:cs="Arial"/>
          <w:sz w:val="24"/>
          <w:szCs w:val="24"/>
        </w:rPr>
      </w:pPr>
    </w:p>
    <w:p w14:paraId="21F379C1" w14:textId="77777777" w:rsidR="00AD52C0" w:rsidRPr="00CF2F00" w:rsidRDefault="00AD52C0" w:rsidP="00014499">
      <w:pPr>
        <w:spacing w:after="0" w:line="276" w:lineRule="auto"/>
        <w:jc w:val="both"/>
        <w:rPr>
          <w:rFonts w:ascii="Arial" w:hAnsi="Arial" w:cs="Arial"/>
          <w:sz w:val="24"/>
          <w:szCs w:val="24"/>
        </w:rPr>
      </w:pPr>
      <w:r w:rsidRPr="00CF2F00">
        <w:rPr>
          <w:rFonts w:ascii="Arial" w:hAnsi="Arial" w:cs="Arial"/>
          <w:b/>
          <w:sz w:val="24"/>
          <w:szCs w:val="24"/>
        </w:rPr>
        <w:t xml:space="preserve">Tema: </w:t>
      </w:r>
      <w:r w:rsidRPr="00CF2F00">
        <w:rPr>
          <w:rFonts w:ascii="Arial" w:hAnsi="Arial" w:cs="Arial"/>
          <w:sz w:val="24"/>
          <w:szCs w:val="24"/>
        </w:rPr>
        <w:t xml:space="preserve">Acción de tutela en contra de providencia judicial. </w:t>
      </w:r>
      <w:r w:rsidRPr="00CF2F00">
        <w:rPr>
          <w:rFonts w:ascii="Arial" w:hAnsi="Arial" w:cs="Arial"/>
          <w:b/>
          <w:sz w:val="24"/>
          <w:szCs w:val="24"/>
        </w:rPr>
        <w:t xml:space="preserve">Subtema 1. </w:t>
      </w:r>
      <w:r w:rsidRPr="00CF2F00">
        <w:rPr>
          <w:rFonts w:ascii="Arial" w:hAnsi="Arial" w:cs="Arial"/>
          <w:sz w:val="24"/>
          <w:szCs w:val="24"/>
        </w:rPr>
        <w:t xml:space="preserve">Relevancia constitucional. </w:t>
      </w:r>
      <w:r w:rsidRPr="00CF2F00">
        <w:rPr>
          <w:rFonts w:ascii="Arial" w:hAnsi="Arial" w:cs="Arial"/>
          <w:b/>
          <w:sz w:val="24"/>
          <w:szCs w:val="24"/>
        </w:rPr>
        <w:t xml:space="preserve">Decisión: </w:t>
      </w:r>
      <w:r w:rsidRPr="00CF2F00">
        <w:rPr>
          <w:rFonts w:ascii="Arial" w:hAnsi="Arial" w:cs="Arial"/>
          <w:sz w:val="24"/>
          <w:szCs w:val="24"/>
        </w:rPr>
        <w:t xml:space="preserve">Se declara improcedente la solicitud de amparo constitucional. </w:t>
      </w:r>
    </w:p>
    <w:p w14:paraId="1492A839" w14:textId="77777777" w:rsidR="00AD52C0" w:rsidRPr="00CF2F00" w:rsidRDefault="00AD52C0" w:rsidP="00014499">
      <w:pPr>
        <w:spacing w:after="0" w:line="360" w:lineRule="auto"/>
        <w:jc w:val="both"/>
        <w:rPr>
          <w:rFonts w:ascii="Arial" w:hAnsi="Arial" w:cs="Arial"/>
          <w:sz w:val="24"/>
          <w:szCs w:val="24"/>
        </w:rPr>
      </w:pPr>
    </w:p>
    <w:p w14:paraId="6124FD3D" w14:textId="28A0F19E" w:rsidR="00696104" w:rsidRDefault="00AD52C0" w:rsidP="00014499">
      <w:pPr>
        <w:spacing w:after="0" w:line="360" w:lineRule="auto"/>
        <w:jc w:val="both"/>
        <w:rPr>
          <w:rFonts w:ascii="Arial" w:hAnsi="Arial" w:cs="Arial"/>
          <w:sz w:val="24"/>
          <w:szCs w:val="24"/>
        </w:rPr>
      </w:pPr>
      <w:r w:rsidRPr="00CF2F00">
        <w:rPr>
          <w:rFonts w:ascii="Arial" w:hAnsi="Arial" w:cs="Arial"/>
          <w:sz w:val="24"/>
          <w:szCs w:val="24"/>
        </w:rPr>
        <w:t>La Sala decide la acción de tutela presentada Luis Fernando Jaramillo Acosta en contra de la sentencia proferida el 7 de febrero de 2020 por la Subsección A de la Sección Tercera del Tribunal Administrativo de Cundinamarca, de acuerdo con el Decreto 1983 de 2017</w:t>
      </w:r>
      <w:r w:rsidRPr="00CF2F00">
        <w:rPr>
          <w:rStyle w:val="Refdenotaalpie"/>
          <w:rFonts w:ascii="Arial" w:hAnsi="Arial" w:cs="Arial"/>
          <w:sz w:val="24"/>
          <w:szCs w:val="24"/>
        </w:rPr>
        <w:footnoteReference w:id="1"/>
      </w:r>
      <w:r w:rsidRPr="00CF2F00">
        <w:rPr>
          <w:rFonts w:ascii="Arial" w:hAnsi="Arial" w:cs="Arial"/>
          <w:sz w:val="24"/>
          <w:szCs w:val="24"/>
        </w:rPr>
        <w:t>.</w:t>
      </w:r>
    </w:p>
    <w:p w14:paraId="0300884F" w14:textId="77777777" w:rsidR="00696104" w:rsidRDefault="00696104" w:rsidP="00E36187">
      <w:pPr>
        <w:spacing w:after="0" w:line="360" w:lineRule="auto"/>
        <w:jc w:val="center"/>
        <w:rPr>
          <w:rFonts w:ascii="Arial" w:hAnsi="Arial" w:cs="Arial"/>
          <w:sz w:val="24"/>
          <w:szCs w:val="24"/>
        </w:rPr>
      </w:pPr>
    </w:p>
    <w:p w14:paraId="2DAF2FAD" w14:textId="2EFEE0BD" w:rsidR="002C0901" w:rsidRPr="00CF2F00" w:rsidRDefault="002C0901" w:rsidP="00E36187">
      <w:pPr>
        <w:spacing w:after="0" w:line="360" w:lineRule="auto"/>
        <w:jc w:val="center"/>
        <w:rPr>
          <w:rFonts w:ascii="Arial" w:hAnsi="Arial" w:cs="Arial"/>
          <w:b/>
          <w:sz w:val="24"/>
          <w:szCs w:val="24"/>
        </w:rPr>
      </w:pPr>
      <w:r w:rsidRPr="00CF2F00">
        <w:rPr>
          <w:rFonts w:ascii="Arial" w:hAnsi="Arial" w:cs="Arial"/>
          <w:b/>
          <w:sz w:val="24"/>
          <w:szCs w:val="24"/>
        </w:rPr>
        <w:t>I. ANTECEDENTES</w:t>
      </w:r>
    </w:p>
    <w:p w14:paraId="34C4C9A7" w14:textId="77777777" w:rsidR="002C0901" w:rsidRPr="00CF2F00" w:rsidRDefault="002C0901" w:rsidP="00E36187">
      <w:pPr>
        <w:spacing w:after="0" w:line="360" w:lineRule="auto"/>
        <w:rPr>
          <w:rFonts w:ascii="Arial" w:hAnsi="Arial" w:cs="Arial"/>
          <w:b/>
          <w:sz w:val="24"/>
          <w:szCs w:val="24"/>
        </w:rPr>
      </w:pPr>
    </w:p>
    <w:p w14:paraId="7C78E248" w14:textId="77777777" w:rsidR="002C0901" w:rsidRPr="00CF2F00" w:rsidRDefault="006C4270" w:rsidP="00E36187">
      <w:pPr>
        <w:spacing w:after="0" w:line="360" w:lineRule="auto"/>
        <w:rPr>
          <w:rFonts w:ascii="Arial" w:hAnsi="Arial" w:cs="Arial"/>
          <w:b/>
          <w:sz w:val="24"/>
          <w:szCs w:val="24"/>
        </w:rPr>
      </w:pPr>
      <w:r w:rsidRPr="00CF2F00">
        <w:rPr>
          <w:rFonts w:ascii="Arial" w:hAnsi="Arial" w:cs="Arial"/>
          <w:b/>
          <w:sz w:val="24"/>
          <w:szCs w:val="24"/>
        </w:rPr>
        <w:t>1.</w:t>
      </w:r>
      <w:r w:rsidR="002C0901" w:rsidRPr="00CF2F00">
        <w:rPr>
          <w:rFonts w:ascii="Arial" w:hAnsi="Arial" w:cs="Arial"/>
          <w:b/>
          <w:sz w:val="24"/>
          <w:szCs w:val="24"/>
        </w:rPr>
        <w:t xml:space="preserve">- La solicitud de tutela </w:t>
      </w:r>
    </w:p>
    <w:p w14:paraId="448DE376" w14:textId="77777777" w:rsidR="002C0901" w:rsidRPr="00CF2F00" w:rsidRDefault="002C0901" w:rsidP="00E36187">
      <w:pPr>
        <w:spacing w:after="0" w:line="360" w:lineRule="auto"/>
        <w:rPr>
          <w:rFonts w:ascii="Arial" w:hAnsi="Arial" w:cs="Arial"/>
          <w:b/>
          <w:sz w:val="24"/>
          <w:szCs w:val="24"/>
        </w:rPr>
      </w:pPr>
    </w:p>
    <w:p w14:paraId="125BF0B9" w14:textId="07A6E0CB" w:rsidR="002C0901" w:rsidRPr="00CF2F00" w:rsidRDefault="002C0901" w:rsidP="00E36187">
      <w:pPr>
        <w:spacing w:after="0" w:line="360" w:lineRule="auto"/>
        <w:jc w:val="both"/>
        <w:rPr>
          <w:rFonts w:ascii="Arial" w:hAnsi="Arial" w:cs="Arial"/>
          <w:sz w:val="24"/>
          <w:szCs w:val="24"/>
        </w:rPr>
      </w:pPr>
      <w:r w:rsidRPr="00CF2F00">
        <w:rPr>
          <w:rFonts w:ascii="Arial" w:hAnsi="Arial" w:cs="Arial"/>
          <w:sz w:val="24"/>
          <w:szCs w:val="24"/>
        </w:rPr>
        <w:t>El 16 de julio de 2020</w:t>
      </w:r>
      <w:r w:rsidRPr="00CF2F00">
        <w:rPr>
          <w:rStyle w:val="Refdenotaalpie"/>
          <w:rFonts w:ascii="Arial" w:hAnsi="Arial" w:cs="Arial"/>
          <w:sz w:val="24"/>
          <w:szCs w:val="24"/>
        </w:rPr>
        <w:footnoteReference w:id="2"/>
      </w:r>
      <w:r w:rsidR="00B17943" w:rsidRPr="00CF2F00">
        <w:rPr>
          <w:rFonts w:ascii="Arial" w:hAnsi="Arial" w:cs="Arial"/>
          <w:sz w:val="24"/>
          <w:szCs w:val="24"/>
        </w:rPr>
        <w:t xml:space="preserve">, Luis Fernando Jaramillo Acosta, actuando mediante </w:t>
      </w:r>
      <w:r w:rsidR="00513D08" w:rsidRPr="00CF2F00">
        <w:rPr>
          <w:rFonts w:ascii="Arial" w:hAnsi="Arial" w:cs="Arial"/>
          <w:sz w:val="24"/>
          <w:szCs w:val="24"/>
        </w:rPr>
        <w:t>apoderada judicial</w:t>
      </w:r>
      <w:r w:rsidR="00513D08" w:rsidRPr="00CF2F00">
        <w:rPr>
          <w:rStyle w:val="Refdenotaalpie"/>
          <w:rFonts w:ascii="Arial" w:hAnsi="Arial" w:cs="Arial"/>
          <w:sz w:val="24"/>
          <w:szCs w:val="24"/>
        </w:rPr>
        <w:footnoteReference w:id="3"/>
      </w:r>
      <w:r w:rsidR="00B17943" w:rsidRPr="00CF2F00">
        <w:rPr>
          <w:rFonts w:ascii="Arial" w:hAnsi="Arial" w:cs="Arial"/>
          <w:sz w:val="24"/>
          <w:szCs w:val="24"/>
        </w:rPr>
        <w:t>,</w:t>
      </w:r>
      <w:r w:rsidR="00513D08" w:rsidRPr="00CF2F00">
        <w:rPr>
          <w:rFonts w:ascii="Arial" w:hAnsi="Arial" w:cs="Arial"/>
          <w:sz w:val="24"/>
          <w:szCs w:val="24"/>
        </w:rPr>
        <w:t xml:space="preserve"> interpuso acción de tutela</w:t>
      </w:r>
      <w:r w:rsidR="00513D08" w:rsidRPr="00CF2F00">
        <w:rPr>
          <w:rStyle w:val="Refdenotaalpie"/>
          <w:rFonts w:ascii="Arial" w:hAnsi="Arial" w:cs="Arial"/>
          <w:sz w:val="24"/>
          <w:szCs w:val="24"/>
        </w:rPr>
        <w:footnoteReference w:id="4"/>
      </w:r>
      <w:r w:rsidR="00513D08" w:rsidRPr="00CF2F00">
        <w:rPr>
          <w:rFonts w:ascii="Arial" w:hAnsi="Arial" w:cs="Arial"/>
          <w:sz w:val="24"/>
          <w:szCs w:val="24"/>
        </w:rPr>
        <w:t xml:space="preserve"> en contra de la Subsección A de la Sección Segunda del Tribunal Administrativo de Cundinamarca en la que solicitó la protección de sus derechos fundamentales a la igualdad, a la tutela judicial efectiva, al debido proceso y </w:t>
      </w:r>
      <w:r w:rsidR="0096173F">
        <w:rPr>
          <w:rFonts w:ascii="Arial" w:hAnsi="Arial" w:cs="Arial"/>
          <w:sz w:val="24"/>
          <w:szCs w:val="24"/>
        </w:rPr>
        <w:t xml:space="preserve">a </w:t>
      </w:r>
      <w:r w:rsidR="00513D08" w:rsidRPr="00CF2F00">
        <w:rPr>
          <w:rFonts w:ascii="Arial" w:hAnsi="Arial" w:cs="Arial"/>
          <w:sz w:val="24"/>
          <w:szCs w:val="24"/>
        </w:rPr>
        <w:t>la garantía de la confianza legítima en el sistema</w:t>
      </w:r>
      <w:r w:rsidR="006B02E3" w:rsidRPr="00CF2F00">
        <w:rPr>
          <w:rFonts w:ascii="Arial" w:hAnsi="Arial" w:cs="Arial"/>
          <w:sz w:val="24"/>
          <w:szCs w:val="24"/>
        </w:rPr>
        <w:t xml:space="preserve"> de justicia; en tanto al interior del proceso de nulidad y restablecimiento del derecho radicado bajo el No. 11001-33-35-020-2018-00520-01, adelantado en contra de la Caja de Sueldos de Retiro de la Policía Nacional – CASUR</w:t>
      </w:r>
      <w:r w:rsidR="0096173F">
        <w:rPr>
          <w:rFonts w:ascii="Arial" w:hAnsi="Arial" w:cs="Arial"/>
          <w:sz w:val="24"/>
          <w:szCs w:val="24"/>
        </w:rPr>
        <w:t>–</w:t>
      </w:r>
      <w:r w:rsidR="006B02E3" w:rsidRPr="00CF2F00">
        <w:rPr>
          <w:rFonts w:ascii="Arial" w:hAnsi="Arial" w:cs="Arial"/>
          <w:sz w:val="24"/>
          <w:szCs w:val="24"/>
        </w:rPr>
        <w:t xml:space="preserve">, la autoridad judicial accionada resolvió mediante providencia del 7 de febrero de 2020 confirmar la sentencia de primera instancia proferida por el Juzgado Veinte Administrativo de Oralidad el Circuito de Bogotá, en la que se negó la pretensión </w:t>
      </w:r>
      <w:r w:rsidR="006B02E3" w:rsidRPr="00CF2F00">
        <w:rPr>
          <w:rFonts w:ascii="Arial" w:hAnsi="Arial" w:cs="Arial"/>
          <w:sz w:val="24"/>
          <w:szCs w:val="24"/>
        </w:rPr>
        <w:lastRenderedPageBreak/>
        <w:t xml:space="preserve">correspondiente a la inclusión del subsidio familiar como partida computable para la liquidación de la asignación de retiro. </w:t>
      </w:r>
    </w:p>
    <w:p w14:paraId="6C2EAE4A" w14:textId="77777777" w:rsidR="006C4270" w:rsidRPr="00CF2F00" w:rsidRDefault="006C4270" w:rsidP="00E36187">
      <w:pPr>
        <w:spacing w:after="0" w:line="360" w:lineRule="auto"/>
        <w:jc w:val="both"/>
        <w:rPr>
          <w:rFonts w:ascii="Arial" w:hAnsi="Arial" w:cs="Arial"/>
          <w:sz w:val="24"/>
          <w:szCs w:val="24"/>
        </w:rPr>
      </w:pPr>
    </w:p>
    <w:p w14:paraId="55E138DA" w14:textId="77777777" w:rsidR="006C4270" w:rsidRPr="00CF2F00" w:rsidRDefault="00510943" w:rsidP="00E36187">
      <w:pPr>
        <w:spacing w:after="0" w:line="360" w:lineRule="auto"/>
        <w:jc w:val="both"/>
        <w:rPr>
          <w:rFonts w:ascii="Arial" w:hAnsi="Arial" w:cs="Arial"/>
          <w:b/>
          <w:sz w:val="24"/>
          <w:szCs w:val="24"/>
        </w:rPr>
      </w:pPr>
      <w:r w:rsidRPr="00CF2F00">
        <w:rPr>
          <w:rFonts w:ascii="Arial" w:hAnsi="Arial" w:cs="Arial"/>
          <w:b/>
          <w:sz w:val="24"/>
          <w:szCs w:val="24"/>
        </w:rPr>
        <w:t>1.1</w:t>
      </w:r>
      <w:r w:rsidR="006C4270" w:rsidRPr="00CF2F00">
        <w:rPr>
          <w:rFonts w:ascii="Arial" w:hAnsi="Arial" w:cs="Arial"/>
          <w:b/>
          <w:sz w:val="24"/>
          <w:szCs w:val="24"/>
        </w:rPr>
        <w:t xml:space="preserve">.- Hechos </w:t>
      </w:r>
    </w:p>
    <w:p w14:paraId="3C4EF9A8" w14:textId="77777777" w:rsidR="006C4270" w:rsidRPr="00CF2F00" w:rsidRDefault="006C4270" w:rsidP="00E36187">
      <w:pPr>
        <w:spacing w:after="0" w:line="360" w:lineRule="auto"/>
        <w:jc w:val="both"/>
        <w:rPr>
          <w:rFonts w:ascii="Arial" w:hAnsi="Arial" w:cs="Arial"/>
          <w:b/>
          <w:sz w:val="24"/>
          <w:szCs w:val="24"/>
        </w:rPr>
      </w:pPr>
    </w:p>
    <w:p w14:paraId="3CCC828A" w14:textId="75EE4C40" w:rsidR="006C4270"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1</w:t>
      </w:r>
      <w:r w:rsidR="006C4270" w:rsidRPr="00CF2F00">
        <w:rPr>
          <w:rFonts w:ascii="Arial" w:hAnsi="Arial" w:cs="Arial"/>
          <w:sz w:val="24"/>
          <w:szCs w:val="24"/>
        </w:rPr>
        <w:t>.1.</w:t>
      </w:r>
      <w:r w:rsidRPr="00CF2F00">
        <w:rPr>
          <w:rFonts w:ascii="Arial" w:hAnsi="Arial" w:cs="Arial"/>
          <w:sz w:val="24"/>
          <w:szCs w:val="24"/>
        </w:rPr>
        <w:t>1.</w:t>
      </w:r>
      <w:r w:rsidR="006C4270" w:rsidRPr="00CF2F00">
        <w:rPr>
          <w:rFonts w:ascii="Arial" w:hAnsi="Arial" w:cs="Arial"/>
          <w:sz w:val="24"/>
          <w:szCs w:val="24"/>
        </w:rPr>
        <w:t xml:space="preserve">- Luis Fernando Jaramillo Acosta ingresó a la Policía Nacional </w:t>
      </w:r>
      <w:r w:rsidR="00DD66D5" w:rsidRPr="00CF2F00">
        <w:rPr>
          <w:rFonts w:ascii="Arial" w:hAnsi="Arial" w:cs="Arial"/>
          <w:sz w:val="24"/>
          <w:szCs w:val="24"/>
        </w:rPr>
        <w:t>mediante la R</w:t>
      </w:r>
      <w:r w:rsidR="002F4787" w:rsidRPr="00CF2F00">
        <w:rPr>
          <w:rFonts w:ascii="Arial" w:hAnsi="Arial" w:cs="Arial"/>
          <w:sz w:val="24"/>
          <w:szCs w:val="24"/>
        </w:rPr>
        <w:t>esolución No. 3146 del 8 de julio de 1987 en la categoría de agente. Posteriormente, en el año</w:t>
      </w:r>
      <w:r w:rsidR="00BA59AA" w:rsidRPr="00CF2F00">
        <w:rPr>
          <w:rFonts w:ascii="Arial" w:hAnsi="Arial" w:cs="Arial"/>
          <w:sz w:val="24"/>
          <w:szCs w:val="24"/>
        </w:rPr>
        <w:t xml:space="preserve"> de</w:t>
      </w:r>
      <w:r w:rsidR="002F4787" w:rsidRPr="00CF2F00">
        <w:rPr>
          <w:rFonts w:ascii="Arial" w:hAnsi="Arial" w:cs="Arial"/>
          <w:sz w:val="24"/>
          <w:szCs w:val="24"/>
        </w:rPr>
        <w:t xml:space="preserve"> 1995 fu</w:t>
      </w:r>
      <w:r w:rsidR="00DD66D5" w:rsidRPr="00CF2F00">
        <w:rPr>
          <w:rFonts w:ascii="Arial" w:hAnsi="Arial" w:cs="Arial"/>
          <w:sz w:val="24"/>
          <w:szCs w:val="24"/>
        </w:rPr>
        <w:t xml:space="preserve">e homologado al nivel ejecutivo. </w:t>
      </w:r>
    </w:p>
    <w:p w14:paraId="0CB8C02D" w14:textId="77777777" w:rsidR="00DD66D5" w:rsidRPr="00CF2F00" w:rsidRDefault="00DD66D5" w:rsidP="00E36187">
      <w:pPr>
        <w:spacing w:after="0" w:line="360" w:lineRule="auto"/>
        <w:jc w:val="both"/>
        <w:rPr>
          <w:rFonts w:ascii="Arial" w:hAnsi="Arial" w:cs="Arial"/>
          <w:sz w:val="24"/>
          <w:szCs w:val="24"/>
        </w:rPr>
      </w:pPr>
    </w:p>
    <w:p w14:paraId="26B1423C" w14:textId="190F174F" w:rsidR="00DD66D5"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1.1</w:t>
      </w:r>
      <w:r w:rsidR="00DD66D5" w:rsidRPr="00CF2F00">
        <w:rPr>
          <w:rFonts w:ascii="Arial" w:hAnsi="Arial" w:cs="Arial"/>
          <w:sz w:val="24"/>
          <w:szCs w:val="24"/>
        </w:rPr>
        <w:t>.2.- CASUR, a través de la Resolución No. 2364 del 4 de mayo de 2012</w:t>
      </w:r>
      <w:r w:rsidR="00DD66D5" w:rsidRPr="00CF2F00">
        <w:rPr>
          <w:rStyle w:val="Refdenotaalpie"/>
          <w:rFonts w:ascii="Arial" w:hAnsi="Arial" w:cs="Arial"/>
          <w:sz w:val="24"/>
          <w:szCs w:val="24"/>
        </w:rPr>
        <w:footnoteReference w:id="5"/>
      </w:r>
      <w:r w:rsidR="00DD66D5" w:rsidRPr="00CF2F00">
        <w:rPr>
          <w:rFonts w:ascii="Arial" w:hAnsi="Arial" w:cs="Arial"/>
          <w:sz w:val="24"/>
          <w:szCs w:val="24"/>
        </w:rPr>
        <w:t xml:space="preserve">, ordenó el reconocimiento y pago de </w:t>
      </w:r>
      <w:r w:rsidR="00BA59AA" w:rsidRPr="00CF2F00">
        <w:rPr>
          <w:rFonts w:ascii="Arial" w:hAnsi="Arial" w:cs="Arial"/>
          <w:sz w:val="24"/>
          <w:szCs w:val="24"/>
        </w:rPr>
        <w:t>la</w:t>
      </w:r>
      <w:r w:rsidR="00DD66D5" w:rsidRPr="00CF2F00">
        <w:rPr>
          <w:rFonts w:ascii="Arial" w:hAnsi="Arial" w:cs="Arial"/>
          <w:sz w:val="24"/>
          <w:szCs w:val="24"/>
        </w:rPr>
        <w:t xml:space="preserve"> asignación de retiro </w:t>
      </w:r>
      <w:r w:rsidR="00BA59AA" w:rsidRPr="00CF2F00">
        <w:rPr>
          <w:rFonts w:ascii="Arial" w:hAnsi="Arial" w:cs="Arial"/>
          <w:sz w:val="24"/>
          <w:szCs w:val="24"/>
        </w:rPr>
        <w:t xml:space="preserve">en su </w:t>
      </w:r>
      <w:r w:rsidR="00DD66D5" w:rsidRPr="00CF2F00">
        <w:rPr>
          <w:rFonts w:ascii="Arial" w:hAnsi="Arial" w:cs="Arial"/>
          <w:sz w:val="24"/>
          <w:szCs w:val="24"/>
        </w:rPr>
        <w:t>fa</w:t>
      </w:r>
      <w:r w:rsidR="00EB0B38" w:rsidRPr="00CF2F00">
        <w:rPr>
          <w:rFonts w:ascii="Arial" w:hAnsi="Arial" w:cs="Arial"/>
          <w:sz w:val="24"/>
          <w:szCs w:val="24"/>
        </w:rPr>
        <w:t>vor</w:t>
      </w:r>
      <w:r w:rsidR="00BA59AA" w:rsidRPr="00CF2F00">
        <w:rPr>
          <w:rFonts w:ascii="Arial" w:hAnsi="Arial" w:cs="Arial"/>
          <w:sz w:val="24"/>
          <w:szCs w:val="24"/>
        </w:rPr>
        <w:t>.</w:t>
      </w:r>
      <w:r w:rsidR="00EB0B38" w:rsidRPr="00CF2F00">
        <w:rPr>
          <w:rFonts w:ascii="Arial" w:hAnsi="Arial" w:cs="Arial"/>
          <w:sz w:val="24"/>
          <w:szCs w:val="24"/>
        </w:rPr>
        <w:t xml:space="preserve"> </w:t>
      </w:r>
    </w:p>
    <w:p w14:paraId="7946C100" w14:textId="77777777" w:rsidR="00DD66D5" w:rsidRPr="00CF2F00" w:rsidRDefault="00DD66D5" w:rsidP="00E36187">
      <w:pPr>
        <w:spacing w:after="0" w:line="360" w:lineRule="auto"/>
        <w:jc w:val="both"/>
        <w:rPr>
          <w:rFonts w:ascii="Arial" w:hAnsi="Arial" w:cs="Arial"/>
          <w:sz w:val="24"/>
          <w:szCs w:val="24"/>
        </w:rPr>
      </w:pPr>
    </w:p>
    <w:p w14:paraId="2A670899" w14:textId="77777777" w:rsidR="00DD66D5"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1.1</w:t>
      </w:r>
      <w:r w:rsidR="00130A8A" w:rsidRPr="00CF2F00">
        <w:rPr>
          <w:rFonts w:ascii="Arial" w:hAnsi="Arial" w:cs="Arial"/>
          <w:sz w:val="24"/>
          <w:szCs w:val="24"/>
        </w:rPr>
        <w:t>.3.- Posteriormente, el actor solicitó la reliquidación de su asignación de retiro, en tanto no se tuvo en cuenta como partida computable el subsidio familiar. Esta decisión fue resuelta de manera negativa por parte de CASUR mediante el oficio No. E-00003-201814752 CASUR ID: 344877 del 26 de julio de 2018</w:t>
      </w:r>
      <w:r w:rsidR="007F2789" w:rsidRPr="00CF2F00">
        <w:rPr>
          <w:rStyle w:val="Refdenotaalpie"/>
          <w:rFonts w:ascii="Arial" w:hAnsi="Arial" w:cs="Arial"/>
          <w:sz w:val="24"/>
          <w:szCs w:val="24"/>
        </w:rPr>
        <w:footnoteReference w:id="6"/>
      </w:r>
      <w:r w:rsidR="008A1F47" w:rsidRPr="00CF2F00">
        <w:rPr>
          <w:rFonts w:ascii="Arial" w:hAnsi="Arial" w:cs="Arial"/>
          <w:sz w:val="24"/>
          <w:szCs w:val="24"/>
        </w:rPr>
        <w:t xml:space="preserve">. </w:t>
      </w:r>
    </w:p>
    <w:p w14:paraId="4DC1A920" w14:textId="77777777" w:rsidR="008A1F47" w:rsidRPr="00CF2F00" w:rsidRDefault="008A1F47" w:rsidP="00E36187">
      <w:pPr>
        <w:spacing w:after="0" w:line="360" w:lineRule="auto"/>
        <w:jc w:val="both"/>
        <w:rPr>
          <w:rFonts w:ascii="Arial" w:hAnsi="Arial" w:cs="Arial"/>
          <w:sz w:val="24"/>
          <w:szCs w:val="24"/>
        </w:rPr>
      </w:pPr>
    </w:p>
    <w:p w14:paraId="19821EC6" w14:textId="77777777" w:rsidR="008A1F47"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1.1</w:t>
      </w:r>
      <w:r w:rsidR="008A1F47" w:rsidRPr="00CF2F00">
        <w:rPr>
          <w:rFonts w:ascii="Arial" w:hAnsi="Arial" w:cs="Arial"/>
          <w:sz w:val="24"/>
          <w:szCs w:val="24"/>
        </w:rPr>
        <w:t>.4.- Por lo anterior, presentó demanda de nulidad y restablecimiento del derecho en contra de CASUR con el fin de obtener la nulidad del acto administrativo por medio del cual se negó el reajuste de su asignación de retiro y el reconocimiento y pago de tal prestación económica con la i</w:t>
      </w:r>
      <w:r w:rsidR="003246FA" w:rsidRPr="00CF2F00">
        <w:rPr>
          <w:rFonts w:ascii="Arial" w:hAnsi="Arial" w:cs="Arial"/>
          <w:sz w:val="24"/>
          <w:szCs w:val="24"/>
        </w:rPr>
        <w:t xml:space="preserve">nclusión del subsidio familiar, </w:t>
      </w:r>
      <w:r w:rsidR="00FA1856" w:rsidRPr="00CF2F00">
        <w:rPr>
          <w:rFonts w:ascii="Arial" w:hAnsi="Arial" w:cs="Arial"/>
          <w:sz w:val="24"/>
          <w:szCs w:val="24"/>
        </w:rPr>
        <w:t>pues en su criterio,</w:t>
      </w:r>
      <w:r w:rsidR="00F02350" w:rsidRPr="00CF2F00">
        <w:rPr>
          <w:rFonts w:ascii="Arial" w:hAnsi="Arial" w:cs="Arial"/>
          <w:sz w:val="24"/>
          <w:szCs w:val="24"/>
        </w:rPr>
        <w:t xml:space="preserve"> al aplicar el Decreto 1091 de 1995, norma que regula el régimen prestacional de los miembros del Nivel Ejecutivo de la Policía Nacional</w:t>
      </w:r>
      <w:r w:rsidR="00841786" w:rsidRPr="00CF2F00">
        <w:rPr>
          <w:rFonts w:ascii="Arial" w:hAnsi="Arial" w:cs="Arial"/>
          <w:sz w:val="24"/>
          <w:szCs w:val="24"/>
        </w:rPr>
        <w:t>, se transgreden los derechos a la igualdad de su n</w:t>
      </w:r>
      <w:r w:rsidR="00EE63A8" w:rsidRPr="00CF2F00">
        <w:rPr>
          <w:rFonts w:ascii="Arial" w:hAnsi="Arial" w:cs="Arial"/>
          <w:sz w:val="24"/>
          <w:szCs w:val="24"/>
        </w:rPr>
        <w:t xml:space="preserve">úcleo familiar, pues </w:t>
      </w:r>
      <w:r w:rsidR="00EE63A8" w:rsidRPr="00CF2F00">
        <w:rPr>
          <w:rFonts w:ascii="Arial" w:hAnsi="Arial" w:cs="Arial"/>
          <w:i/>
          <w:sz w:val="24"/>
          <w:szCs w:val="24"/>
        </w:rPr>
        <w:t>“en todo el sistema laboral de la fuerza pública (…) los únicos uniformados a los cuales no se les reconoce el subsidio familiar en términos paritarios es a los miembros del nivel ejecutivo de la policía nacional, siendo esto discriminatorio desde todo punto de vista constitucional”</w:t>
      </w:r>
      <w:r w:rsidR="00EE63A8" w:rsidRPr="0096173F">
        <w:rPr>
          <w:rStyle w:val="Refdenotaalpie"/>
          <w:rFonts w:ascii="Arial" w:hAnsi="Arial" w:cs="Arial"/>
          <w:iCs/>
          <w:sz w:val="24"/>
          <w:szCs w:val="24"/>
        </w:rPr>
        <w:footnoteReference w:id="7"/>
      </w:r>
      <w:r w:rsidR="00FA1856" w:rsidRPr="0096173F">
        <w:rPr>
          <w:rFonts w:ascii="Arial" w:hAnsi="Arial" w:cs="Arial"/>
          <w:iCs/>
          <w:sz w:val="24"/>
          <w:szCs w:val="24"/>
        </w:rPr>
        <w:t xml:space="preserve">. </w:t>
      </w:r>
    </w:p>
    <w:p w14:paraId="2FE345DB" w14:textId="77777777" w:rsidR="008A1F47" w:rsidRPr="00CF2F00" w:rsidRDefault="008A1F47" w:rsidP="00E36187">
      <w:pPr>
        <w:spacing w:after="0" w:line="360" w:lineRule="auto"/>
        <w:jc w:val="both"/>
        <w:rPr>
          <w:rFonts w:ascii="Arial" w:hAnsi="Arial" w:cs="Arial"/>
          <w:sz w:val="24"/>
          <w:szCs w:val="24"/>
        </w:rPr>
      </w:pPr>
    </w:p>
    <w:p w14:paraId="3CFBB7AD" w14:textId="659BF3C2" w:rsidR="008A1F47"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1.1</w:t>
      </w:r>
      <w:r w:rsidR="008A1F47" w:rsidRPr="00CF2F00">
        <w:rPr>
          <w:rFonts w:ascii="Arial" w:hAnsi="Arial" w:cs="Arial"/>
          <w:sz w:val="24"/>
          <w:szCs w:val="24"/>
        </w:rPr>
        <w:t xml:space="preserve">.5.- La primera instancia correspondió al Juzgado Veinte Administrativo de Oralidad del Circuito de Bogotá </w:t>
      </w:r>
      <w:r w:rsidR="00E45873" w:rsidRPr="00CF2F00">
        <w:rPr>
          <w:rFonts w:ascii="Arial" w:hAnsi="Arial" w:cs="Arial"/>
          <w:sz w:val="24"/>
          <w:szCs w:val="24"/>
        </w:rPr>
        <w:t xml:space="preserve">que en sentencia proferida en la audiencia inicial del 14 de agosto </w:t>
      </w:r>
      <w:r w:rsidR="00E45873" w:rsidRPr="00CF2F00">
        <w:rPr>
          <w:rFonts w:ascii="Arial" w:hAnsi="Arial" w:cs="Arial"/>
          <w:sz w:val="24"/>
          <w:szCs w:val="24"/>
        </w:rPr>
        <w:lastRenderedPageBreak/>
        <w:t>de 2019</w:t>
      </w:r>
      <w:r w:rsidR="00BE7E0B" w:rsidRPr="00CF2F00">
        <w:rPr>
          <w:rStyle w:val="Refdenotaalpie"/>
          <w:rFonts w:ascii="Arial" w:hAnsi="Arial" w:cs="Arial"/>
          <w:sz w:val="24"/>
          <w:szCs w:val="24"/>
        </w:rPr>
        <w:footnoteReference w:id="8"/>
      </w:r>
      <w:r w:rsidR="00E45873" w:rsidRPr="00CF2F00">
        <w:rPr>
          <w:rFonts w:ascii="Arial" w:hAnsi="Arial" w:cs="Arial"/>
          <w:sz w:val="24"/>
          <w:szCs w:val="24"/>
        </w:rPr>
        <w:t xml:space="preserve"> resolvió negar las pretensiones de la demanda </w:t>
      </w:r>
      <w:r w:rsidR="00BE7E0B" w:rsidRPr="00CF2F00">
        <w:rPr>
          <w:rFonts w:ascii="Arial" w:hAnsi="Arial" w:cs="Arial"/>
          <w:sz w:val="24"/>
          <w:szCs w:val="24"/>
        </w:rPr>
        <w:t>teniendo en cuenta que</w:t>
      </w:r>
      <w:r w:rsidR="008D0BD8" w:rsidRPr="00CF2F00">
        <w:rPr>
          <w:rFonts w:ascii="Arial" w:hAnsi="Arial" w:cs="Arial"/>
          <w:sz w:val="24"/>
          <w:szCs w:val="24"/>
        </w:rPr>
        <w:t xml:space="preserve"> </w:t>
      </w:r>
      <w:r w:rsidR="00BE7E0B" w:rsidRPr="00CF2F00">
        <w:rPr>
          <w:rFonts w:ascii="Arial" w:hAnsi="Arial" w:cs="Arial"/>
          <w:sz w:val="24"/>
          <w:szCs w:val="24"/>
        </w:rPr>
        <w:t>el accionante</w:t>
      </w:r>
      <w:r w:rsidR="006B47E0" w:rsidRPr="00CF2F00">
        <w:rPr>
          <w:rFonts w:ascii="Arial" w:hAnsi="Arial" w:cs="Arial"/>
          <w:sz w:val="24"/>
          <w:szCs w:val="24"/>
        </w:rPr>
        <w:t>, al pertenecer al Nivel Ejecutivo de la Polic</w:t>
      </w:r>
      <w:r w:rsidR="008D0BD8" w:rsidRPr="00CF2F00">
        <w:rPr>
          <w:rFonts w:ascii="Arial" w:hAnsi="Arial" w:cs="Arial"/>
          <w:sz w:val="24"/>
          <w:szCs w:val="24"/>
        </w:rPr>
        <w:t>ía Nacional, se acogió libremente</w:t>
      </w:r>
      <w:r w:rsidR="006B47E0" w:rsidRPr="00CF2F00">
        <w:rPr>
          <w:rFonts w:ascii="Arial" w:hAnsi="Arial" w:cs="Arial"/>
          <w:sz w:val="24"/>
          <w:szCs w:val="24"/>
        </w:rPr>
        <w:t xml:space="preserve"> al régimen regulado por el Decreto 1091 de 19</w:t>
      </w:r>
      <w:r w:rsidR="00E278E2">
        <w:rPr>
          <w:rFonts w:ascii="Arial" w:hAnsi="Arial" w:cs="Arial"/>
          <w:sz w:val="24"/>
          <w:szCs w:val="24"/>
        </w:rPr>
        <w:t>9</w:t>
      </w:r>
      <w:r w:rsidR="006B47E0" w:rsidRPr="00CF2F00">
        <w:rPr>
          <w:rFonts w:ascii="Arial" w:hAnsi="Arial" w:cs="Arial"/>
          <w:sz w:val="24"/>
          <w:szCs w:val="24"/>
        </w:rPr>
        <w:t>5 en el que no se encuentra previsto el subsidio familiar como partida computable para la asignaci</w:t>
      </w:r>
      <w:r w:rsidR="00D94616" w:rsidRPr="00CF2F00">
        <w:rPr>
          <w:rFonts w:ascii="Arial" w:hAnsi="Arial" w:cs="Arial"/>
          <w:sz w:val="24"/>
          <w:szCs w:val="24"/>
        </w:rPr>
        <w:t xml:space="preserve">ón de retiro. De igual forma aclaró que el mencionado régimen debía observarse </w:t>
      </w:r>
      <w:r w:rsidR="00C232D7" w:rsidRPr="00CF2F00">
        <w:rPr>
          <w:rFonts w:ascii="Arial" w:hAnsi="Arial" w:cs="Arial"/>
          <w:sz w:val="24"/>
          <w:szCs w:val="24"/>
        </w:rPr>
        <w:t>integralmente</w:t>
      </w:r>
      <w:r w:rsidR="00D94616" w:rsidRPr="00CF2F00">
        <w:rPr>
          <w:rFonts w:ascii="Arial" w:hAnsi="Arial" w:cs="Arial"/>
          <w:sz w:val="24"/>
          <w:szCs w:val="24"/>
        </w:rPr>
        <w:t xml:space="preserve"> en virtud de</w:t>
      </w:r>
      <w:r w:rsidR="00C232D7" w:rsidRPr="00CF2F00">
        <w:rPr>
          <w:rFonts w:ascii="Arial" w:hAnsi="Arial" w:cs="Arial"/>
          <w:sz w:val="24"/>
          <w:szCs w:val="24"/>
        </w:rPr>
        <w:t xml:space="preserve">l principio de inescindibilidad, por lo que no </w:t>
      </w:r>
      <w:r w:rsidR="00586413" w:rsidRPr="00CF2F00">
        <w:rPr>
          <w:rFonts w:ascii="Arial" w:hAnsi="Arial" w:cs="Arial"/>
          <w:sz w:val="24"/>
          <w:szCs w:val="24"/>
        </w:rPr>
        <w:t>e</w:t>
      </w:r>
      <w:r w:rsidR="0096173F">
        <w:rPr>
          <w:rFonts w:ascii="Arial" w:hAnsi="Arial" w:cs="Arial"/>
          <w:sz w:val="24"/>
          <w:szCs w:val="24"/>
        </w:rPr>
        <w:t>ra</w:t>
      </w:r>
      <w:r w:rsidR="00C232D7" w:rsidRPr="00CF2F00">
        <w:rPr>
          <w:rFonts w:ascii="Arial" w:hAnsi="Arial" w:cs="Arial"/>
          <w:sz w:val="24"/>
          <w:szCs w:val="24"/>
        </w:rPr>
        <w:t xml:space="preserve"> posible aplicar </w:t>
      </w:r>
      <w:r w:rsidR="00586413" w:rsidRPr="00CF2F00">
        <w:rPr>
          <w:rFonts w:ascii="Arial" w:hAnsi="Arial" w:cs="Arial"/>
          <w:sz w:val="24"/>
          <w:szCs w:val="24"/>
        </w:rPr>
        <w:t>las normas que resultan</w:t>
      </w:r>
      <w:r w:rsidR="00F94998" w:rsidRPr="00CF2F00">
        <w:rPr>
          <w:rFonts w:ascii="Arial" w:hAnsi="Arial" w:cs="Arial"/>
          <w:sz w:val="24"/>
          <w:szCs w:val="24"/>
        </w:rPr>
        <w:t xml:space="preserve"> favorables al demandante </w:t>
      </w:r>
      <w:r w:rsidR="008D0BD8" w:rsidRPr="00CF2F00">
        <w:rPr>
          <w:rFonts w:ascii="Arial" w:hAnsi="Arial" w:cs="Arial"/>
          <w:sz w:val="24"/>
          <w:szCs w:val="24"/>
        </w:rPr>
        <w:t>provenientes de otros regíme</w:t>
      </w:r>
      <w:r w:rsidR="00586413" w:rsidRPr="00CF2F00">
        <w:rPr>
          <w:rFonts w:ascii="Arial" w:hAnsi="Arial" w:cs="Arial"/>
          <w:sz w:val="24"/>
          <w:szCs w:val="24"/>
        </w:rPr>
        <w:t xml:space="preserve">nes, </w:t>
      </w:r>
      <w:r w:rsidR="008D0BD8" w:rsidRPr="00CF2F00">
        <w:rPr>
          <w:rFonts w:ascii="Arial" w:hAnsi="Arial" w:cs="Arial"/>
          <w:sz w:val="24"/>
          <w:szCs w:val="24"/>
        </w:rPr>
        <w:t>pues de hacerlo, se generaría la creación de un tercer</w:t>
      </w:r>
      <w:r w:rsidR="00B80CB4">
        <w:rPr>
          <w:rFonts w:ascii="Arial" w:hAnsi="Arial" w:cs="Arial"/>
          <w:sz w:val="24"/>
          <w:szCs w:val="24"/>
        </w:rPr>
        <w:t xml:space="preserve">o </w:t>
      </w:r>
      <w:r w:rsidR="008D0BD8" w:rsidRPr="00CF2F00">
        <w:rPr>
          <w:rFonts w:ascii="Arial" w:hAnsi="Arial" w:cs="Arial"/>
          <w:sz w:val="24"/>
          <w:szCs w:val="24"/>
        </w:rPr>
        <w:t>compuesto por los elementos m</w:t>
      </w:r>
      <w:r w:rsidR="001823AC" w:rsidRPr="00CF2F00">
        <w:rPr>
          <w:rFonts w:ascii="Arial" w:hAnsi="Arial" w:cs="Arial"/>
          <w:sz w:val="24"/>
          <w:szCs w:val="24"/>
        </w:rPr>
        <w:t xml:space="preserve">ás </w:t>
      </w:r>
      <w:r w:rsidR="00B80CB4">
        <w:rPr>
          <w:rFonts w:ascii="Arial" w:hAnsi="Arial" w:cs="Arial"/>
          <w:sz w:val="24"/>
          <w:szCs w:val="24"/>
        </w:rPr>
        <w:t>beneficiosos</w:t>
      </w:r>
      <w:r w:rsidR="001823AC" w:rsidRPr="00CF2F00">
        <w:rPr>
          <w:rFonts w:ascii="Arial" w:hAnsi="Arial" w:cs="Arial"/>
          <w:sz w:val="24"/>
          <w:szCs w:val="24"/>
        </w:rPr>
        <w:t xml:space="preserve"> de cada </w:t>
      </w:r>
      <w:r w:rsidR="00B80CB4">
        <w:rPr>
          <w:rFonts w:ascii="Arial" w:hAnsi="Arial" w:cs="Arial"/>
          <w:sz w:val="24"/>
          <w:szCs w:val="24"/>
        </w:rPr>
        <w:t>uno</w:t>
      </w:r>
      <w:r w:rsidR="001823AC" w:rsidRPr="00CF2F00">
        <w:rPr>
          <w:rFonts w:ascii="Arial" w:hAnsi="Arial" w:cs="Arial"/>
          <w:sz w:val="24"/>
          <w:szCs w:val="24"/>
        </w:rPr>
        <w:t xml:space="preserve">.  </w:t>
      </w:r>
    </w:p>
    <w:p w14:paraId="1FC24EE0" w14:textId="77777777" w:rsidR="004E0AC6" w:rsidRPr="00CF2F00" w:rsidRDefault="004E0AC6" w:rsidP="00E36187">
      <w:pPr>
        <w:spacing w:after="0" w:line="360" w:lineRule="auto"/>
        <w:jc w:val="both"/>
        <w:rPr>
          <w:rFonts w:ascii="Arial" w:hAnsi="Arial" w:cs="Arial"/>
          <w:sz w:val="24"/>
          <w:szCs w:val="24"/>
        </w:rPr>
      </w:pPr>
    </w:p>
    <w:p w14:paraId="7C58B7D8" w14:textId="77777777" w:rsidR="00A84A92"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1.1</w:t>
      </w:r>
      <w:r w:rsidR="00A84A92" w:rsidRPr="00CF2F00">
        <w:rPr>
          <w:rFonts w:ascii="Arial" w:hAnsi="Arial" w:cs="Arial"/>
          <w:sz w:val="24"/>
          <w:szCs w:val="24"/>
        </w:rPr>
        <w:t xml:space="preserve">.6.- En segunda instancia el asunto lo conoció la Subsección A de la </w:t>
      </w:r>
      <w:r w:rsidR="00B07171" w:rsidRPr="00CF2F00">
        <w:rPr>
          <w:rFonts w:ascii="Arial" w:hAnsi="Arial" w:cs="Arial"/>
          <w:sz w:val="24"/>
          <w:szCs w:val="24"/>
        </w:rPr>
        <w:t xml:space="preserve">Sección Segunda del Tribunal Administrativo de Cundinamarca, que en sentencia del </w:t>
      </w:r>
      <w:r w:rsidR="00DF0448" w:rsidRPr="00CF2F00">
        <w:rPr>
          <w:rFonts w:ascii="Arial" w:hAnsi="Arial" w:cs="Arial"/>
          <w:sz w:val="24"/>
          <w:szCs w:val="24"/>
        </w:rPr>
        <w:t>7 de febrero de 2020</w:t>
      </w:r>
      <w:r w:rsidR="00DF0448" w:rsidRPr="00CF2F00">
        <w:rPr>
          <w:rStyle w:val="Refdenotaalpie"/>
          <w:rFonts w:ascii="Arial" w:hAnsi="Arial" w:cs="Arial"/>
          <w:sz w:val="24"/>
          <w:szCs w:val="24"/>
        </w:rPr>
        <w:footnoteReference w:id="9"/>
      </w:r>
      <w:r w:rsidR="00DF0448" w:rsidRPr="00CF2F00">
        <w:rPr>
          <w:rFonts w:ascii="Arial" w:hAnsi="Arial" w:cs="Arial"/>
          <w:sz w:val="24"/>
          <w:szCs w:val="24"/>
        </w:rPr>
        <w:t xml:space="preserve"> conf</w:t>
      </w:r>
      <w:r w:rsidR="00E36187" w:rsidRPr="00CF2F00">
        <w:rPr>
          <w:rFonts w:ascii="Arial" w:hAnsi="Arial" w:cs="Arial"/>
          <w:sz w:val="24"/>
          <w:szCs w:val="24"/>
        </w:rPr>
        <w:t>irmó la decisión de negar las pretensiones de la demanda</w:t>
      </w:r>
      <w:r w:rsidR="00586413" w:rsidRPr="00CF2F00">
        <w:rPr>
          <w:rFonts w:ascii="Arial" w:hAnsi="Arial" w:cs="Arial"/>
          <w:sz w:val="24"/>
          <w:szCs w:val="24"/>
        </w:rPr>
        <w:t xml:space="preserve">.  </w:t>
      </w:r>
    </w:p>
    <w:p w14:paraId="7291DCD1" w14:textId="77777777" w:rsidR="006C4270" w:rsidRPr="00CF2F00" w:rsidRDefault="006C4270" w:rsidP="00E36187">
      <w:pPr>
        <w:spacing w:after="0" w:line="360" w:lineRule="auto"/>
        <w:jc w:val="both"/>
        <w:rPr>
          <w:rFonts w:ascii="Arial" w:hAnsi="Arial" w:cs="Arial"/>
          <w:b/>
          <w:sz w:val="24"/>
          <w:szCs w:val="24"/>
        </w:rPr>
      </w:pPr>
    </w:p>
    <w:p w14:paraId="60D127CC" w14:textId="77777777" w:rsidR="006C4270" w:rsidRPr="00CF2F00" w:rsidRDefault="00510943" w:rsidP="00E36187">
      <w:pPr>
        <w:spacing w:after="0" w:line="360" w:lineRule="auto"/>
        <w:jc w:val="both"/>
        <w:rPr>
          <w:rFonts w:ascii="Arial" w:hAnsi="Arial" w:cs="Arial"/>
          <w:b/>
          <w:sz w:val="24"/>
          <w:szCs w:val="24"/>
        </w:rPr>
      </w:pPr>
      <w:r w:rsidRPr="00CF2F00">
        <w:rPr>
          <w:rFonts w:ascii="Arial" w:hAnsi="Arial" w:cs="Arial"/>
          <w:b/>
          <w:sz w:val="24"/>
          <w:szCs w:val="24"/>
        </w:rPr>
        <w:t>1.2</w:t>
      </w:r>
      <w:r w:rsidR="00DF0448" w:rsidRPr="00CF2F00">
        <w:rPr>
          <w:rFonts w:ascii="Arial" w:hAnsi="Arial" w:cs="Arial"/>
          <w:b/>
          <w:sz w:val="24"/>
          <w:szCs w:val="24"/>
        </w:rPr>
        <w:t xml:space="preserve">.- Fundamento de la solicitud de amparo </w:t>
      </w:r>
    </w:p>
    <w:p w14:paraId="52F0B046" w14:textId="77777777" w:rsidR="00DF0448" w:rsidRPr="00CF2F00" w:rsidRDefault="00DF0448" w:rsidP="00E36187">
      <w:pPr>
        <w:spacing w:after="0" w:line="360" w:lineRule="auto"/>
        <w:jc w:val="both"/>
        <w:rPr>
          <w:rFonts w:ascii="Arial" w:hAnsi="Arial" w:cs="Arial"/>
          <w:b/>
          <w:sz w:val="24"/>
          <w:szCs w:val="24"/>
        </w:rPr>
      </w:pPr>
    </w:p>
    <w:p w14:paraId="76A74E3C" w14:textId="236EC730" w:rsidR="00870E59" w:rsidRPr="00CF2F00" w:rsidRDefault="00DF0448" w:rsidP="00E36187">
      <w:pPr>
        <w:spacing w:after="0" w:line="360" w:lineRule="auto"/>
        <w:jc w:val="both"/>
        <w:rPr>
          <w:rFonts w:ascii="Arial" w:hAnsi="Arial" w:cs="Arial"/>
          <w:sz w:val="24"/>
          <w:szCs w:val="24"/>
        </w:rPr>
      </w:pPr>
      <w:r w:rsidRPr="00CF2F00">
        <w:rPr>
          <w:rFonts w:ascii="Arial" w:hAnsi="Arial" w:cs="Arial"/>
          <w:sz w:val="24"/>
          <w:szCs w:val="24"/>
        </w:rPr>
        <w:t>El solicitante adujo que la providencia reprochada vulneró sus dere</w:t>
      </w:r>
      <w:r w:rsidR="001256DD" w:rsidRPr="00CF2F00">
        <w:rPr>
          <w:rFonts w:ascii="Arial" w:hAnsi="Arial" w:cs="Arial"/>
          <w:sz w:val="24"/>
          <w:szCs w:val="24"/>
        </w:rPr>
        <w:t>chos fundamentales por cuanto incurrió en</w:t>
      </w:r>
      <w:r w:rsidR="00870E59" w:rsidRPr="00CF2F00">
        <w:rPr>
          <w:rFonts w:ascii="Arial" w:hAnsi="Arial" w:cs="Arial"/>
          <w:sz w:val="24"/>
          <w:szCs w:val="24"/>
        </w:rPr>
        <w:t xml:space="preserve">: </w:t>
      </w:r>
    </w:p>
    <w:p w14:paraId="0B7147B7" w14:textId="77777777" w:rsidR="00870E59" w:rsidRPr="00CF2F00" w:rsidRDefault="00870E59" w:rsidP="00E36187">
      <w:pPr>
        <w:spacing w:after="0" w:line="360" w:lineRule="auto"/>
        <w:jc w:val="both"/>
        <w:rPr>
          <w:rFonts w:ascii="Arial" w:hAnsi="Arial" w:cs="Arial"/>
          <w:sz w:val="24"/>
          <w:szCs w:val="24"/>
        </w:rPr>
      </w:pPr>
    </w:p>
    <w:p w14:paraId="13D8EAF6" w14:textId="77777777" w:rsidR="00DF0448" w:rsidRPr="00CF2F00" w:rsidRDefault="00870E59" w:rsidP="00E36187">
      <w:pPr>
        <w:spacing w:after="0" w:line="360" w:lineRule="auto"/>
        <w:jc w:val="both"/>
        <w:rPr>
          <w:rFonts w:ascii="Arial" w:hAnsi="Arial" w:cs="Arial"/>
          <w:sz w:val="24"/>
          <w:szCs w:val="24"/>
        </w:rPr>
      </w:pPr>
      <w:r w:rsidRPr="00CF2F00">
        <w:rPr>
          <w:rFonts w:ascii="Arial" w:hAnsi="Arial" w:cs="Arial"/>
          <w:sz w:val="24"/>
          <w:szCs w:val="24"/>
        </w:rPr>
        <w:t>1.2.1.- D</w:t>
      </w:r>
      <w:r w:rsidR="001256DD" w:rsidRPr="00CF2F00">
        <w:rPr>
          <w:rFonts w:ascii="Arial" w:hAnsi="Arial" w:cs="Arial"/>
          <w:sz w:val="24"/>
          <w:szCs w:val="24"/>
        </w:rPr>
        <w:t xml:space="preserve">esconocimiento del precedente </w:t>
      </w:r>
      <w:r w:rsidR="00A51635" w:rsidRPr="00CF2F00">
        <w:rPr>
          <w:rFonts w:ascii="Arial" w:hAnsi="Arial" w:cs="Arial"/>
          <w:sz w:val="24"/>
          <w:szCs w:val="24"/>
        </w:rPr>
        <w:t xml:space="preserve">constitucional al no tener en cuenta las siguientes decisiones proferidas por la Corte Constitucional: </w:t>
      </w:r>
    </w:p>
    <w:p w14:paraId="03BA8AAE" w14:textId="77777777" w:rsidR="00A51635" w:rsidRPr="00CF2F00" w:rsidRDefault="00A51635" w:rsidP="00E36187">
      <w:pPr>
        <w:spacing w:after="0" w:line="360" w:lineRule="auto"/>
        <w:jc w:val="both"/>
        <w:rPr>
          <w:rFonts w:ascii="Arial" w:hAnsi="Arial" w:cs="Arial"/>
          <w:sz w:val="24"/>
          <w:szCs w:val="24"/>
        </w:rPr>
      </w:pPr>
    </w:p>
    <w:p w14:paraId="2666E83D" w14:textId="17EF306A" w:rsidR="00870E59" w:rsidRPr="00CF2F00" w:rsidRDefault="00A51635" w:rsidP="00E36187">
      <w:pPr>
        <w:spacing w:after="0" w:line="360" w:lineRule="auto"/>
        <w:jc w:val="both"/>
        <w:rPr>
          <w:rFonts w:ascii="Arial" w:hAnsi="Arial" w:cs="Arial"/>
          <w:sz w:val="24"/>
          <w:szCs w:val="24"/>
        </w:rPr>
      </w:pPr>
      <w:r w:rsidRPr="00CF2F00">
        <w:rPr>
          <w:rFonts w:ascii="Arial" w:hAnsi="Arial" w:cs="Arial"/>
          <w:sz w:val="24"/>
          <w:szCs w:val="24"/>
        </w:rPr>
        <w:t>1.2.1.</w:t>
      </w:r>
      <w:r w:rsidR="00870E59" w:rsidRPr="00CF2F00">
        <w:rPr>
          <w:rFonts w:ascii="Arial" w:hAnsi="Arial" w:cs="Arial"/>
          <w:sz w:val="24"/>
          <w:szCs w:val="24"/>
        </w:rPr>
        <w:t>1</w:t>
      </w:r>
      <w:r w:rsidR="00013DEA">
        <w:rPr>
          <w:rFonts w:ascii="Arial" w:hAnsi="Arial" w:cs="Arial"/>
          <w:sz w:val="24"/>
          <w:szCs w:val="24"/>
        </w:rPr>
        <w:t>.</w:t>
      </w:r>
      <w:r w:rsidRPr="00CF2F00">
        <w:rPr>
          <w:rFonts w:ascii="Arial" w:hAnsi="Arial" w:cs="Arial"/>
          <w:sz w:val="24"/>
          <w:szCs w:val="24"/>
        </w:rPr>
        <w:t xml:space="preserve">- </w:t>
      </w:r>
      <w:r w:rsidR="009178D6" w:rsidRPr="00CF2F00">
        <w:rPr>
          <w:rFonts w:ascii="Arial" w:hAnsi="Arial" w:cs="Arial"/>
          <w:sz w:val="24"/>
          <w:szCs w:val="24"/>
        </w:rPr>
        <w:t>Las s</w:t>
      </w:r>
      <w:r w:rsidR="008917F7" w:rsidRPr="00CF2F00">
        <w:rPr>
          <w:rFonts w:ascii="Arial" w:hAnsi="Arial" w:cs="Arial"/>
          <w:sz w:val="24"/>
          <w:szCs w:val="24"/>
        </w:rPr>
        <w:t>entencias T-677 de 2007</w:t>
      </w:r>
      <w:r w:rsidR="00870E59" w:rsidRPr="00CF2F00">
        <w:rPr>
          <w:rFonts w:ascii="Arial" w:hAnsi="Arial" w:cs="Arial"/>
          <w:sz w:val="24"/>
          <w:szCs w:val="24"/>
        </w:rPr>
        <w:t>; C-1002 de 2007; C-337 de 2011; T-942 de 2014; T-623 del 2016</w:t>
      </w:r>
      <w:r w:rsidR="0096173F">
        <w:rPr>
          <w:rFonts w:ascii="Arial" w:hAnsi="Arial" w:cs="Arial"/>
          <w:sz w:val="24"/>
          <w:szCs w:val="24"/>
        </w:rPr>
        <w:t>,</w:t>
      </w:r>
      <w:r w:rsidR="008917F7" w:rsidRPr="00CF2F00">
        <w:rPr>
          <w:rFonts w:ascii="Arial" w:hAnsi="Arial" w:cs="Arial"/>
          <w:sz w:val="24"/>
          <w:szCs w:val="24"/>
        </w:rPr>
        <w:t xml:space="preserve"> en las que se ha resaltado el papel del subsidio familiar a la hora de proteger a la familia y en especial, lo</w:t>
      </w:r>
      <w:r w:rsidR="00BD7FF6" w:rsidRPr="00CF2F00">
        <w:rPr>
          <w:rFonts w:ascii="Arial" w:hAnsi="Arial" w:cs="Arial"/>
          <w:sz w:val="24"/>
          <w:szCs w:val="24"/>
        </w:rPr>
        <w:t xml:space="preserve">s derechos de los niños y niñas; </w:t>
      </w:r>
      <w:r w:rsidR="009178D6" w:rsidRPr="00CF2F00">
        <w:rPr>
          <w:rFonts w:ascii="Arial" w:hAnsi="Arial" w:cs="Arial"/>
          <w:sz w:val="24"/>
          <w:szCs w:val="24"/>
        </w:rPr>
        <w:t xml:space="preserve">la </w:t>
      </w:r>
      <w:r w:rsidR="00BD7FF6" w:rsidRPr="00CF2F00">
        <w:rPr>
          <w:rFonts w:ascii="Arial" w:hAnsi="Arial" w:cs="Arial"/>
          <w:sz w:val="24"/>
          <w:szCs w:val="24"/>
        </w:rPr>
        <w:t>s</w:t>
      </w:r>
      <w:r w:rsidR="00870E59" w:rsidRPr="00CF2F00">
        <w:rPr>
          <w:rFonts w:ascii="Arial" w:hAnsi="Arial" w:cs="Arial"/>
          <w:sz w:val="24"/>
          <w:szCs w:val="24"/>
        </w:rPr>
        <w:t>entencia C-629 de 2011</w:t>
      </w:r>
      <w:r w:rsidR="004503D1" w:rsidRPr="00CF2F00">
        <w:rPr>
          <w:rFonts w:ascii="Arial" w:hAnsi="Arial" w:cs="Arial"/>
          <w:sz w:val="24"/>
          <w:szCs w:val="24"/>
        </w:rPr>
        <w:t>, en la que se listan las características del subsidio familiar</w:t>
      </w:r>
      <w:r w:rsidR="00BD7FF6" w:rsidRPr="00CF2F00">
        <w:rPr>
          <w:rFonts w:ascii="Arial" w:hAnsi="Arial" w:cs="Arial"/>
          <w:sz w:val="24"/>
          <w:szCs w:val="24"/>
        </w:rPr>
        <w:t>; y la sentencia C-015 de 2018</w:t>
      </w:r>
      <w:r w:rsidR="0096173F">
        <w:rPr>
          <w:rFonts w:ascii="Arial" w:hAnsi="Arial" w:cs="Arial"/>
          <w:sz w:val="24"/>
          <w:szCs w:val="24"/>
        </w:rPr>
        <w:t>,</w:t>
      </w:r>
      <w:r w:rsidR="00BD7FF6" w:rsidRPr="00CF2F00">
        <w:rPr>
          <w:rFonts w:ascii="Arial" w:hAnsi="Arial" w:cs="Arial"/>
          <w:sz w:val="24"/>
          <w:szCs w:val="24"/>
        </w:rPr>
        <w:t xml:space="preserve"> a través de la cual se estableció que cuando se alega una vulneración del derecho a la igualdad, se debe hacer un juicio integrado para determinar si efectivamente hubo una transgresión</w:t>
      </w:r>
      <w:r w:rsidR="00EE1FB9" w:rsidRPr="00CF2F00">
        <w:rPr>
          <w:rFonts w:ascii="Arial" w:hAnsi="Arial" w:cs="Arial"/>
          <w:sz w:val="24"/>
          <w:szCs w:val="24"/>
        </w:rPr>
        <w:t xml:space="preserve">. </w:t>
      </w:r>
    </w:p>
    <w:p w14:paraId="54E83A62" w14:textId="77777777" w:rsidR="00870E59" w:rsidRPr="00CF2F00" w:rsidRDefault="00870E59" w:rsidP="00E36187">
      <w:pPr>
        <w:spacing w:after="0" w:line="360" w:lineRule="auto"/>
        <w:jc w:val="both"/>
        <w:rPr>
          <w:rFonts w:ascii="Arial" w:hAnsi="Arial" w:cs="Arial"/>
          <w:sz w:val="24"/>
          <w:szCs w:val="24"/>
        </w:rPr>
      </w:pPr>
    </w:p>
    <w:p w14:paraId="6C14B3B7" w14:textId="0D5F9365" w:rsidR="00870E59" w:rsidRPr="00CF2F00" w:rsidRDefault="00870E59" w:rsidP="00E36187">
      <w:pPr>
        <w:spacing w:after="0" w:line="360" w:lineRule="auto"/>
        <w:jc w:val="both"/>
        <w:rPr>
          <w:rFonts w:ascii="Arial" w:hAnsi="Arial" w:cs="Arial"/>
          <w:sz w:val="24"/>
          <w:szCs w:val="24"/>
        </w:rPr>
      </w:pPr>
      <w:r w:rsidRPr="00CF2F00">
        <w:rPr>
          <w:rFonts w:ascii="Arial" w:hAnsi="Arial" w:cs="Arial"/>
          <w:sz w:val="24"/>
          <w:szCs w:val="24"/>
        </w:rPr>
        <w:t xml:space="preserve">1.2.2.- Defecto sustantivo, pues la autoridad judicial accionada debió realizar un estudio de la inconstitucionalidad de </w:t>
      </w:r>
      <w:r w:rsidR="003259CB" w:rsidRPr="00CF2F00">
        <w:rPr>
          <w:rFonts w:ascii="Arial" w:hAnsi="Arial" w:cs="Arial"/>
          <w:sz w:val="24"/>
          <w:szCs w:val="24"/>
        </w:rPr>
        <w:t>las normas que regulan el subsidio familiar</w:t>
      </w:r>
      <w:r w:rsidR="0096173F">
        <w:rPr>
          <w:rFonts w:ascii="Arial" w:hAnsi="Arial" w:cs="Arial"/>
          <w:sz w:val="24"/>
          <w:szCs w:val="24"/>
        </w:rPr>
        <w:t xml:space="preserve">, </w:t>
      </w:r>
      <w:r w:rsidR="003259CB" w:rsidRPr="00CF2F00">
        <w:rPr>
          <w:rFonts w:ascii="Arial" w:hAnsi="Arial" w:cs="Arial"/>
          <w:sz w:val="24"/>
          <w:szCs w:val="24"/>
        </w:rPr>
        <w:t xml:space="preserve">por considerar que </w:t>
      </w:r>
      <w:r w:rsidR="007B272D" w:rsidRPr="00CF2F00">
        <w:rPr>
          <w:rFonts w:ascii="Arial" w:hAnsi="Arial" w:cs="Arial"/>
          <w:sz w:val="24"/>
          <w:szCs w:val="24"/>
        </w:rPr>
        <w:t>vulneran el derecho a la igualdad de su n</w:t>
      </w:r>
      <w:r w:rsidR="00BD7FF6" w:rsidRPr="00CF2F00">
        <w:rPr>
          <w:rFonts w:ascii="Arial" w:hAnsi="Arial" w:cs="Arial"/>
          <w:sz w:val="24"/>
          <w:szCs w:val="24"/>
        </w:rPr>
        <w:t>úcleo familiar</w:t>
      </w:r>
      <w:r w:rsidR="007B272D" w:rsidRPr="00CF2F00">
        <w:rPr>
          <w:rFonts w:ascii="Arial" w:hAnsi="Arial" w:cs="Arial"/>
          <w:sz w:val="24"/>
          <w:szCs w:val="24"/>
        </w:rPr>
        <w:t xml:space="preserve">, esto en cuanto </w:t>
      </w:r>
      <w:r w:rsidR="007B272D" w:rsidRPr="00CF2F00">
        <w:rPr>
          <w:rFonts w:ascii="Arial" w:hAnsi="Arial" w:cs="Arial"/>
          <w:i/>
          <w:sz w:val="24"/>
          <w:szCs w:val="24"/>
        </w:rPr>
        <w:t xml:space="preserve">“no existe </w:t>
      </w:r>
      <w:r w:rsidR="007B272D" w:rsidRPr="00CF2F00">
        <w:rPr>
          <w:rFonts w:ascii="Arial" w:hAnsi="Arial" w:cs="Arial"/>
          <w:i/>
          <w:sz w:val="24"/>
          <w:szCs w:val="24"/>
        </w:rPr>
        <w:lastRenderedPageBreak/>
        <w:t>lugar al equívoco de que dichas normas son contrarias a los artículos 13, 42 y 44 constitucionales</w:t>
      </w:r>
      <w:r w:rsidR="007B272D" w:rsidRPr="00CF2F00">
        <w:rPr>
          <w:rFonts w:ascii="Arial" w:hAnsi="Arial" w:cs="Arial"/>
          <w:sz w:val="24"/>
          <w:szCs w:val="24"/>
        </w:rPr>
        <w:t>”</w:t>
      </w:r>
      <w:r w:rsidR="007B272D" w:rsidRPr="00CF2F00">
        <w:rPr>
          <w:rStyle w:val="Refdenotaalpie"/>
          <w:rFonts w:ascii="Arial" w:hAnsi="Arial" w:cs="Arial"/>
          <w:sz w:val="24"/>
          <w:szCs w:val="24"/>
        </w:rPr>
        <w:footnoteReference w:id="10"/>
      </w:r>
      <w:r w:rsidR="007B272D" w:rsidRPr="00CF2F00">
        <w:rPr>
          <w:rFonts w:ascii="Arial" w:hAnsi="Arial" w:cs="Arial"/>
          <w:sz w:val="24"/>
          <w:szCs w:val="24"/>
        </w:rPr>
        <w:t>.</w:t>
      </w:r>
    </w:p>
    <w:p w14:paraId="713F65D2" w14:textId="77777777" w:rsidR="003834B0" w:rsidRPr="00CF2F00" w:rsidRDefault="003834B0" w:rsidP="00E36187">
      <w:pPr>
        <w:spacing w:after="0" w:line="360" w:lineRule="auto"/>
        <w:jc w:val="both"/>
        <w:rPr>
          <w:rFonts w:ascii="Arial" w:hAnsi="Arial" w:cs="Arial"/>
          <w:sz w:val="24"/>
          <w:szCs w:val="24"/>
        </w:rPr>
      </w:pPr>
    </w:p>
    <w:p w14:paraId="28320A53" w14:textId="77777777" w:rsidR="003834B0" w:rsidRPr="00CF2F00" w:rsidRDefault="00510943" w:rsidP="00E36187">
      <w:pPr>
        <w:spacing w:after="0" w:line="360" w:lineRule="auto"/>
        <w:jc w:val="both"/>
        <w:rPr>
          <w:rFonts w:ascii="Arial" w:hAnsi="Arial" w:cs="Arial"/>
          <w:b/>
          <w:sz w:val="24"/>
          <w:szCs w:val="24"/>
        </w:rPr>
      </w:pPr>
      <w:r w:rsidRPr="00CF2F00">
        <w:rPr>
          <w:rFonts w:ascii="Arial" w:hAnsi="Arial" w:cs="Arial"/>
          <w:b/>
          <w:sz w:val="24"/>
          <w:szCs w:val="24"/>
        </w:rPr>
        <w:t>1.3</w:t>
      </w:r>
      <w:r w:rsidR="003834B0" w:rsidRPr="00CF2F00">
        <w:rPr>
          <w:rFonts w:ascii="Arial" w:hAnsi="Arial" w:cs="Arial"/>
          <w:b/>
          <w:sz w:val="24"/>
          <w:szCs w:val="24"/>
        </w:rPr>
        <w:t>.- Pretensiones</w:t>
      </w:r>
    </w:p>
    <w:p w14:paraId="22C2CE52" w14:textId="77777777" w:rsidR="003834B0" w:rsidRPr="00CF2F00" w:rsidRDefault="003834B0" w:rsidP="00E36187">
      <w:pPr>
        <w:spacing w:after="0" w:line="360" w:lineRule="auto"/>
        <w:jc w:val="both"/>
        <w:rPr>
          <w:rFonts w:ascii="Arial" w:hAnsi="Arial" w:cs="Arial"/>
          <w:b/>
          <w:sz w:val="24"/>
          <w:szCs w:val="24"/>
        </w:rPr>
      </w:pPr>
    </w:p>
    <w:p w14:paraId="2671F429" w14:textId="75BB29EA" w:rsidR="003834B0" w:rsidRPr="00CF2F00" w:rsidRDefault="003834B0" w:rsidP="00E36187">
      <w:pPr>
        <w:spacing w:after="0" w:line="360" w:lineRule="auto"/>
        <w:jc w:val="both"/>
        <w:rPr>
          <w:rFonts w:ascii="Arial" w:hAnsi="Arial" w:cs="Arial"/>
          <w:iCs/>
          <w:sz w:val="24"/>
          <w:szCs w:val="24"/>
        </w:rPr>
      </w:pPr>
      <w:r w:rsidRPr="00CF2F00">
        <w:rPr>
          <w:rFonts w:ascii="Arial" w:hAnsi="Arial" w:cs="Arial"/>
          <w:sz w:val="24"/>
          <w:szCs w:val="24"/>
        </w:rPr>
        <w:t>El accionante solicitó el amparo de sus derechos fundamentales y en consecuencia</w:t>
      </w:r>
      <w:r w:rsidR="00ED21A3" w:rsidRPr="00CF2F00">
        <w:rPr>
          <w:rFonts w:ascii="Arial" w:hAnsi="Arial" w:cs="Arial"/>
          <w:sz w:val="24"/>
          <w:szCs w:val="24"/>
        </w:rPr>
        <w:t>,</w:t>
      </w:r>
      <w:r w:rsidRPr="00CF2F00">
        <w:rPr>
          <w:rFonts w:ascii="Arial" w:hAnsi="Arial" w:cs="Arial"/>
          <w:sz w:val="24"/>
          <w:szCs w:val="24"/>
        </w:rPr>
        <w:t xml:space="preserve"> que se ordene a la Subsección A de la Sección Segunda del Tribunal Administrativo de Cundinamarca proferir un nuevo fallo </w:t>
      </w:r>
      <w:r w:rsidRPr="00CF2F00">
        <w:rPr>
          <w:rFonts w:ascii="Arial" w:hAnsi="Arial" w:cs="Arial"/>
          <w:i/>
          <w:sz w:val="24"/>
          <w:szCs w:val="24"/>
        </w:rPr>
        <w:t>“por medio [del] cual se adopten postulados judiciales de protección de los derechos fundamentales invocados como transgredidos”</w:t>
      </w:r>
      <w:r w:rsidRPr="00CF2F00">
        <w:rPr>
          <w:rStyle w:val="Refdenotaalpie"/>
          <w:rFonts w:ascii="Arial" w:hAnsi="Arial" w:cs="Arial"/>
          <w:iCs/>
          <w:sz w:val="24"/>
          <w:szCs w:val="24"/>
        </w:rPr>
        <w:footnoteReference w:id="11"/>
      </w:r>
      <w:r w:rsidR="00BA59AA" w:rsidRPr="00CF2F00">
        <w:rPr>
          <w:rFonts w:ascii="Arial" w:hAnsi="Arial" w:cs="Arial"/>
          <w:iCs/>
          <w:sz w:val="24"/>
          <w:szCs w:val="24"/>
        </w:rPr>
        <w:t>.</w:t>
      </w:r>
    </w:p>
    <w:p w14:paraId="7CB09099" w14:textId="77777777" w:rsidR="003834B0" w:rsidRPr="00CF2F00" w:rsidRDefault="003834B0" w:rsidP="00E36187">
      <w:pPr>
        <w:spacing w:after="0" w:line="360" w:lineRule="auto"/>
        <w:jc w:val="both"/>
        <w:rPr>
          <w:rFonts w:ascii="Arial" w:hAnsi="Arial" w:cs="Arial"/>
          <w:i/>
          <w:sz w:val="24"/>
          <w:szCs w:val="24"/>
        </w:rPr>
      </w:pPr>
    </w:p>
    <w:p w14:paraId="1CA83745" w14:textId="77777777" w:rsidR="003834B0" w:rsidRPr="00CF2F00" w:rsidRDefault="00510943" w:rsidP="00E36187">
      <w:pPr>
        <w:spacing w:after="0" w:line="360" w:lineRule="auto"/>
        <w:jc w:val="both"/>
        <w:rPr>
          <w:rFonts w:ascii="Arial" w:hAnsi="Arial" w:cs="Arial"/>
          <w:b/>
          <w:sz w:val="24"/>
          <w:szCs w:val="24"/>
        </w:rPr>
      </w:pPr>
      <w:r w:rsidRPr="00CF2F00">
        <w:rPr>
          <w:rFonts w:ascii="Arial" w:hAnsi="Arial" w:cs="Arial"/>
          <w:b/>
          <w:sz w:val="24"/>
          <w:szCs w:val="24"/>
        </w:rPr>
        <w:t>2</w:t>
      </w:r>
      <w:r w:rsidR="003834B0" w:rsidRPr="00CF2F00">
        <w:rPr>
          <w:rFonts w:ascii="Arial" w:hAnsi="Arial" w:cs="Arial"/>
          <w:b/>
          <w:sz w:val="24"/>
          <w:szCs w:val="24"/>
        </w:rPr>
        <w:t xml:space="preserve">.- Trámite de la acción de tutela y fundamento de la oposición </w:t>
      </w:r>
    </w:p>
    <w:p w14:paraId="7C5D04F0" w14:textId="77777777" w:rsidR="003834B0" w:rsidRPr="00CF2F00" w:rsidRDefault="003834B0" w:rsidP="00E36187">
      <w:pPr>
        <w:spacing w:after="0" w:line="360" w:lineRule="auto"/>
        <w:jc w:val="both"/>
        <w:rPr>
          <w:rFonts w:ascii="Arial" w:hAnsi="Arial" w:cs="Arial"/>
          <w:b/>
          <w:sz w:val="24"/>
          <w:szCs w:val="24"/>
        </w:rPr>
      </w:pPr>
    </w:p>
    <w:p w14:paraId="17937835" w14:textId="2D5F1DD7" w:rsidR="003834B0"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2</w:t>
      </w:r>
      <w:r w:rsidR="003834B0" w:rsidRPr="00CF2F00">
        <w:rPr>
          <w:rFonts w:ascii="Arial" w:hAnsi="Arial" w:cs="Arial"/>
          <w:sz w:val="24"/>
          <w:szCs w:val="24"/>
        </w:rPr>
        <w:t>.1.- Mediante auto del 23 de julio de 2020 el Ponente admitió la acción de tutela</w:t>
      </w:r>
      <w:r w:rsidR="003834B0" w:rsidRPr="00CF2F00">
        <w:rPr>
          <w:rStyle w:val="Refdenotaalpie"/>
          <w:rFonts w:ascii="Arial" w:hAnsi="Arial" w:cs="Arial"/>
          <w:sz w:val="24"/>
          <w:szCs w:val="24"/>
        </w:rPr>
        <w:footnoteReference w:id="12"/>
      </w:r>
      <w:r w:rsidR="003834B0" w:rsidRPr="00CF2F00">
        <w:rPr>
          <w:rFonts w:ascii="Arial" w:hAnsi="Arial" w:cs="Arial"/>
          <w:sz w:val="24"/>
          <w:szCs w:val="24"/>
        </w:rPr>
        <w:t xml:space="preserve"> y ordenó su notificación</w:t>
      </w:r>
      <w:r w:rsidR="003834B0" w:rsidRPr="00CF2F00">
        <w:rPr>
          <w:rStyle w:val="Refdenotaalpie"/>
          <w:rFonts w:ascii="Arial" w:hAnsi="Arial" w:cs="Arial"/>
          <w:sz w:val="24"/>
          <w:szCs w:val="24"/>
        </w:rPr>
        <w:footnoteReference w:id="13"/>
      </w:r>
      <w:r w:rsidR="003834B0" w:rsidRPr="00CF2F00">
        <w:rPr>
          <w:rFonts w:ascii="Arial" w:hAnsi="Arial" w:cs="Arial"/>
          <w:sz w:val="24"/>
          <w:szCs w:val="24"/>
        </w:rPr>
        <w:t xml:space="preserve">. </w:t>
      </w:r>
    </w:p>
    <w:p w14:paraId="0F77370A" w14:textId="77777777" w:rsidR="003834B0" w:rsidRPr="00CF2F00" w:rsidRDefault="003834B0" w:rsidP="00E36187">
      <w:pPr>
        <w:spacing w:after="0" w:line="360" w:lineRule="auto"/>
        <w:jc w:val="both"/>
        <w:rPr>
          <w:rFonts w:ascii="Arial" w:hAnsi="Arial" w:cs="Arial"/>
          <w:sz w:val="24"/>
          <w:szCs w:val="24"/>
        </w:rPr>
      </w:pPr>
    </w:p>
    <w:p w14:paraId="6B872D6F" w14:textId="77777777" w:rsidR="003834B0"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2</w:t>
      </w:r>
      <w:r w:rsidR="003834B0" w:rsidRPr="00CF2F00">
        <w:rPr>
          <w:rFonts w:ascii="Arial" w:hAnsi="Arial" w:cs="Arial"/>
          <w:sz w:val="24"/>
          <w:szCs w:val="24"/>
        </w:rPr>
        <w:t xml:space="preserve">.2.- Con fundamento en su oposición, el Juzgado Veinte </w:t>
      </w:r>
      <w:r w:rsidR="001F443C" w:rsidRPr="00CF2F00">
        <w:rPr>
          <w:rFonts w:ascii="Arial" w:hAnsi="Arial" w:cs="Arial"/>
          <w:sz w:val="24"/>
          <w:szCs w:val="24"/>
        </w:rPr>
        <w:t>Administrativo de Oralidad del Circuito de Bogotá</w:t>
      </w:r>
      <w:r w:rsidR="001F443C" w:rsidRPr="00CF2F00">
        <w:rPr>
          <w:rStyle w:val="Refdenotaalpie"/>
          <w:rFonts w:ascii="Arial" w:hAnsi="Arial" w:cs="Arial"/>
          <w:sz w:val="24"/>
          <w:szCs w:val="24"/>
        </w:rPr>
        <w:footnoteReference w:id="14"/>
      </w:r>
      <w:r w:rsidR="001F443C" w:rsidRPr="00CF2F00">
        <w:rPr>
          <w:rFonts w:ascii="Arial" w:hAnsi="Arial" w:cs="Arial"/>
          <w:sz w:val="24"/>
          <w:szCs w:val="24"/>
        </w:rPr>
        <w:t xml:space="preserve"> manifestó que el asunto carece de relevancia constitucional, pues el accionante se limita a expresar su inconformidad frente a la decisión proferida, por lo que solicita declarar la improcedencia del amparo. </w:t>
      </w:r>
    </w:p>
    <w:p w14:paraId="3BE6DB02" w14:textId="77777777" w:rsidR="003834B0" w:rsidRPr="00CF2F00" w:rsidRDefault="003834B0" w:rsidP="00E36187">
      <w:pPr>
        <w:spacing w:after="0" w:line="360" w:lineRule="auto"/>
        <w:jc w:val="both"/>
        <w:rPr>
          <w:rFonts w:ascii="Arial" w:hAnsi="Arial" w:cs="Arial"/>
          <w:sz w:val="24"/>
          <w:szCs w:val="24"/>
        </w:rPr>
      </w:pPr>
    </w:p>
    <w:p w14:paraId="226CB3EB" w14:textId="350881EB" w:rsidR="003834B0"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2</w:t>
      </w:r>
      <w:r w:rsidR="003834B0" w:rsidRPr="00CF2F00">
        <w:rPr>
          <w:rFonts w:ascii="Arial" w:hAnsi="Arial" w:cs="Arial"/>
          <w:sz w:val="24"/>
          <w:szCs w:val="24"/>
        </w:rPr>
        <w:t>.3.- La Subsección A de la Sección Segunda del Tribunal Administrativo de Cundinamarca</w:t>
      </w:r>
      <w:r w:rsidR="006D3D1A" w:rsidRPr="00CF2F00">
        <w:rPr>
          <w:rStyle w:val="Refdenotaalpie"/>
          <w:rFonts w:ascii="Arial" w:hAnsi="Arial" w:cs="Arial"/>
          <w:sz w:val="24"/>
          <w:szCs w:val="24"/>
        </w:rPr>
        <w:footnoteReference w:id="15"/>
      </w:r>
      <w:r w:rsidR="007119D5" w:rsidRPr="00CF2F00">
        <w:rPr>
          <w:rFonts w:ascii="Arial" w:hAnsi="Arial" w:cs="Arial"/>
          <w:sz w:val="24"/>
          <w:szCs w:val="24"/>
        </w:rPr>
        <w:t xml:space="preserve"> </w:t>
      </w:r>
      <w:r w:rsidR="002A7012" w:rsidRPr="00CF2F00">
        <w:rPr>
          <w:rFonts w:ascii="Arial" w:hAnsi="Arial" w:cs="Arial"/>
          <w:sz w:val="24"/>
          <w:szCs w:val="24"/>
        </w:rPr>
        <w:t>refirió que la decisión adoptada en la providencia de tutela fue expedida con base en los lineamientos jurisprudenciales de esta Corporaci</w:t>
      </w:r>
      <w:r w:rsidR="007119D5" w:rsidRPr="00CF2F00">
        <w:rPr>
          <w:rFonts w:ascii="Arial" w:hAnsi="Arial" w:cs="Arial"/>
          <w:sz w:val="24"/>
          <w:szCs w:val="24"/>
        </w:rPr>
        <w:t xml:space="preserve">ón, por lo que solicita que se niegue el amparo ya que no se acredita la vulneración de los derechos fundamentales invocados por el accionante. </w:t>
      </w:r>
    </w:p>
    <w:p w14:paraId="3F3F1031" w14:textId="77777777" w:rsidR="003834B0" w:rsidRPr="00CF2F00" w:rsidRDefault="003834B0" w:rsidP="00E36187">
      <w:pPr>
        <w:spacing w:after="0" w:line="360" w:lineRule="auto"/>
        <w:jc w:val="both"/>
        <w:rPr>
          <w:rFonts w:ascii="Arial" w:hAnsi="Arial" w:cs="Arial"/>
          <w:sz w:val="24"/>
          <w:szCs w:val="24"/>
        </w:rPr>
      </w:pPr>
    </w:p>
    <w:p w14:paraId="715D0F20" w14:textId="77777777" w:rsidR="003834B0"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lastRenderedPageBreak/>
        <w:t>2</w:t>
      </w:r>
      <w:r w:rsidR="003834B0" w:rsidRPr="00CF2F00">
        <w:rPr>
          <w:rFonts w:ascii="Arial" w:hAnsi="Arial" w:cs="Arial"/>
          <w:sz w:val="24"/>
          <w:szCs w:val="24"/>
        </w:rPr>
        <w:t xml:space="preserve">.4.- </w:t>
      </w:r>
      <w:r w:rsidR="002102FB" w:rsidRPr="00CF2F00">
        <w:rPr>
          <w:rFonts w:ascii="Arial" w:hAnsi="Arial" w:cs="Arial"/>
          <w:sz w:val="24"/>
          <w:szCs w:val="24"/>
        </w:rPr>
        <w:t xml:space="preserve">Por su parte, </w:t>
      </w:r>
      <w:r w:rsidR="003834B0" w:rsidRPr="00CF2F00">
        <w:rPr>
          <w:rFonts w:ascii="Arial" w:hAnsi="Arial" w:cs="Arial"/>
          <w:sz w:val="24"/>
          <w:szCs w:val="24"/>
        </w:rPr>
        <w:t>CASUR</w:t>
      </w:r>
      <w:r w:rsidR="00114DB6" w:rsidRPr="00CF2F00">
        <w:rPr>
          <w:rStyle w:val="Refdenotaalpie"/>
          <w:rFonts w:ascii="Arial" w:hAnsi="Arial" w:cs="Arial"/>
          <w:sz w:val="24"/>
          <w:szCs w:val="24"/>
        </w:rPr>
        <w:footnoteReference w:id="16"/>
      </w:r>
      <w:r w:rsidR="003834B0" w:rsidRPr="00CF2F00">
        <w:rPr>
          <w:rFonts w:ascii="Arial" w:hAnsi="Arial" w:cs="Arial"/>
          <w:sz w:val="24"/>
          <w:szCs w:val="24"/>
        </w:rPr>
        <w:t xml:space="preserve"> </w:t>
      </w:r>
      <w:r w:rsidR="00114DB6" w:rsidRPr="00CF2F00">
        <w:rPr>
          <w:rFonts w:ascii="Arial" w:hAnsi="Arial" w:cs="Arial"/>
          <w:sz w:val="24"/>
          <w:szCs w:val="24"/>
        </w:rPr>
        <w:t xml:space="preserve">puso de presente que la tutela no es el mecanismo idóneo para ejercer control de legalidad sobre las providencias judiciales, además de que la decisión reprochada cumplió con los lineamientos normativos y jurisprudenciales vigentes sobre la materia. </w:t>
      </w:r>
    </w:p>
    <w:p w14:paraId="1A1A2AF9" w14:textId="77777777" w:rsidR="00510943" w:rsidRPr="00CF2F00" w:rsidRDefault="00510943" w:rsidP="00E36187">
      <w:pPr>
        <w:spacing w:after="0" w:line="360" w:lineRule="auto"/>
        <w:jc w:val="both"/>
        <w:rPr>
          <w:rFonts w:ascii="Arial" w:hAnsi="Arial" w:cs="Arial"/>
          <w:sz w:val="24"/>
          <w:szCs w:val="24"/>
        </w:rPr>
      </w:pPr>
    </w:p>
    <w:p w14:paraId="78EF5F1B" w14:textId="479F7B23" w:rsidR="00510943" w:rsidRPr="00CF2F00" w:rsidRDefault="00510943" w:rsidP="00E36187">
      <w:pPr>
        <w:spacing w:after="0" w:line="360" w:lineRule="auto"/>
        <w:jc w:val="center"/>
        <w:rPr>
          <w:rFonts w:ascii="Arial" w:hAnsi="Arial" w:cs="Arial"/>
          <w:b/>
          <w:sz w:val="24"/>
          <w:szCs w:val="24"/>
        </w:rPr>
      </w:pPr>
      <w:r w:rsidRPr="00CF2F00">
        <w:rPr>
          <w:rFonts w:ascii="Arial" w:hAnsi="Arial" w:cs="Arial"/>
          <w:b/>
          <w:sz w:val="24"/>
          <w:szCs w:val="24"/>
        </w:rPr>
        <w:t>II. CONSIDERACIONES</w:t>
      </w:r>
    </w:p>
    <w:p w14:paraId="4C43BEA3" w14:textId="77777777" w:rsidR="00BA59AA" w:rsidRPr="00CF2F00" w:rsidRDefault="00BA59AA" w:rsidP="00E36187">
      <w:pPr>
        <w:spacing w:after="0" w:line="360" w:lineRule="auto"/>
        <w:jc w:val="center"/>
        <w:rPr>
          <w:rFonts w:ascii="Arial" w:hAnsi="Arial" w:cs="Arial"/>
          <w:b/>
          <w:sz w:val="24"/>
          <w:szCs w:val="24"/>
        </w:rPr>
      </w:pPr>
    </w:p>
    <w:p w14:paraId="1220880C" w14:textId="77777777" w:rsidR="00510943" w:rsidRPr="00CF2F00" w:rsidRDefault="00510943" w:rsidP="00E36187">
      <w:pPr>
        <w:spacing w:after="0" w:line="360" w:lineRule="auto"/>
        <w:rPr>
          <w:rFonts w:ascii="Arial" w:hAnsi="Arial" w:cs="Arial"/>
          <w:b/>
          <w:sz w:val="24"/>
          <w:szCs w:val="24"/>
        </w:rPr>
      </w:pPr>
      <w:r w:rsidRPr="00CF2F00">
        <w:rPr>
          <w:rFonts w:ascii="Arial" w:hAnsi="Arial" w:cs="Arial"/>
          <w:b/>
          <w:sz w:val="24"/>
          <w:szCs w:val="24"/>
        </w:rPr>
        <w:t>1.- Competencia</w:t>
      </w:r>
    </w:p>
    <w:p w14:paraId="050FE3F1" w14:textId="77777777" w:rsidR="00510943" w:rsidRPr="00CF2F00" w:rsidRDefault="00510943" w:rsidP="00E36187">
      <w:pPr>
        <w:spacing w:after="0" w:line="360" w:lineRule="auto"/>
        <w:rPr>
          <w:rFonts w:ascii="Arial" w:hAnsi="Arial" w:cs="Arial"/>
          <w:b/>
          <w:sz w:val="24"/>
          <w:szCs w:val="24"/>
        </w:rPr>
      </w:pPr>
    </w:p>
    <w:p w14:paraId="4DA85523" w14:textId="77777777" w:rsidR="00510943" w:rsidRPr="00CF2F00" w:rsidRDefault="00510943" w:rsidP="00E36187">
      <w:pPr>
        <w:spacing w:after="0" w:line="360" w:lineRule="auto"/>
        <w:jc w:val="both"/>
        <w:rPr>
          <w:rFonts w:ascii="Arial" w:eastAsia="Arial" w:hAnsi="Arial" w:cs="Arial"/>
          <w:sz w:val="24"/>
          <w:szCs w:val="24"/>
        </w:rPr>
      </w:pPr>
      <w:r w:rsidRPr="00CF2F00">
        <w:rPr>
          <w:rFonts w:ascii="Arial" w:hAnsi="Arial" w:cs="Arial"/>
          <w:sz w:val="24"/>
          <w:szCs w:val="24"/>
        </w:rPr>
        <w:t xml:space="preserve">Esta Sala es competente para conocer de la acción de tutela interpuesta por Luis Fernando Jaramillo Acosta en contra de la Subsección A de la Sección Segunda del Tribunal Administrativo de Cundinamarca de conformidad </w:t>
      </w:r>
      <w:r w:rsidRPr="00CF2F00">
        <w:rPr>
          <w:rFonts w:ascii="Arial" w:eastAsia="Arial" w:hAnsi="Arial" w:cs="Arial"/>
          <w:sz w:val="24"/>
          <w:szCs w:val="24"/>
        </w:rPr>
        <w:t>con lo establecido en los artículos 86 de la Constitución, 37 del Decreto 2591 de 1991 y 13 del Acuerdo 080 de 2019 de la Sala Plena del Consejo de Estado.</w:t>
      </w:r>
    </w:p>
    <w:p w14:paraId="4DD70F95" w14:textId="77777777" w:rsidR="00510943" w:rsidRPr="00CF2F00" w:rsidRDefault="00510943" w:rsidP="00E36187">
      <w:pPr>
        <w:spacing w:after="0" w:line="360" w:lineRule="auto"/>
        <w:jc w:val="both"/>
        <w:rPr>
          <w:rFonts w:ascii="Arial" w:hAnsi="Arial" w:cs="Arial"/>
          <w:sz w:val="24"/>
          <w:szCs w:val="24"/>
        </w:rPr>
      </w:pPr>
    </w:p>
    <w:p w14:paraId="4E7DA83C" w14:textId="77777777" w:rsidR="00510943" w:rsidRPr="00CF2F00" w:rsidRDefault="00510943" w:rsidP="00E36187">
      <w:pPr>
        <w:spacing w:after="0" w:line="360" w:lineRule="auto"/>
        <w:jc w:val="both"/>
        <w:rPr>
          <w:rFonts w:ascii="Arial" w:hAnsi="Arial" w:cs="Arial"/>
          <w:b/>
          <w:sz w:val="24"/>
          <w:szCs w:val="24"/>
        </w:rPr>
      </w:pPr>
      <w:r w:rsidRPr="00CF2F00">
        <w:rPr>
          <w:rFonts w:ascii="Arial" w:hAnsi="Arial" w:cs="Arial"/>
          <w:b/>
          <w:sz w:val="24"/>
          <w:szCs w:val="24"/>
        </w:rPr>
        <w:t xml:space="preserve">2.- Problema jurídico </w:t>
      </w:r>
    </w:p>
    <w:p w14:paraId="45ABEF39" w14:textId="77777777" w:rsidR="00510943" w:rsidRPr="00CF2F00" w:rsidRDefault="00510943" w:rsidP="00E36187">
      <w:pPr>
        <w:spacing w:after="0" w:line="360" w:lineRule="auto"/>
        <w:jc w:val="both"/>
        <w:rPr>
          <w:rFonts w:ascii="Arial" w:hAnsi="Arial" w:cs="Arial"/>
          <w:b/>
          <w:sz w:val="24"/>
          <w:szCs w:val="24"/>
        </w:rPr>
      </w:pPr>
    </w:p>
    <w:p w14:paraId="700526FC" w14:textId="4EB592BB" w:rsidR="00510943"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 xml:space="preserve">La Sala verificará si la solicitud de amparo cumple con los requisitos generales de procedibilidad en contra de providencias judiciales, específicamente </w:t>
      </w:r>
      <w:r w:rsidR="00BA59AA" w:rsidRPr="00CF2F00">
        <w:rPr>
          <w:rFonts w:ascii="Arial" w:hAnsi="Arial" w:cs="Arial"/>
          <w:sz w:val="24"/>
          <w:szCs w:val="24"/>
        </w:rPr>
        <w:t xml:space="preserve">con </w:t>
      </w:r>
      <w:r w:rsidRPr="00CF2F00">
        <w:rPr>
          <w:rFonts w:ascii="Arial" w:hAnsi="Arial" w:cs="Arial"/>
          <w:sz w:val="24"/>
          <w:szCs w:val="24"/>
        </w:rPr>
        <w:t>el de relevancia constitucional y</w:t>
      </w:r>
      <w:r w:rsidR="00BA59AA" w:rsidRPr="00CF2F00">
        <w:rPr>
          <w:rFonts w:ascii="Arial" w:hAnsi="Arial" w:cs="Arial"/>
          <w:sz w:val="24"/>
          <w:szCs w:val="24"/>
        </w:rPr>
        <w:t>,</w:t>
      </w:r>
      <w:r w:rsidRPr="00CF2F00">
        <w:rPr>
          <w:rFonts w:ascii="Arial" w:hAnsi="Arial" w:cs="Arial"/>
          <w:sz w:val="24"/>
          <w:szCs w:val="24"/>
        </w:rPr>
        <w:t xml:space="preserve"> en caso afirmativo, abordará el estudio de los reproches alegados. </w:t>
      </w:r>
    </w:p>
    <w:p w14:paraId="10B5841E" w14:textId="77777777" w:rsidR="00510943" w:rsidRPr="00CF2F00" w:rsidRDefault="00510943" w:rsidP="00E36187">
      <w:pPr>
        <w:spacing w:after="0" w:line="360" w:lineRule="auto"/>
        <w:jc w:val="both"/>
        <w:rPr>
          <w:rFonts w:ascii="Arial" w:hAnsi="Arial" w:cs="Arial"/>
          <w:b/>
          <w:sz w:val="24"/>
          <w:szCs w:val="24"/>
        </w:rPr>
      </w:pPr>
    </w:p>
    <w:p w14:paraId="1E9A1C09" w14:textId="77777777" w:rsidR="00510943" w:rsidRPr="00CF2F00" w:rsidRDefault="00510943" w:rsidP="00E36187">
      <w:pPr>
        <w:pStyle w:val="Sinespaciado"/>
        <w:spacing w:line="360" w:lineRule="auto"/>
        <w:rPr>
          <w:rFonts w:ascii="Arial" w:hAnsi="Arial" w:cs="Arial"/>
          <w:b/>
          <w:sz w:val="24"/>
          <w:szCs w:val="24"/>
        </w:rPr>
      </w:pPr>
      <w:r w:rsidRPr="00CF2F00">
        <w:rPr>
          <w:rFonts w:ascii="Arial" w:hAnsi="Arial" w:cs="Arial"/>
          <w:b/>
          <w:sz w:val="24"/>
          <w:szCs w:val="24"/>
        </w:rPr>
        <w:t xml:space="preserve">3.- La acción de tutela en contra de providencias judiciales </w:t>
      </w:r>
    </w:p>
    <w:p w14:paraId="19325466" w14:textId="77777777" w:rsidR="00510943" w:rsidRPr="00CF2F00" w:rsidRDefault="00510943" w:rsidP="00E36187">
      <w:pPr>
        <w:pStyle w:val="Sinespaciado"/>
        <w:spacing w:line="360" w:lineRule="auto"/>
        <w:rPr>
          <w:rFonts w:ascii="Arial" w:hAnsi="Arial" w:cs="Arial"/>
          <w:sz w:val="24"/>
          <w:szCs w:val="24"/>
          <w:lang w:eastAsia="es-ES_tradnl"/>
        </w:rPr>
      </w:pPr>
    </w:p>
    <w:p w14:paraId="3ADC7957" w14:textId="543A42C9" w:rsidR="00510943" w:rsidRPr="00CF2F00" w:rsidRDefault="00510943" w:rsidP="00E36187">
      <w:pPr>
        <w:spacing w:after="0" w:line="360" w:lineRule="auto"/>
        <w:jc w:val="both"/>
        <w:rPr>
          <w:rFonts w:ascii="Arial" w:hAnsi="Arial" w:cs="Arial"/>
          <w:sz w:val="24"/>
          <w:szCs w:val="24"/>
        </w:rPr>
      </w:pPr>
      <w:r w:rsidRPr="00CF2F00">
        <w:rPr>
          <w:rFonts w:ascii="Arial" w:hAnsi="Arial" w:cs="Arial"/>
          <w:sz w:val="24"/>
          <w:szCs w:val="24"/>
        </w:rPr>
        <w:t>La Corte Constitucional en sentencia C-590 de 2005</w:t>
      </w:r>
      <w:r w:rsidRPr="00CF2F00">
        <w:rPr>
          <w:rStyle w:val="Refdenotaalpie"/>
          <w:rFonts w:ascii="Arial" w:hAnsi="Arial" w:cs="Arial"/>
          <w:sz w:val="24"/>
          <w:szCs w:val="24"/>
        </w:rPr>
        <w:footnoteReference w:id="17"/>
      </w:r>
      <w:r w:rsidRPr="00CF2F00">
        <w:rPr>
          <w:rFonts w:ascii="Arial" w:hAnsi="Arial" w:cs="Arial"/>
          <w:sz w:val="24"/>
          <w:szCs w:val="24"/>
        </w:rPr>
        <w:t xml:space="preserve"> reconoció que la acción de tutela en contra de providencias judiciales está sujeta al cumplimiento de rigurosos requisitos de procedibilidad</w:t>
      </w:r>
      <w:r w:rsidRPr="00CF2F00">
        <w:rPr>
          <w:rStyle w:val="Refdenotaalpie"/>
          <w:rFonts w:ascii="Arial" w:hAnsi="Arial" w:cs="Arial"/>
          <w:sz w:val="24"/>
          <w:szCs w:val="24"/>
        </w:rPr>
        <w:footnoteReference w:id="18"/>
      </w:r>
      <w:r w:rsidRPr="00CF2F00">
        <w:rPr>
          <w:rFonts w:ascii="Arial" w:hAnsi="Arial" w:cs="Arial"/>
          <w:sz w:val="24"/>
          <w:szCs w:val="24"/>
        </w:rPr>
        <w:t xml:space="preserve"> y de procedencia</w:t>
      </w:r>
      <w:r w:rsidRPr="00CF2F00">
        <w:rPr>
          <w:rStyle w:val="Refdenotaalpie"/>
          <w:rFonts w:ascii="Arial" w:hAnsi="Arial" w:cs="Arial"/>
          <w:sz w:val="24"/>
          <w:szCs w:val="24"/>
        </w:rPr>
        <w:footnoteReference w:id="19"/>
      </w:r>
      <w:r w:rsidRPr="00CF2F00">
        <w:rPr>
          <w:rFonts w:ascii="Arial" w:hAnsi="Arial" w:cs="Arial"/>
          <w:sz w:val="24"/>
          <w:szCs w:val="24"/>
        </w:rPr>
        <w:t>, con el fin de determinar si se vulneraron o no los derechos de orden superior.</w:t>
      </w:r>
    </w:p>
    <w:p w14:paraId="0AEA2A28" w14:textId="77777777" w:rsidR="00510943" w:rsidRPr="00CF2F00" w:rsidRDefault="00510943" w:rsidP="00E36187">
      <w:pPr>
        <w:pStyle w:val="Sinespaciado"/>
        <w:spacing w:line="360" w:lineRule="auto"/>
        <w:jc w:val="both"/>
        <w:rPr>
          <w:rFonts w:ascii="Arial" w:hAnsi="Arial" w:cs="Arial"/>
          <w:sz w:val="24"/>
          <w:szCs w:val="24"/>
        </w:rPr>
      </w:pPr>
      <w:r w:rsidRPr="00CF2F00">
        <w:rPr>
          <w:rFonts w:ascii="Arial" w:hAnsi="Arial" w:cs="Arial"/>
          <w:b/>
          <w:sz w:val="24"/>
          <w:szCs w:val="24"/>
        </w:rPr>
        <w:lastRenderedPageBreak/>
        <w:t>4.- Verificación del cumplimiento del requisito general de relevancia constitucional en el caso concreto</w:t>
      </w:r>
    </w:p>
    <w:p w14:paraId="545FEACA" w14:textId="77777777" w:rsidR="00510943" w:rsidRPr="00CF2F00" w:rsidRDefault="00510943" w:rsidP="00E36187">
      <w:pPr>
        <w:pStyle w:val="Sinespaciado"/>
        <w:spacing w:line="360" w:lineRule="auto"/>
        <w:rPr>
          <w:rFonts w:ascii="Arial" w:hAnsi="Arial" w:cs="Arial"/>
          <w:sz w:val="24"/>
          <w:szCs w:val="24"/>
        </w:rPr>
      </w:pPr>
    </w:p>
    <w:p w14:paraId="7EBF324D" w14:textId="77777777" w:rsidR="00510943" w:rsidRPr="00CF2F00" w:rsidRDefault="00510943" w:rsidP="00E36187">
      <w:pPr>
        <w:pStyle w:val="Sinespaciado"/>
        <w:spacing w:line="360" w:lineRule="auto"/>
        <w:jc w:val="both"/>
        <w:rPr>
          <w:rFonts w:ascii="Arial" w:eastAsia="Verdana" w:hAnsi="Arial" w:cs="Arial"/>
          <w:sz w:val="24"/>
          <w:szCs w:val="24"/>
        </w:rPr>
      </w:pPr>
      <w:r w:rsidRPr="00CF2F00">
        <w:rPr>
          <w:rFonts w:ascii="Arial" w:hAnsi="Arial" w:cs="Arial"/>
          <w:sz w:val="24"/>
          <w:szCs w:val="24"/>
        </w:rPr>
        <w:t>4.1.-</w:t>
      </w:r>
      <w:r w:rsidRPr="00CF2F00">
        <w:rPr>
          <w:rFonts w:ascii="Arial" w:hAnsi="Arial" w:cs="Arial"/>
          <w:b/>
          <w:sz w:val="24"/>
          <w:szCs w:val="24"/>
        </w:rPr>
        <w:t xml:space="preserve"> </w:t>
      </w:r>
      <w:r w:rsidRPr="00CF2F00">
        <w:rPr>
          <w:rFonts w:ascii="Arial" w:hAnsi="Arial" w:cs="Arial"/>
          <w:sz w:val="24"/>
          <w:szCs w:val="24"/>
        </w:rPr>
        <w:t xml:space="preserve">Sobre este requisito la Corte Constitucional ha señalado que el juez de tutela </w:t>
      </w:r>
      <w:r w:rsidRPr="00CF2F00">
        <w:rPr>
          <w:rFonts w:ascii="Arial" w:hAnsi="Arial" w:cs="Arial"/>
          <w:i/>
          <w:sz w:val="24"/>
          <w:szCs w:val="24"/>
        </w:rPr>
        <w:t>“</w:t>
      </w:r>
      <w:r w:rsidRPr="00CF2F00">
        <w:rPr>
          <w:rFonts w:ascii="Arial" w:hAnsi="Arial" w:cs="Arial"/>
          <w:i/>
          <w:sz w:val="24"/>
          <w:szCs w:val="24"/>
          <w:shd w:val="clear" w:color="auto" w:fill="FFFFFF"/>
        </w:rPr>
        <w:t>no puede entrar a estudiar cuestiones que no tienen una clara y marcada importancia constitucional so pena de involucrarse en asuntos que corresponde definir a otras jurisdicciones”</w:t>
      </w:r>
      <w:r w:rsidRPr="00CF2F00">
        <w:rPr>
          <w:rFonts w:ascii="Arial" w:hAnsi="Arial" w:cs="Arial"/>
          <w:sz w:val="24"/>
          <w:szCs w:val="24"/>
          <w:shd w:val="clear" w:color="auto" w:fill="FFFFFF"/>
          <w:vertAlign w:val="superscript"/>
        </w:rPr>
        <w:footnoteReference w:id="20"/>
      </w:r>
      <w:r w:rsidRPr="00CF2F00">
        <w:rPr>
          <w:rFonts w:ascii="Arial" w:eastAsia="Verdana" w:hAnsi="Arial" w:cs="Arial"/>
          <w:sz w:val="24"/>
          <w:szCs w:val="24"/>
        </w:rPr>
        <w:t>.</w:t>
      </w:r>
    </w:p>
    <w:p w14:paraId="07F9BBE5" w14:textId="77777777" w:rsidR="00510943" w:rsidRPr="00CF2F00" w:rsidRDefault="00510943" w:rsidP="00E36187">
      <w:pPr>
        <w:pStyle w:val="Sinespaciado"/>
        <w:spacing w:line="360" w:lineRule="auto"/>
        <w:rPr>
          <w:rFonts w:ascii="Arial" w:hAnsi="Arial" w:cs="Arial"/>
          <w:sz w:val="24"/>
          <w:szCs w:val="24"/>
        </w:rPr>
      </w:pPr>
    </w:p>
    <w:p w14:paraId="12AA06DA" w14:textId="77777777" w:rsidR="00510943" w:rsidRPr="00CF2F00" w:rsidRDefault="00510943" w:rsidP="00E36187">
      <w:pPr>
        <w:pStyle w:val="Sinespaciado"/>
        <w:spacing w:line="360" w:lineRule="auto"/>
        <w:jc w:val="both"/>
        <w:rPr>
          <w:rFonts w:ascii="Arial" w:hAnsi="Arial" w:cs="Arial"/>
          <w:sz w:val="24"/>
          <w:szCs w:val="24"/>
        </w:rPr>
      </w:pPr>
      <w:r w:rsidRPr="00CF2F00">
        <w:rPr>
          <w:rFonts w:ascii="Arial" w:hAnsi="Arial" w:cs="Arial"/>
          <w:sz w:val="24"/>
          <w:szCs w:val="24"/>
        </w:rPr>
        <w:t>En ese sentido, para determinar si una solicitud de amparo tiene o no relevancia constitucional, la Sala Plena de lo Contencioso Administrativo del Consejo de Estado ha considerado necesario examinar dos elementos, a saber</w:t>
      </w:r>
      <w:r w:rsidRPr="00CF2F00">
        <w:rPr>
          <w:rFonts w:ascii="Arial" w:hAnsi="Arial" w:cs="Arial"/>
          <w:sz w:val="24"/>
          <w:szCs w:val="24"/>
          <w:vertAlign w:val="superscript"/>
        </w:rPr>
        <w:footnoteReference w:id="21"/>
      </w:r>
      <w:r w:rsidRPr="00CF2F00">
        <w:rPr>
          <w:rFonts w:ascii="Arial" w:hAnsi="Arial" w:cs="Arial"/>
          <w:sz w:val="24"/>
          <w:szCs w:val="24"/>
        </w:rPr>
        <w:t>: (i)</w:t>
      </w:r>
      <w:r w:rsidRPr="00CF2F00">
        <w:rPr>
          <w:rFonts w:ascii="Arial" w:hAnsi="Arial" w:cs="Arial"/>
          <w:b/>
          <w:sz w:val="24"/>
          <w:szCs w:val="24"/>
        </w:rPr>
        <w:t xml:space="preserve"> </w:t>
      </w:r>
      <w:r w:rsidRPr="00CF2F00">
        <w:rPr>
          <w:rFonts w:ascii="Arial" w:hAnsi="Arial" w:cs="Arial"/>
          <w:sz w:val="24"/>
          <w:szCs w:val="24"/>
        </w:rPr>
        <w:t>que el actor cumpla su carga argumentativa, en donde justifique suficientemente la relevancia constitucional por vulneración de derechos fundamentales, ya que no basta que se aduzca la vulneración de aquellos y (ii)</w:t>
      </w:r>
      <w:r w:rsidRPr="00CF2F00">
        <w:rPr>
          <w:rFonts w:ascii="Arial" w:hAnsi="Arial" w:cs="Arial"/>
          <w:b/>
          <w:sz w:val="24"/>
          <w:szCs w:val="24"/>
        </w:rPr>
        <w:t xml:space="preserve"> </w:t>
      </w:r>
      <w:r w:rsidRPr="00CF2F00">
        <w:rPr>
          <w:rFonts w:ascii="Arial" w:hAnsi="Arial" w:cs="Arial"/>
          <w:sz w:val="24"/>
          <w:szCs w:val="24"/>
        </w:rPr>
        <w:t>que la acción de tutela no se erija en una instancia adicional al proceso ordinario en el cual fue proferida la providencia acusada, puesto que este mecanismo especial constitucional está constituido para proteger derechos fundamentales mas no para discutir la discrepancia que el actor tenga frente a la decisión judicial.</w:t>
      </w:r>
    </w:p>
    <w:p w14:paraId="1FD597B0" w14:textId="77777777" w:rsidR="003D2CFE" w:rsidRPr="00CF2F00" w:rsidRDefault="003D2CFE" w:rsidP="00E36187">
      <w:pPr>
        <w:pStyle w:val="Sinespaciado"/>
        <w:spacing w:line="360" w:lineRule="auto"/>
        <w:jc w:val="both"/>
        <w:rPr>
          <w:rFonts w:ascii="Arial" w:hAnsi="Arial" w:cs="Arial"/>
          <w:sz w:val="24"/>
          <w:szCs w:val="24"/>
        </w:rPr>
      </w:pPr>
    </w:p>
    <w:p w14:paraId="60290125" w14:textId="77777777" w:rsidR="00CA38E9" w:rsidRPr="00CF2F00" w:rsidRDefault="003D2CFE" w:rsidP="00E36187">
      <w:pPr>
        <w:pStyle w:val="Sinespaciado"/>
        <w:spacing w:line="360" w:lineRule="auto"/>
        <w:jc w:val="both"/>
        <w:rPr>
          <w:rFonts w:ascii="Arial" w:hAnsi="Arial" w:cs="Arial"/>
          <w:sz w:val="24"/>
          <w:szCs w:val="24"/>
        </w:rPr>
      </w:pPr>
      <w:r w:rsidRPr="00CF2F00">
        <w:rPr>
          <w:rFonts w:ascii="Arial" w:hAnsi="Arial" w:cs="Arial"/>
          <w:sz w:val="24"/>
          <w:szCs w:val="24"/>
        </w:rPr>
        <w:t>4.2.- La Sala advierte que el amparo impetrado no satisface el requisito de relevancia constitucional, pues pese a que contiene una carga argumentativa suficiente, se apercibe como un medio dirigido a revivir el análisis jurídico efectuado por la Subsección A de la Sección Segunda del Tribunal Administrativo de Cundinamarca dentro del proceso de nulidad y restablecimiento del derecho bajo radicado No. 11001-33-35-020-2018-00520-01</w:t>
      </w:r>
      <w:r w:rsidR="00CA38E9" w:rsidRPr="00CF2F00">
        <w:rPr>
          <w:rFonts w:ascii="Arial" w:hAnsi="Arial" w:cs="Arial"/>
          <w:sz w:val="24"/>
          <w:szCs w:val="24"/>
        </w:rPr>
        <w:t>, para así obtener la reliquidación de su asignación de retiro con la inclusión del subsidio fa</w:t>
      </w:r>
      <w:r w:rsidR="00A71311" w:rsidRPr="00CF2F00">
        <w:rPr>
          <w:rFonts w:ascii="Arial" w:hAnsi="Arial" w:cs="Arial"/>
          <w:sz w:val="24"/>
          <w:szCs w:val="24"/>
        </w:rPr>
        <w:t xml:space="preserve">miliar, como partida computable. </w:t>
      </w:r>
    </w:p>
    <w:p w14:paraId="201DC9DA" w14:textId="77777777" w:rsidR="00C237A1" w:rsidRPr="00CF2F00" w:rsidRDefault="00C237A1" w:rsidP="00E36187">
      <w:pPr>
        <w:spacing w:after="0" w:line="360" w:lineRule="auto"/>
        <w:jc w:val="both"/>
        <w:rPr>
          <w:rFonts w:ascii="Arial" w:hAnsi="Arial" w:cs="Arial"/>
          <w:sz w:val="24"/>
          <w:szCs w:val="24"/>
        </w:rPr>
      </w:pPr>
    </w:p>
    <w:p w14:paraId="31D568C4" w14:textId="076CFA06" w:rsidR="00CA38E9" w:rsidRPr="00CF2F00" w:rsidRDefault="00C237A1" w:rsidP="00E36187">
      <w:pPr>
        <w:spacing w:after="0" w:line="360" w:lineRule="auto"/>
        <w:jc w:val="both"/>
        <w:rPr>
          <w:rFonts w:ascii="Arial" w:hAnsi="Arial" w:cs="Arial"/>
          <w:sz w:val="24"/>
          <w:szCs w:val="24"/>
        </w:rPr>
      </w:pPr>
      <w:r w:rsidRPr="00CF2F00">
        <w:rPr>
          <w:rFonts w:ascii="Arial" w:hAnsi="Arial" w:cs="Arial"/>
          <w:sz w:val="24"/>
          <w:szCs w:val="24"/>
        </w:rPr>
        <w:t>Al respecto, la Sala observa que Luis Fernando Jaramillo Acosta adelantó demanda de nulidad y restablecimiento del derecho en contra del oficio No. E-00003-201814752 CASUR ID: 344877 del 26 de julio de 2018, en virtud de</w:t>
      </w:r>
      <w:r w:rsidR="00BA59AA" w:rsidRPr="00CF2F00">
        <w:rPr>
          <w:rFonts w:ascii="Arial" w:hAnsi="Arial" w:cs="Arial"/>
          <w:sz w:val="24"/>
          <w:szCs w:val="24"/>
        </w:rPr>
        <w:t xml:space="preserve">l cual </w:t>
      </w:r>
      <w:r w:rsidRPr="00CF2F00">
        <w:rPr>
          <w:rFonts w:ascii="Arial" w:hAnsi="Arial" w:cs="Arial"/>
          <w:sz w:val="24"/>
          <w:szCs w:val="24"/>
        </w:rPr>
        <w:t xml:space="preserve">CASUR </w:t>
      </w:r>
      <w:r w:rsidR="00BA59AA" w:rsidRPr="00CF2F00">
        <w:rPr>
          <w:rFonts w:ascii="Arial" w:hAnsi="Arial" w:cs="Arial"/>
          <w:sz w:val="24"/>
          <w:szCs w:val="24"/>
        </w:rPr>
        <w:t xml:space="preserve">le </w:t>
      </w:r>
      <w:r w:rsidRPr="00CF2F00">
        <w:rPr>
          <w:rFonts w:ascii="Arial" w:hAnsi="Arial" w:cs="Arial"/>
          <w:sz w:val="24"/>
          <w:szCs w:val="24"/>
        </w:rPr>
        <w:t xml:space="preserve">negó la reliquidación de la mesada pensional con la inclusión del subsidio familiar. </w:t>
      </w:r>
    </w:p>
    <w:p w14:paraId="6321065C" w14:textId="77777777" w:rsidR="00C237A1" w:rsidRPr="00CF2F00" w:rsidRDefault="00C237A1" w:rsidP="00E36187">
      <w:pPr>
        <w:spacing w:after="0" w:line="360" w:lineRule="auto"/>
        <w:jc w:val="both"/>
        <w:rPr>
          <w:rFonts w:ascii="Arial" w:hAnsi="Arial" w:cs="Arial"/>
          <w:sz w:val="24"/>
          <w:szCs w:val="24"/>
        </w:rPr>
      </w:pPr>
    </w:p>
    <w:p w14:paraId="04FDEB7D" w14:textId="77777777" w:rsidR="00CA38E9" w:rsidRPr="00CF2F00" w:rsidRDefault="007F2789" w:rsidP="00E36187">
      <w:pPr>
        <w:spacing w:after="0" w:line="360" w:lineRule="auto"/>
        <w:jc w:val="both"/>
        <w:rPr>
          <w:rFonts w:ascii="Arial" w:hAnsi="Arial" w:cs="Arial"/>
          <w:sz w:val="24"/>
          <w:szCs w:val="24"/>
        </w:rPr>
      </w:pPr>
      <w:r w:rsidRPr="00CF2F00">
        <w:rPr>
          <w:rFonts w:ascii="Arial" w:hAnsi="Arial" w:cs="Arial"/>
          <w:sz w:val="24"/>
          <w:szCs w:val="24"/>
        </w:rPr>
        <w:lastRenderedPageBreak/>
        <w:t>4.3.- Por su parte,</w:t>
      </w:r>
      <w:r w:rsidR="00CA38E9" w:rsidRPr="00CF2F00">
        <w:rPr>
          <w:rFonts w:ascii="Arial" w:hAnsi="Arial" w:cs="Arial"/>
          <w:sz w:val="24"/>
          <w:szCs w:val="24"/>
        </w:rPr>
        <w:t xml:space="preserve"> el Juzgado Veinte</w:t>
      </w:r>
      <w:r w:rsidR="00740AA0" w:rsidRPr="00CF2F00">
        <w:rPr>
          <w:rFonts w:ascii="Arial" w:hAnsi="Arial" w:cs="Arial"/>
          <w:sz w:val="24"/>
          <w:szCs w:val="24"/>
        </w:rPr>
        <w:t xml:space="preserve"> Administrativo de Oralidad el Circuito de Bogotá, en providencia proferida en la audiencia inicial del 14 de agosto de 2019, neg</w:t>
      </w:r>
      <w:r w:rsidR="00F7509B" w:rsidRPr="00CF2F00">
        <w:rPr>
          <w:rFonts w:ascii="Arial" w:hAnsi="Arial" w:cs="Arial"/>
          <w:sz w:val="24"/>
          <w:szCs w:val="24"/>
        </w:rPr>
        <w:t>ó las pretensiones de inclusión del subsidio familiar como partida computable para la liquidación de la asignación de retiro</w:t>
      </w:r>
      <w:r w:rsidR="00740AA0" w:rsidRPr="00CF2F00">
        <w:rPr>
          <w:rFonts w:ascii="Arial" w:hAnsi="Arial" w:cs="Arial"/>
          <w:sz w:val="24"/>
          <w:szCs w:val="24"/>
        </w:rPr>
        <w:t xml:space="preserve">. Al efecto señaló: </w:t>
      </w:r>
    </w:p>
    <w:p w14:paraId="1C3FDBC0" w14:textId="77777777" w:rsidR="00A71311" w:rsidRPr="00CF2F00" w:rsidRDefault="00A71311" w:rsidP="00E36187">
      <w:pPr>
        <w:spacing w:after="0" w:line="360" w:lineRule="auto"/>
        <w:jc w:val="both"/>
        <w:rPr>
          <w:rFonts w:ascii="Arial" w:hAnsi="Arial" w:cs="Arial"/>
          <w:sz w:val="24"/>
          <w:szCs w:val="24"/>
        </w:rPr>
      </w:pPr>
    </w:p>
    <w:p w14:paraId="58DE1736" w14:textId="77777777" w:rsidR="00082F55" w:rsidRPr="00CF2F00" w:rsidRDefault="00A71311" w:rsidP="00CF2F00">
      <w:pPr>
        <w:spacing w:after="0" w:line="276" w:lineRule="auto"/>
        <w:ind w:left="851" w:right="567"/>
        <w:jc w:val="both"/>
        <w:rPr>
          <w:rFonts w:ascii="Arial" w:hAnsi="Arial" w:cs="Arial"/>
          <w:i/>
          <w:sz w:val="24"/>
          <w:szCs w:val="24"/>
        </w:rPr>
      </w:pPr>
      <w:r w:rsidRPr="00CF2F00">
        <w:rPr>
          <w:rFonts w:ascii="Arial" w:hAnsi="Arial" w:cs="Arial"/>
          <w:i/>
          <w:sz w:val="24"/>
          <w:szCs w:val="24"/>
        </w:rPr>
        <w:t xml:space="preserve">“Ha sido reiterada la jurisprudencia del H. Consejo de Estado que ha señalado que la discriminación alegada por los demandantes no puede analizarse de manera aislada, es decir, realizando una comparación de cada factor percibido, pues ello generaría </w:t>
      </w:r>
      <w:r w:rsidR="00082F55" w:rsidRPr="00CF2F00">
        <w:rPr>
          <w:rFonts w:ascii="Arial" w:hAnsi="Arial" w:cs="Arial"/>
          <w:i/>
          <w:sz w:val="24"/>
          <w:szCs w:val="24"/>
        </w:rPr>
        <w:t>la creación de un tercer régimen compuesto por los elementos más favorables de cada norma en estudio (Decretos 1213 de 1990 y 1091 de 1995).</w:t>
      </w:r>
    </w:p>
    <w:p w14:paraId="5B2D50E0" w14:textId="77777777" w:rsidR="00082F55" w:rsidRPr="00CF2F00" w:rsidRDefault="00082F55" w:rsidP="00CF2F00">
      <w:pPr>
        <w:spacing w:after="0" w:line="276" w:lineRule="auto"/>
        <w:ind w:left="851" w:right="567"/>
        <w:jc w:val="both"/>
        <w:rPr>
          <w:rFonts w:ascii="Arial" w:hAnsi="Arial" w:cs="Arial"/>
          <w:i/>
          <w:sz w:val="24"/>
          <w:szCs w:val="24"/>
        </w:rPr>
      </w:pPr>
    </w:p>
    <w:p w14:paraId="74848E8B" w14:textId="7AC0607D" w:rsidR="00082F55" w:rsidRPr="00CF2F00" w:rsidRDefault="00082F55" w:rsidP="00CF2F00">
      <w:pPr>
        <w:spacing w:after="0" w:line="276" w:lineRule="auto"/>
        <w:ind w:left="851" w:right="567"/>
        <w:jc w:val="both"/>
        <w:rPr>
          <w:rFonts w:ascii="Arial" w:hAnsi="Arial" w:cs="Arial"/>
          <w:i/>
          <w:sz w:val="24"/>
          <w:szCs w:val="24"/>
        </w:rPr>
      </w:pPr>
      <w:r w:rsidRPr="00CF2F00">
        <w:rPr>
          <w:rFonts w:ascii="Arial" w:hAnsi="Arial" w:cs="Arial"/>
          <w:i/>
          <w:sz w:val="24"/>
          <w:szCs w:val="24"/>
        </w:rPr>
        <w:t xml:space="preserve">Por el contrario, en virtud del principio de inescindibilidad, la favorabilidad del Nivel Ejecutivo al que se acogió libremente el interesado debe observarse en su integridad, pues es posible que en la nueva normativa aplicable existan ventajas no estipuladas mientras ostentó la condición de Agente y (sic) Suboficial y que, a su turno, se hayan eliminado otras, situación que incluso en su condición de integrante del Nivel Ejecutivo le permitió mejorar sus condiciones salariales y prestacionales </w:t>
      </w:r>
    </w:p>
    <w:p w14:paraId="1C5D5D4A" w14:textId="77777777" w:rsidR="00082F55" w:rsidRPr="00CF2F00" w:rsidRDefault="00082F55" w:rsidP="00CF2F00">
      <w:pPr>
        <w:spacing w:after="0" w:line="276" w:lineRule="auto"/>
        <w:ind w:left="851" w:right="567"/>
        <w:jc w:val="both"/>
        <w:rPr>
          <w:rFonts w:ascii="Arial" w:hAnsi="Arial" w:cs="Arial"/>
          <w:i/>
          <w:sz w:val="24"/>
          <w:szCs w:val="24"/>
        </w:rPr>
      </w:pPr>
    </w:p>
    <w:p w14:paraId="44D09DD9" w14:textId="77777777" w:rsidR="00082F55" w:rsidRPr="00CF2F00" w:rsidRDefault="00082F55" w:rsidP="00CF2F00">
      <w:pPr>
        <w:spacing w:after="0" w:line="276" w:lineRule="auto"/>
        <w:ind w:left="851" w:right="567"/>
        <w:jc w:val="both"/>
        <w:rPr>
          <w:rFonts w:ascii="Arial" w:hAnsi="Arial" w:cs="Arial"/>
          <w:i/>
          <w:sz w:val="24"/>
          <w:szCs w:val="24"/>
        </w:rPr>
      </w:pPr>
      <w:r w:rsidRPr="00CF2F00">
        <w:rPr>
          <w:rFonts w:ascii="Arial" w:hAnsi="Arial" w:cs="Arial"/>
          <w:i/>
          <w:sz w:val="24"/>
          <w:szCs w:val="24"/>
        </w:rPr>
        <w:t>(…)</w:t>
      </w:r>
    </w:p>
    <w:p w14:paraId="12446FFE" w14:textId="77777777" w:rsidR="00082F55" w:rsidRPr="00CF2F00" w:rsidRDefault="00082F55" w:rsidP="00CF2F00">
      <w:pPr>
        <w:spacing w:after="0" w:line="276" w:lineRule="auto"/>
        <w:ind w:left="851" w:right="567"/>
        <w:jc w:val="both"/>
        <w:rPr>
          <w:rFonts w:ascii="Arial" w:hAnsi="Arial" w:cs="Arial"/>
          <w:i/>
          <w:sz w:val="24"/>
          <w:szCs w:val="24"/>
        </w:rPr>
      </w:pPr>
    </w:p>
    <w:p w14:paraId="668914CD" w14:textId="3026E54B" w:rsidR="00B31E99" w:rsidRPr="00CF2F00" w:rsidRDefault="00082F55" w:rsidP="00CF2F00">
      <w:pPr>
        <w:spacing w:after="0" w:line="276" w:lineRule="auto"/>
        <w:ind w:left="851" w:right="567"/>
        <w:jc w:val="both"/>
        <w:rPr>
          <w:rFonts w:ascii="Arial" w:hAnsi="Arial" w:cs="Arial"/>
          <w:i/>
          <w:sz w:val="24"/>
          <w:szCs w:val="24"/>
        </w:rPr>
      </w:pPr>
      <w:r w:rsidRPr="00CF2F00">
        <w:rPr>
          <w:rFonts w:ascii="Arial" w:hAnsi="Arial" w:cs="Arial"/>
          <w:i/>
          <w:sz w:val="24"/>
          <w:szCs w:val="24"/>
        </w:rPr>
        <w:t>Se reitera que en uso de las facultades extraordinarias, el Presidente de la República reguló a través del Decreto 1091 de 19</w:t>
      </w:r>
      <w:r w:rsidR="00E278E2">
        <w:rPr>
          <w:rFonts w:ascii="Arial" w:hAnsi="Arial" w:cs="Arial"/>
          <w:i/>
          <w:sz w:val="24"/>
          <w:szCs w:val="24"/>
        </w:rPr>
        <w:t>9</w:t>
      </w:r>
      <w:r w:rsidRPr="00CF2F00">
        <w:rPr>
          <w:rFonts w:ascii="Arial" w:hAnsi="Arial" w:cs="Arial"/>
          <w:i/>
          <w:sz w:val="24"/>
          <w:szCs w:val="24"/>
        </w:rPr>
        <w:t xml:space="preserve">5, la asignación salarial, primas, subsidios y demás prestaciones del Nivel Ejecutivo y otorgó la posibilidad a los Agentes y Suboficiales que se encontraban regulados por los Decretos 1212 y 1213 de 1990, acceder de forma voluntaria a esa carrera y de hacerlo debían someterse </w:t>
      </w:r>
      <w:r w:rsidR="00B31E99" w:rsidRPr="00CF2F00">
        <w:rPr>
          <w:rFonts w:ascii="Arial" w:hAnsi="Arial" w:cs="Arial"/>
          <w:i/>
          <w:sz w:val="24"/>
          <w:szCs w:val="24"/>
        </w:rPr>
        <w:t>en su integridad a ese régimen salarial, no siendo posible a través de proceso judicial crear un tercer régimen con lo más beneficioso de uno y otro, máxime cuando el último resulta mas favorable a la luz de las conclusiones a las que ha llegado el Consejo de Estado, en su jurisprudencia.</w:t>
      </w:r>
    </w:p>
    <w:p w14:paraId="33EFD8C9" w14:textId="77777777" w:rsidR="00B31E99" w:rsidRPr="00CF2F00" w:rsidRDefault="00B31E99" w:rsidP="00CF2F00">
      <w:pPr>
        <w:spacing w:after="0" w:line="276" w:lineRule="auto"/>
        <w:ind w:left="851" w:right="567"/>
        <w:jc w:val="both"/>
        <w:rPr>
          <w:rFonts w:ascii="Arial" w:hAnsi="Arial" w:cs="Arial"/>
          <w:i/>
          <w:sz w:val="24"/>
          <w:szCs w:val="24"/>
        </w:rPr>
      </w:pPr>
    </w:p>
    <w:p w14:paraId="135C6878" w14:textId="77777777" w:rsidR="00B31E99" w:rsidRPr="00CF2F00" w:rsidRDefault="00B31E99" w:rsidP="00CF2F00">
      <w:pPr>
        <w:spacing w:after="0" w:line="276" w:lineRule="auto"/>
        <w:ind w:left="851" w:right="567"/>
        <w:jc w:val="both"/>
        <w:rPr>
          <w:rFonts w:ascii="Arial" w:hAnsi="Arial" w:cs="Arial"/>
          <w:i/>
          <w:sz w:val="24"/>
          <w:szCs w:val="24"/>
        </w:rPr>
      </w:pPr>
      <w:r w:rsidRPr="00CF2F00">
        <w:rPr>
          <w:rFonts w:ascii="Arial" w:hAnsi="Arial" w:cs="Arial"/>
          <w:i/>
          <w:sz w:val="24"/>
          <w:szCs w:val="24"/>
        </w:rPr>
        <w:t>(…)</w:t>
      </w:r>
    </w:p>
    <w:p w14:paraId="5B208814" w14:textId="77777777" w:rsidR="00B31E99" w:rsidRPr="00CF2F00" w:rsidRDefault="00B31E99" w:rsidP="00CF2F00">
      <w:pPr>
        <w:spacing w:after="0" w:line="276" w:lineRule="auto"/>
        <w:ind w:left="851" w:right="567"/>
        <w:jc w:val="both"/>
        <w:rPr>
          <w:rFonts w:ascii="Arial" w:hAnsi="Arial" w:cs="Arial"/>
          <w:i/>
          <w:sz w:val="24"/>
          <w:szCs w:val="24"/>
        </w:rPr>
      </w:pPr>
    </w:p>
    <w:p w14:paraId="0A1141DC" w14:textId="4679E36A" w:rsidR="00A71311" w:rsidRPr="00696104" w:rsidRDefault="00B31E99" w:rsidP="00CF2F00">
      <w:pPr>
        <w:spacing w:after="0" w:line="276" w:lineRule="auto"/>
        <w:ind w:left="851" w:right="567"/>
        <w:jc w:val="both"/>
        <w:rPr>
          <w:rFonts w:ascii="Arial" w:hAnsi="Arial" w:cs="Arial"/>
          <w:iCs/>
          <w:sz w:val="24"/>
          <w:szCs w:val="24"/>
        </w:rPr>
      </w:pPr>
      <w:r w:rsidRPr="00CF2F00">
        <w:rPr>
          <w:rFonts w:ascii="Arial" w:hAnsi="Arial" w:cs="Arial"/>
          <w:i/>
          <w:sz w:val="24"/>
          <w:szCs w:val="24"/>
        </w:rPr>
        <w:t xml:space="preserve">[E]n lo concerniente a las partidas computables, [CASUR] debe acatar lo ordenado en el artículo 49 del </w:t>
      </w:r>
      <w:r w:rsidRPr="00E437CE">
        <w:rPr>
          <w:rFonts w:ascii="Arial" w:hAnsi="Arial" w:cs="Arial"/>
          <w:i/>
          <w:sz w:val="24"/>
          <w:szCs w:val="24"/>
        </w:rPr>
        <w:t>Decreto 1091 de 1995</w:t>
      </w:r>
      <w:r w:rsidR="00B556D4" w:rsidRPr="00E437CE">
        <w:rPr>
          <w:rFonts w:ascii="Arial" w:hAnsi="Arial" w:cs="Arial"/>
          <w:i/>
          <w:sz w:val="24"/>
          <w:szCs w:val="24"/>
        </w:rPr>
        <w:t xml:space="preserve"> (…) en</w:t>
      </w:r>
      <w:r w:rsidR="00B556D4" w:rsidRPr="00CF2F00">
        <w:rPr>
          <w:rFonts w:ascii="Arial" w:hAnsi="Arial" w:cs="Arial"/>
          <w:i/>
          <w:sz w:val="24"/>
          <w:szCs w:val="24"/>
        </w:rPr>
        <w:t xml:space="preserve"> el cual no se encuentra previsto el subsidio familiar que ahora se reclama. En tales condiciones, es claro que la entidad liquidó la asignación de retiro del accionante con las partidas que le correspondían al pertenecer al Nivel Ejecutivo de la Policía Nacional</w:t>
      </w:r>
      <w:r w:rsidR="00A71311" w:rsidRPr="00CF2F00">
        <w:rPr>
          <w:rFonts w:ascii="Arial" w:hAnsi="Arial" w:cs="Arial"/>
          <w:i/>
          <w:sz w:val="24"/>
          <w:szCs w:val="24"/>
        </w:rPr>
        <w:t>”</w:t>
      </w:r>
      <w:r w:rsidR="00C27FAF" w:rsidRPr="004414F3">
        <w:rPr>
          <w:rStyle w:val="Refdenotaalpie"/>
          <w:rFonts w:ascii="Arial" w:hAnsi="Arial" w:cs="Arial"/>
          <w:iCs/>
          <w:sz w:val="24"/>
          <w:szCs w:val="24"/>
        </w:rPr>
        <w:footnoteReference w:id="22"/>
      </w:r>
      <w:r w:rsidR="00696104" w:rsidRPr="004414F3">
        <w:rPr>
          <w:rFonts w:ascii="Arial" w:hAnsi="Arial" w:cs="Arial"/>
          <w:iCs/>
          <w:sz w:val="24"/>
          <w:szCs w:val="24"/>
        </w:rPr>
        <w:t>.</w:t>
      </w:r>
    </w:p>
    <w:p w14:paraId="6356BCFA" w14:textId="6C207957" w:rsidR="00CA38E9" w:rsidRPr="00CF2F00" w:rsidRDefault="007F2789" w:rsidP="00E36187">
      <w:pPr>
        <w:spacing w:after="0" w:line="360" w:lineRule="auto"/>
        <w:jc w:val="both"/>
        <w:rPr>
          <w:rFonts w:ascii="Arial" w:hAnsi="Arial" w:cs="Arial"/>
          <w:sz w:val="24"/>
          <w:szCs w:val="24"/>
        </w:rPr>
      </w:pPr>
      <w:r w:rsidRPr="00CF2F00">
        <w:rPr>
          <w:rFonts w:ascii="Arial" w:hAnsi="Arial" w:cs="Arial"/>
          <w:sz w:val="24"/>
          <w:szCs w:val="24"/>
        </w:rPr>
        <w:lastRenderedPageBreak/>
        <w:t xml:space="preserve">4.4.- </w:t>
      </w:r>
      <w:r w:rsidR="00740AA0" w:rsidRPr="00CF2F00">
        <w:rPr>
          <w:rFonts w:ascii="Arial" w:hAnsi="Arial" w:cs="Arial"/>
          <w:sz w:val="24"/>
          <w:szCs w:val="24"/>
        </w:rPr>
        <w:t>Por su parte, l</w:t>
      </w:r>
      <w:r w:rsidR="00CA38E9" w:rsidRPr="00CF2F00">
        <w:rPr>
          <w:rFonts w:ascii="Arial" w:hAnsi="Arial" w:cs="Arial"/>
          <w:sz w:val="24"/>
          <w:szCs w:val="24"/>
        </w:rPr>
        <w:t>a Subsección A de la Sección Segunda del Tribunal Administrativo de Cundinamarca</w:t>
      </w:r>
      <w:r w:rsidR="00740AA0" w:rsidRPr="00CF2F00">
        <w:rPr>
          <w:rFonts w:ascii="Arial" w:hAnsi="Arial" w:cs="Arial"/>
          <w:sz w:val="24"/>
          <w:szCs w:val="24"/>
        </w:rPr>
        <w:t xml:space="preserve"> en sentencia del 7 de febrero de 2020, resolvió confirmar la anterior decisión. </w:t>
      </w:r>
      <w:r w:rsidR="00B80CB4">
        <w:rPr>
          <w:rFonts w:ascii="Arial" w:hAnsi="Arial" w:cs="Arial"/>
          <w:sz w:val="24"/>
          <w:szCs w:val="24"/>
        </w:rPr>
        <w:t>S</w:t>
      </w:r>
      <w:r w:rsidR="00740AA0" w:rsidRPr="00CF2F00">
        <w:rPr>
          <w:rFonts w:ascii="Arial" w:hAnsi="Arial" w:cs="Arial"/>
          <w:sz w:val="24"/>
          <w:szCs w:val="24"/>
        </w:rPr>
        <w:t xml:space="preserve">eñaló: </w:t>
      </w:r>
    </w:p>
    <w:p w14:paraId="119CBB29" w14:textId="77777777" w:rsidR="00740AA0" w:rsidRPr="00CF2F00" w:rsidRDefault="00740AA0" w:rsidP="00E36187">
      <w:pPr>
        <w:spacing w:after="0" w:line="276" w:lineRule="auto"/>
        <w:ind w:left="567" w:right="567"/>
        <w:jc w:val="both"/>
        <w:rPr>
          <w:rFonts w:ascii="Arial" w:hAnsi="Arial" w:cs="Arial"/>
          <w:color w:val="000000" w:themeColor="text1"/>
          <w:sz w:val="24"/>
          <w:szCs w:val="24"/>
        </w:rPr>
      </w:pPr>
    </w:p>
    <w:p w14:paraId="44C4BC6E" w14:textId="4117040F" w:rsidR="007529D7" w:rsidRPr="00CF2F00" w:rsidRDefault="00740AA0" w:rsidP="00CF2F00">
      <w:pPr>
        <w:spacing w:after="0" w:line="276" w:lineRule="auto"/>
        <w:ind w:left="851" w:right="567"/>
        <w:jc w:val="both"/>
        <w:rPr>
          <w:rFonts w:ascii="Arial" w:hAnsi="Arial" w:cs="Arial"/>
          <w:i/>
          <w:color w:val="000000" w:themeColor="text1"/>
          <w:sz w:val="24"/>
          <w:szCs w:val="24"/>
        </w:rPr>
      </w:pPr>
      <w:r w:rsidRPr="00D336E3">
        <w:rPr>
          <w:rFonts w:ascii="Arial" w:hAnsi="Arial" w:cs="Arial"/>
          <w:i/>
          <w:color w:val="000000" w:themeColor="text1"/>
          <w:sz w:val="24"/>
          <w:szCs w:val="24"/>
        </w:rPr>
        <w:t>“</w:t>
      </w:r>
      <w:r w:rsidR="00DB2EF7" w:rsidRPr="00D336E3">
        <w:rPr>
          <w:rFonts w:ascii="Arial" w:hAnsi="Arial" w:cs="Arial"/>
          <w:i/>
          <w:color w:val="000000" w:themeColor="text1"/>
          <w:sz w:val="24"/>
          <w:szCs w:val="24"/>
        </w:rPr>
        <w:t xml:space="preserve">[L]a aplicación del Decreto 1091 de 1995 deviene de la situación legal y reglamentaria de vinculación del demandante al Nivel Ejecutivo de la Policía Nacional, el cual se trata de un régimen diferente al </w:t>
      </w:r>
      <w:r w:rsidR="00D336E3" w:rsidRPr="00D336E3">
        <w:rPr>
          <w:rFonts w:ascii="Arial" w:hAnsi="Arial" w:cs="Arial"/>
          <w:i/>
          <w:color w:val="000000" w:themeColor="text1"/>
          <w:sz w:val="24"/>
          <w:szCs w:val="24"/>
        </w:rPr>
        <w:t xml:space="preserve">de los Oficiales, Suboficiales y Agentes de la Policía Nacional, </w:t>
      </w:r>
      <w:r w:rsidR="00DB2EF7" w:rsidRPr="00D336E3">
        <w:rPr>
          <w:rFonts w:ascii="Arial" w:hAnsi="Arial" w:cs="Arial"/>
          <w:i/>
          <w:color w:val="000000" w:themeColor="text1"/>
          <w:sz w:val="24"/>
          <w:szCs w:val="24"/>
        </w:rPr>
        <w:t>de</w:t>
      </w:r>
      <w:r w:rsidR="00DB2EF7" w:rsidRPr="00CF2F00">
        <w:rPr>
          <w:rFonts w:ascii="Arial" w:hAnsi="Arial" w:cs="Arial"/>
          <w:i/>
          <w:color w:val="000000" w:themeColor="text1"/>
          <w:sz w:val="24"/>
          <w:szCs w:val="24"/>
        </w:rPr>
        <w:t xml:space="preserve"> ahí que no sea plausible extender los beneficios de uno a otro régimen so pretexto de una afectación al derecho a la igualdad, puesto que cada régimen tiene unas características propias e intrínsecas ya sea para su ingreso, ascenso, retiro o remuneración, entre otros. De modo que no es factible confrontar determinado beneficio o prerrogativa de un régimen específico de la Policía Nacional respecto de otro para así sustentar un trato discriminatorio o vulneración </w:t>
      </w:r>
      <w:r w:rsidR="007529D7" w:rsidRPr="00CF2F00">
        <w:rPr>
          <w:rFonts w:ascii="Arial" w:hAnsi="Arial" w:cs="Arial"/>
          <w:i/>
          <w:color w:val="000000" w:themeColor="text1"/>
          <w:sz w:val="24"/>
          <w:szCs w:val="24"/>
        </w:rPr>
        <w:t>del derecho a la igualdad, cuando resulta claro que estos no se pueden valorar, sin consideración alguna, máxime cuando acceder a ese tipo de pretensiones conduciría a crear un tercer régimen que no fue previsto ni por el legislador ni por el ejecutivo.</w:t>
      </w:r>
      <w:r w:rsidR="00DB2EF7" w:rsidRPr="00CF2F00">
        <w:rPr>
          <w:rFonts w:ascii="Arial" w:hAnsi="Arial" w:cs="Arial"/>
          <w:i/>
          <w:color w:val="000000" w:themeColor="text1"/>
          <w:sz w:val="24"/>
          <w:szCs w:val="24"/>
        </w:rPr>
        <w:t xml:space="preserve"> </w:t>
      </w:r>
    </w:p>
    <w:p w14:paraId="4A7DAC11" w14:textId="77777777" w:rsidR="007529D7" w:rsidRPr="00CF2F00" w:rsidRDefault="007529D7" w:rsidP="00CF2F00">
      <w:pPr>
        <w:spacing w:after="0" w:line="276" w:lineRule="auto"/>
        <w:ind w:left="851" w:right="567"/>
        <w:jc w:val="both"/>
        <w:rPr>
          <w:rFonts w:ascii="Arial" w:hAnsi="Arial" w:cs="Arial"/>
          <w:i/>
          <w:color w:val="000000" w:themeColor="text1"/>
          <w:sz w:val="24"/>
          <w:szCs w:val="24"/>
        </w:rPr>
      </w:pPr>
    </w:p>
    <w:p w14:paraId="523ED56D" w14:textId="77777777" w:rsidR="007529D7" w:rsidRPr="00CF2F00" w:rsidRDefault="007529D7" w:rsidP="00CF2F00">
      <w:pPr>
        <w:spacing w:after="0" w:line="276" w:lineRule="auto"/>
        <w:ind w:left="851" w:right="567"/>
        <w:jc w:val="both"/>
        <w:rPr>
          <w:rFonts w:ascii="Arial" w:hAnsi="Arial" w:cs="Arial"/>
          <w:i/>
          <w:color w:val="000000" w:themeColor="text1"/>
          <w:sz w:val="24"/>
          <w:szCs w:val="24"/>
        </w:rPr>
      </w:pPr>
      <w:r w:rsidRPr="00CF2F00">
        <w:rPr>
          <w:rFonts w:ascii="Arial" w:hAnsi="Arial" w:cs="Arial"/>
          <w:i/>
          <w:color w:val="000000" w:themeColor="text1"/>
          <w:sz w:val="24"/>
          <w:szCs w:val="24"/>
        </w:rPr>
        <w:t>(…)</w:t>
      </w:r>
    </w:p>
    <w:p w14:paraId="4F8E9ADA" w14:textId="77777777" w:rsidR="007529D7" w:rsidRPr="00CF2F00" w:rsidRDefault="007529D7" w:rsidP="00CF2F00">
      <w:pPr>
        <w:spacing w:after="0" w:line="276" w:lineRule="auto"/>
        <w:ind w:left="851" w:right="567"/>
        <w:jc w:val="both"/>
        <w:rPr>
          <w:rFonts w:ascii="Arial" w:hAnsi="Arial" w:cs="Arial"/>
          <w:i/>
          <w:color w:val="000000" w:themeColor="text1"/>
          <w:sz w:val="24"/>
          <w:szCs w:val="24"/>
        </w:rPr>
      </w:pPr>
    </w:p>
    <w:p w14:paraId="2CD77862" w14:textId="77777777" w:rsidR="007B71B7" w:rsidRPr="00CF2F00" w:rsidRDefault="0027492E" w:rsidP="00CF2F00">
      <w:pPr>
        <w:spacing w:after="0" w:line="276" w:lineRule="auto"/>
        <w:ind w:left="851" w:right="567"/>
        <w:jc w:val="both"/>
        <w:rPr>
          <w:rFonts w:ascii="Arial" w:hAnsi="Arial" w:cs="Arial"/>
          <w:i/>
          <w:color w:val="000000" w:themeColor="text1"/>
          <w:sz w:val="24"/>
          <w:szCs w:val="24"/>
        </w:rPr>
      </w:pPr>
      <w:r w:rsidRPr="00CF2F00">
        <w:rPr>
          <w:rFonts w:ascii="Arial" w:hAnsi="Arial" w:cs="Arial"/>
          <w:i/>
          <w:color w:val="000000" w:themeColor="text1"/>
          <w:sz w:val="24"/>
          <w:szCs w:val="24"/>
        </w:rPr>
        <w:t>Precisado lo anterior, debe indicarse que el porcentaje correspondiente al emolumento denominado subsidio familiar, se realiza según los parámetros definidos por el Decreto 1091 de 1995, mediante los decretos expedidos anualmente por el Gobierno Nacional, que regulan la materia de manera específica, siendo normas que gozan de presunción de legalidad y su vigencia y aplicación se encuentra incólume por tanto, son de obligatorio cumplimiento.</w:t>
      </w:r>
    </w:p>
    <w:p w14:paraId="6132239D" w14:textId="77777777" w:rsidR="007B71B7" w:rsidRPr="00CF2F00" w:rsidRDefault="007B71B7" w:rsidP="00CF2F00">
      <w:pPr>
        <w:spacing w:after="0" w:line="276" w:lineRule="auto"/>
        <w:ind w:left="851" w:right="567"/>
        <w:jc w:val="both"/>
        <w:rPr>
          <w:rFonts w:ascii="Arial" w:hAnsi="Arial" w:cs="Arial"/>
          <w:i/>
          <w:color w:val="000000" w:themeColor="text1"/>
          <w:sz w:val="24"/>
          <w:szCs w:val="24"/>
        </w:rPr>
      </w:pPr>
    </w:p>
    <w:p w14:paraId="5B8D19F9" w14:textId="77777777" w:rsidR="007B71B7" w:rsidRPr="00CF2F00" w:rsidRDefault="007B71B7" w:rsidP="00CF2F00">
      <w:pPr>
        <w:spacing w:after="0" w:line="276" w:lineRule="auto"/>
        <w:ind w:left="851" w:right="567"/>
        <w:jc w:val="both"/>
        <w:rPr>
          <w:rFonts w:ascii="Arial" w:hAnsi="Arial" w:cs="Arial"/>
          <w:i/>
          <w:color w:val="000000" w:themeColor="text1"/>
          <w:sz w:val="24"/>
          <w:szCs w:val="24"/>
        </w:rPr>
      </w:pPr>
      <w:r w:rsidRPr="00CF2F00">
        <w:rPr>
          <w:rFonts w:ascii="Arial" w:hAnsi="Arial" w:cs="Arial"/>
          <w:i/>
          <w:color w:val="000000" w:themeColor="text1"/>
          <w:sz w:val="24"/>
          <w:szCs w:val="24"/>
        </w:rPr>
        <w:t>(…)</w:t>
      </w:r>
    </w:p>
    <w:p w14:paraId="4F2A3A6D" w14:textId="77777777" w:rsidR="007B71B7" w:rsidRPr="00CF2F00" w:rsidRDefault="007B71B7" w:rsidP="00CF2F00">
      <w:pPr>
        <w:spacing w:after="0" w:line="276" w:lineRule="auto"/>
        <w:ind w:left="851" w:right="567"/>
        <w:jc w:val="both"/>
        <w:rPr>
          <w:rFonts w:ascii="Arial" w:hAnsi="Arial" w:cs="Arial"/>
          <w:i/>
          <w:color w:val="000000" w:themeColor="text1"/>
          <w:sz w:val="24"/>
          <w:szCs w:val="24"/>
        </w:rPr>
      </w:pPr>
    </w:p>
    <w:p w14:paraId="221040B1" w14:textId="183D8F53" w:rsidR="00CA38E9" w:rsidRPr="00CF2F00" w:rsidRDefault="007B71B7" w:rsidP="00CF2F00">
      <w:pPr>
        <w:spacing w:after="0" w:line="276" w:lineRule="auto"/>
        <w:ind w:left="851" w:right="567"/>
        <w:jc w:val="both"/>
        <w:rPr>
          <w:rFonts w:ascii="Arial" w:hAnsi="Arial" w:cs="Arial"/>
          <w:i/>
          <w:color w:val="000000" w:themeColor="text1"/>
          <w:sz w:val="24"/>
          <w:szCs w:val="24"/>
        </w:rPr>
      </w:pPr>
      <w:r w:rsidRPr="00CF2F00">
        <w:rPr>
          <w:rFonts w:ascii="Arial" w:hAnsi="Arial" w:cs="Arial"/>
          <w:i/>
          <w:color w:val="000000" w:themeColor="text1"/>
          <w:sz w:val="24"/>
          <w:szCs w:val="24"/>
        </w:rPr>
        <w:t>[A] juicio de esta Sala para el presente caso, las razones aludidas por el apoderado de la parte demandante no reflejan incompatibilidad constitucional alguna, por lo que no resulta procedente aplicar la excepción de inconstitucionalidad en relación con los Decretos 1091 de 1995, parágrafos de los artículos 15 y 49; 4433 de 2004, parágrafo del artículo 23; y 1858 de 2012, parágrafo del artículo, por cuanto tienen fundamento legal y constitucional y están soportados en el principio de legalidad del gasto público, además no se advierte una incompatibilidad visible e indiscutible con las normas constitucionales señaladas por el demandante (…)</w:t>
      </w:r>
      <w:r w:rsidR="00740AA0" w:rsidRPr="00CF2F00">
        <w:rPr>
          <w:rFonts w:ascii="Arial" w:hAnsi="Arial" w:cs="Arial"/>
          <w:i/>
          <w:color w:val="000000" w:themeColor="text1"/>
          <w:sz w:val="24"/>
          <w:szCs w:val="24"/>
        </w:rPr>
        <w:t>”</w:t>
      </w:r>
      <w:r w:rsidR="004E0AC6" w:rsidRPr="00CF2F00">
        <w:rPr>
          <w:rStyle w:val="Refdenotaalpie"/>
          <w:rFonts w:ascii="Arial" w:hAnsi="Arial" w:cs="Arial"/>
          <w:iCs/>
          <w:color w:val="000000" w:themeColor="text1"/>
          <w:sz w:val="24"/>
          <w:szCs w:val="24"/>
        </w:rPr>
        <w:footnoteReference w:id="23"/>
      </w:r>
      <w:r w:rsidR="00CF2F00" w:rsidRPr="00CF2F00">
        <w:rPr>
          <w:rFonts w:ascii="Arial" w:hAnsi="Arial" w:cs="Arial"/>
          <w:iCs/>
          <w:color w:val="000000" w:themeColor="text1"/>
          <w:sz w:val="24"/>
          <w:szCs w:val="24"/>
        </w:rPr>
        <w:t>.</w:t>
      </w:r>
    </w:p>
    <w:p w14:paraId="648E78A7" w14:textId="77777777" w:rsidR="00CA38E9" w:rsidRPr="00CF2F00" w:rsidRDefault="00CA38E9" w:rsidP="00E36187">
      <w:pPr>
        <w:spacing w:after="0" w:line="360" w:lineRule="auto"/>
        <w:jc w:val="both"/>
        <w:rPr>
          <w:rFonts w:ascii="Arial" w:hAnsi="Arial" w:cs="Arial"/>
          <w:sz w:val="24"/>
          <w:szCs w:val="24"/>
        </w:rPr>
      </w:pPr>
    </w:p>
    <w:p w14:paraId="48B77AE8" w14:textId="31C7D38B" w:rsidR="00CA38E9" w:rsidRPr="00CF2F00" w:rsidRDefault="007F2789" w:rsidP="00E36187">
      <w:pPr>
        <w:spacing w:after="0" w:line="360" w:lineRule="auto"/>
        <w:jc w:val="both"/>
        <w:rPr>
          <w:rFonts w:ascii="Arial" w:hAnsi="Arial" w:cs="Arial"/>
          <w:sz w:val="24"/>
          <w:szCs w:val="24"/>
        </w:rPr>
      </w:pPr>
      <w:r w:rsidRPr="00CF2F00">
        <w:rPr>
          <w:rFonts w:ascii="Arial" w:hAnsi="Arial" w:cs="Arial"/>
          <w:sz w:val="24"/>
          <w:szCs w:val="24"/>
        </w:rPr>
        <w:lastRenderedPageBreak/>
        <w:t xml:space="preserve">4.5.- </w:t>
      </w:r>
      <w:r w:rsidR="00CA38E9" w:rsidRPr="00CF2F00">
        <w:rPr>
          <w:rFonts w:ascii="Arial" w:hAnsi="Arial" w:cs="Arial"/>
          <w:sz w:val="24"/>
          <w:szCs w:val="24"/>
        </w:rPr>
        <w:t>Al efecto, se observa que en sede de tutela, el accionante pretende que se analice nuevamente, la procedencia de la inclusión del subsidio familiar como partida computable al l</w:t>
      </w:r>
      <w:r w:rsidR="00717C12" w:rsidRPr="00CF2F00">
        <w:rPr>
          <w:rFonts w:ascii="Arial" w:hAnsi="Arial" w:cs="Arial"/>
          <w:sz w:val="24"/>
          <w:szCs w:val="24"/>
        </w:rPr>
        <w:t xml:space="preserve">iquidar su asignación de retiro, pues si bien señaló la configuración de dos defectos, lo cierto es que repite los argumentos </w:t>
      </w:r>
      <w:r w:rsidR="00A71311" w:rsidRPr="00CF2F00">
        <w:rPr>
          <w:rFonts w:ascii="Arial" w:hAnsi="Arial" w:cs="Arial"/>
          <w:sz w:val="24"/>
          <w:szCs w:val="24"/>
        </w:rPr>
        <w:t xml:space="preserve">propuestos </w:t>
      </w:r>
      <w:r w:rsidR="00717C12" w:rsidRPr="00CF2F00">
        <w:rPr>
          <w:rFonts w:ascii="Arial" w:hAnsi="Arial" w:cs="Arial"/>
          <w:sz w:val="24"/>
          <w:szCs w:val="24"/>
        </w:rPr>
        <w:t>en sede ordinaria tanto en la demanda</w:t>
      </w:r>
      <w:r w:rsidR="00CF2F00" w:rsidRPr="00CF2F00">
        <w:rPr>
          <w:rFonts w:ascii="Arial" w:hAnsi="Arial" w:cs="Arial"/>
          <w:sz w:val="24"/>
          <w:szCs w:val="24"/>
        </w:rPr>
        <w:t>,</w:t>
      </w:r>
      <w:r w:rsidR="00717C12" w:rsidRPr="00CF2F00">
        <w:rPr>
          <w:rFonts w:ascii="Arial" w:hAnsi="Arial" w:cs="Arial"/>
          <w:sz w:val="24"/>
          <w:szCs w:val="24"/>
        </w:rPr>
        <w:t xml:space="preserve"> como en el recurso de apelación </w:t>
      </w:r>
      <w:r w:rsidR="00A71311" w:rsidRPr="00CF2F00">
        <w:rPr>
          <w:rFonts w:ascii="Arial" w:hAnsi="Arial" w:cs="Arial"/>
          <w:sz w:val="24"/>
          <w:szCs w:val="24"/>
        </w:rPr>
        <w:t xml:space="preserve">incoado en contra de la sentencia de primera instancia. </w:t>
      </w:r>
    </w:p>
    <w:p w14:paraId="41F2E0C3" w14:textId="77777777" w:rsidR="00CA38E9" w:rsidRPr="00CF2F00" w:rsidRDefault="00CA38E9" w:rsidP="00E36187">
      <w:pPr>
        <w:spacing w:after="0" w:line="360" w:lineRule="auto"/>
        <w:jc w:val="both"/>
        <w:rPr>
          <w:rFonts w:ascii="Arial" w:hAnsi="Arial" w:cs="Arial"/>
          <w:sz w:val="24"/>
          <w:szCs w:val="24"/>
        </w:rPr>
      </w:pPr>
    </w:p>
    <w:p w14:paraId="1DA56173" w14:textId="74F1574A" w:rsidR="00CA38E9" w:rsidRPr="00CF2F00" w:rsidRDefault="00CF2F00" w:rsidP="00E36187">
      <w:pPr>
        <w:spacing w:after="0" w:line="360" w:lineRule="auto"/>
        <w:jc w:val="both"/>
        <w:rPr>
          <w:rFonts w:ascii="Arial" w:eastAsia="Verdana" w:hAnsi="Arial" w:cs="Arial"/>
          <w:sz w:val="24"/>
          <w:szCs w:val="24"/>
        </w:rPr>
      </w:pPr>
      <w:r w:rsidRPr="00CF2F00">
        <w:rPr>
          <w:rFonts w:ascii="Arial" w:eastAsia="Verdana" w:hAnsi="Arial" w:cs="Arial"/>
          <w:sz w:val="24"/>
          <w:szCs w:val="24"/>
        </w:rPr>
        <w:t xml:space="preserve">Así, debe </w:t>
      </w:r>
      <w:r w:rsidR="00CA38E9" w:rsidRPr="00CF2F00">
        <w:rPr>
          <w:rFonts w:ascii="Arial" w:eastAsia="Verdana" w:hAnsi="Arial" w:cs="Arial"/>
          <w:sz w:val="24"/>
          <w:szCs w:val="24"/>
        </w:rPr>
        <w:t>recordarse que la procedencia de la acción de tutela</w:t>
      </w:r>
      <w:r w:rsidRPr="00CF2F00">
        <w:rPr>
          <w:rFonts w:ascii="Arial" w:eastAsia="Verdana" w:hAnsi="Arial" w:cs="Arial"/>
          <w:sz w:val="24"/>
          <w:szCs w:val="24"/>
        </w:rPr>
        <w:t xml:space="preserve"> en</w:t>
      </w:r>
      <w:r w:rsidR="00CA38E9" w:rsidRPr="00CF2F00">
        <w:rPr>
          <w:rFonts w:ascii="Arial" w:eastAsia="Verdana" w:hAnsi="Arial" w:cs="Arial"/>
          <w:sz w:val="24"/>
          <w:szCs w:val="24"/>
        </w:rPr>
        <w:t xml:space="preserve"> contra</w:t>
      </w:r>
      <w:r w:rsidRPr="00CF2F00">
        <w:rPr>
          <w:rFonts w:ascii="Arial" w:eastAsia="Verdana" w:hAnsi="Arial" w:cs="Arial"/>
          <w:sz w:val="24"/>
          <w:szCs w:val="24"/>
        </w:rPr>
        <w:t xml:space="preserve"> de</w:t>
      </w:r>
      <w:r w:rsidR="00CA38E9" w:rsidRPr="00CF2F00">
        <w:rPr>
          <w:rFonts w:ascii="Arial" w:eastAsia="Verdana" w:hAnsi="Arial" w:cs="Arial"/>
          <w:sz w:val="24"/>
          <w:szCs w:val="24"/>
        </w:rPr>
        <w:t xml:space="preserve"> providencias judiciales es de carácter excepcional y no pretende desconocer la vigencia de la autonomía e independencia judicial, ni </w:t>
      </w:r>
      <w:r w:rsidR="002E40D3">
        <w:rPr>
          <w:rFonts w:ascii="Arial" w:eastAsia="Verdana" w:hAnsi="Arial" w:cs="Arial"/>
          <w:sz w:val="24"/>
          <w:szCs w:val="24"/>
        </w:rPr>
        <w:t>los</w:t>
      </w:r>
      <w:r w:rsidR="00CA38E9" w:rsidRPr="00CF2F00">
        <w:rPr>
          <w:rFonts w:ascii="Arial" w:eastAsia="Verdana" w:hAnsi="Arial" w:cs="Arial"/>
          <w:sz w:val="24"/>
          <w:szCs w:val="24"/>
        </w:rPr>
        <w:t xml:space="preserve"> principio</w:t>
      </w:r>
      <w:r w:rsidR="002E40D3">
        <w:rPr>
          <w:rFonts w:ascii="Arial" w:eastAsia="Verdana" w:hAnsi="Arial" w:cs="Arial"/>
          <w:sz w:val="24"/>
          <w:szCs w:val="24"/>
        </w:rPr>
        <w:t>s</w:t>
      </w:r>
      <w:r w:rsidR="00CA38E9" w:rsidRPr="00CF2F00">
        <w:rPr>
          <w:rFonts w:ascii="Arial" w:eastAsia="Verdana" w:hAnsi="Arial" w:cs="Arial"/>
          <w:sz w:val="24"/>
          <w:szCs w:val="24"/>
        </w:rPr>
        <w:t xml:space="preserve"> de la cosa juzgada y la seguridad jurídica, en razón</w:t>
      </w:r>
      <w:r w:rsidR="004E0AC6" w:rsidRPr="00CF2F00">
        <w:rPr>
          <w:rFonts w:ascii="Arial" w:eastAsia="Verdana" w:hAnsi="Arial" w:cs="Arial"/>
          <w:sz w:val="24"/>
          <w:szCs w:val="24"/>
        </w:rPr>
        <w:t xml:space="preserve"> a lo cual es concebida como un </w:t>
      </w:r>
      <w:r w:rsidR="00CA38E9" w:rsidRPr="00CF2F00">
        <w:rPr>
          <w:rFonts w:ascii="Arial" w:eastAsia="Verdana" w:hAnsi="Arial" w:cs="Arial"/>
          <w:sz w:val="24"/>
          <w:szCs w:val="24"/>
        </w:rPr>
        <w:t>“</w:t>
      </w:r>
      <w:r w:rsidR="00CA38E9" w:rsidRPr="00CF2F00">
        <w:rPr>
          <w:rFonts w:ascii="Arial" w:eastAsia="Verdana" w:hAnsi="Arial" w:cs="Arial"/>
          <w:i/>
          <w:sz w:val="24"/>
          <w:szCs w:val="24"/>
        </w:rPr>
        <w:t>juicio de validez”</w:t>
      </w:r>
      <w:r w:rsidR="00CA38E9" w:rsidRPr="00CF2F00">
        <w:rPr>
          <w:rFonts w:ascii="Arial" w:eastAsia="Verdana" w:hAnsi="Arial" w:cs="Arial"/>
          <w:sz w:val="24"/>
          <w:szCs w:val="24"/>
        </w:rPr>
        <w:t xml:space="preserve"> y no como un </w:t>
      </w:r>
      <w:r w:rsidR="00CA38E9" w:rsidRPr="00CF2F00">
        <w:rPr>
          <w:rFonts w:ascii="Arial" w:eastAsia="Verdana" w:hAnsi="Arial" w:cs="Arial"/>
          <w:i/>
          <w:sz w:val="24"/>
          <w:szCs w:val="24"/>
        </w:rPr>
        <w:t xml:space="preserve">“juicio de corrección” </w:t>
      </w:r>
      <w:r w:rsidR="00CA38E9" w:rsidRPr="00CF2F00">
        <w:rPr>
          <w:rFonts w:ascii="Arial" w:eastAsia="Verdana" w:hAnsi="Arial" w:cs="Arial"/>
          <w:sz w:val="24"/>
          <w:szCs w:val="24"/>
        </w:rPr>
        <w:t>de la decisión cuestionad</w:t>
      </w:r>
      <w:bookmarkStart w:id="1" w:name="_ftnref30"/>
      <w:r w:rsidR="00CA38E9" w:rsidRPr="00CF2F00">
        <w:rPr>
          <w:rFonts w:ascii="Arial" w:eastAsia="Verdana" w:hAnsi="Arial" w:cs="Arial"/>
          <w:sz w:val="24"/>
          <w:szCs w:val="24"/>
        </w:rPr>
        <w:t>a</w:t>
      </w:r>
      <w:r w:rsidR="00CA38E9" w:rsidRPr="00CF2F00">
        <w:rPr>
          <w:rFonts w:ascii="Arial" w:eastAsia="Verdana" w:hAnsi="Arial" w:cs="Arial"/>
          <w:sz w:val="24"/>
          <w:szCs w:val="24"/>
          <w:vertAlign w:val="superscript"/>
        </w:rPr>
        <w:footnoteReference w:id="24"/>
      </w:r>
      <w:bookmarkEnd w:id="1"/>
      <w:r w:rsidR="00CA38E9" w:rsidRPr="00CF2F00">
        <w:rPr>
          <w:rFonts w:ascii="Arial" w:eastAsia="Verdana" w:hAnsi="Arial" w:cs="Arial"/>
          <w:sz w:val="24"/>
          <w:szCs w:val="24"/>
        </w:rPr>
        <w:t>, lo que se opone a que se use indebidamente como una nueva instancia para la discusión de los asuntos de índole probatoria o de interpretación del derecho, que dieron origen a la controversia</w:t>
      </w:r>
      <w:r w:rsidR="00CA38E9" w:rsidRPr="00CF2F00">
        <w:rPr>
          <w:rStyle w:val="Refdenotaalpie"/>
          <w:rFonts w:ascii="Arial" w:eastAsia="Verdana" w:hAnsi="Arial" w:cs="Arial"/>
          <w:sz w:val="24"/>
          <w:szCs w:val="24"/>
        </w:rPr>
        <w:footnoteReference w:id="25"/>
      </w:r>
      <w:r w:rsidR="00CA38E9" w:rsidRPr="00CF2F00">
        <w:rPr>
          <w:rFonts w:ascii="Arial" w:eastAsia="Verdana" w:hAnsi="Arial" w:cs="Arial"/>
          <w:sz w:val="24"/>
          <w:szCs w:val="24"/>
        </w:rPr>
        <w:t xml:space="preserve">, como ocurre en el presente caso, en donde </w:t>
      </w:r>
      <w:r w:rsidRPr="00CF2F00">
        <w:rPr>
          <w:rFonts w:ascii="Arial" w:eastAsia="Verdana" w:hAnsi="Arial" w:cs="Arial"/>
          <w:sz w:val="24"/>
          <w:szCs w:val="24"/>
        </w:rPr>
        <w:t>el actor</w:t>
      </w:r>
      <w:r w:rsidR="00CA38E9" w:rsidRPr="00CF2F00">
        <w:rPr>
          <w:rFonts w:ascii="Arial" w:eastAsia="Verdana" w:hAnsi="Arial" w:cs="Arial"/>
          <w:sz w:val="24"/>
          <w:szCs w:val="24"/>
        </w:rPr>
        <w:t xml:space="preserve"> se limit</w:t>
      </w:r>
      <w:r w:rsidRPr="00CF2F00">
        <w:rPr>
          <w:rFonts w:ascii="Arial" w:eastAsia="Verdana" w:hAnsi="Arial" w:cs="Arial"/>
          <w:sz w:val="24"/>
          <w:szCs w:val="24"/>
        </w:rPr>
        <w:t>ó</w:t>
      </w:r>
      <w:r w:rsidR="00CA38E9" w:rsidRPr="00CF2F00">
        <w:rPr>
          <w:rFonts w:ascii="Arial" w:eastAsia="Verdana" w:hAnsi="Arial" w:cs="Arial"/>
          <w:sz w:val="24"/>
          <w:szCs w:val="24"/>
        </w:rPr>
        <w:t xml:space="preserve"> a cuestionar los argumentos expuestos en la segunda instancia dentro del proceso de nulidad y </w:t>
      </w:r>
      <w:r w:rsidR="00EC4E9E" w:rsidRPr="00CF2F00">
        <w:rPr>
          <w:rFonts w:ascii="Arial" w:eastAsia="Verdana" w:hAnsi="Arial" w:cs="Arial"/>
          <w:sz w:val="24"/>
          <w:szCs w:val="24"/>
        </w:rPr>
        <w:t>restablecimiento</w:t>
      </w:r>
      <w:r w:rsidR="00CA38E9" w:rsidRPr="00CF2F00">
        <w:rPr>
          <w:rFonts w:ascii="Arial" w:eastAsia="Verdana" w:hAnsi="Arial" w:cs="Arial"/>
          <w:sz w:val="24"/>
          <w:szCs w:val="24"/>
        </w:rPr>
        <w:t xml:space="preserve"> del derecho, con el fin de obtener un fallo favorable a sus pretensiones. </w:t>
      </w:r>
    </w:p>
    <w:p w14:paraId="6C982CA0" w14:textId="77777777" w:rsidR="00CA38E9" w:rsidRPr="00CF2F00" w:rsidRDefault="00CA38E9" w:rsidP="00E36187">
      <w:pPr>
        <w:spacing w:after="0" w:line="360" w:lineRule="auto"/>
        <w:jc w:val="both"/>
        <w:rPr>
          <w:rFonts w:ascii="Arial" w:hAnsi="Arial" w:cs="Arial"/>
          <w:sz w:val="24"/>
          <w:szCs w:val="24"/>
        </w:rPr>
      </w:pPr>
    </w:p>
    <w:p w14:paraId="24F4EAA4" w14:textId="77777777" w:rsidR="00CA38E9" w:rsidRPr="00CF2F00" w:rsidRDefault="00CA38E9" w:rsidP="00E36187">
      <w:pPr>
        <w:spacing w:after="0" w:line="360" w:lineRule="auto"/>
        <w:jc w:val="both"/>
        <w:rPr>
          <w:rFonts w:ascii="Arial" w:hAnsi="Arial" w:cs="Arial"/>
          <w:sz w:val="24"/>
          <w:szCs w:val="24"/>
        </w:rPr>
      </w:pPr>
      <w:r w:rsidRPr="00CF2F00">
        <w:rPr>
          <w:rFonts w:ascii="Arial" w:hAnsi="Arial" w:cs="Arial"/>
          <w:sz w:val="24"/>
          <w:szCs w:val="24"/>
        </w:rPr>
        <w:t>5.- Con fundamento en las consideraciones expuestas, la Sala declarará la improcedencia de la acci</w:t>
      </w:r>
      <w:r w:rsidR="00D246A9" w:rsidRPr="00CF2F00">
        <w:rPr>
          <w:rFonts w:ascii="Arial" w:hAnsi="Arial" w:cs="Arial"/>
          <w:sz w:val="24"/>
          <w:szCs w:val="24"/>
        </w:rPr>
        <w:t xml:space="preserve">ón de tutela presentada por Luis Fernando Jaramillo Acosta en contra de la Subsección A de la Sección Segunda del Tribunal Administrativo de Cundinamarca, por falta de relevancia constitucional. </w:t>
      </w:r>
    </w:p>
    <w:p w14:paraId="62DA5A6F" w14:textId="77777777" w:rsidR="007255EA" w:rsidRPr="00CF2F00" w:rsidRDefault="007255EA" w:rsidP="00E36187">
      <w:pPr>
        <w:spacing w:after="0" w:line="360" w:lineRule="auto"/>
        <w:jc w:val="both"/>
        <w:rPr>
          <w:rFonts w:ascii="Arial" w:hAnsi="Arial" w:cs="Arial"/>
          <w:sz w:val="24"/>
          <w:szCs w:val="24"/>
        </w:rPr>
      </w:pPr>
    </w:p>
    <w:p w14:paraId="6DCC51C0" w14:textId="69AEA92B" w:rsidR="007255EA" w:rsidRPr="00CF2F00" w:rsidRDefault="007255EA" w:rsidP="00E36187">
      <w:pPr>
        <w:pStyle w:val="Sinespaciado"/>
        <w:spacing w:line="360" w:lineRule="auto"/>
        <w:jc w:val="both"/>
        <w:rPr>
          <w:rFonts w:ascii="Arial" w:hAnsi="Arial" w:cs="Arial"/>
          <w:sz w:val="24"/>
          <w:szCs w:val="24"/>
        </w:rPr>
      </w:pPr>
      <w:r w:rsidRPr="00CF2F00">
        <w:rPr>
          <w:rFonts w:ascii="Arial" w:hAnsi="Arial" w:cs="Arial"/>
          <w:sz w:val="24"/>
          <w:szCs w:val="24"/>
        </w:rPr>
        <w:t>En mérito de lo expuesto, la Subsección C de la Sección Tercera de la Sala de lo Contencioso Administrativo del Consejo de Estado, administrando justicia en nombre de la República y por autoridad de la ley,</w:t>
      </w:r>
    </w:p>
    <w:p w14:paraId="52693580" w14:textId="77777777" w:rsidR="007255EA" w:rsidRPr="00CF2F00" w:rsidRDefault="007255EA" w:rsidP="00E36187">
      <w:pPr>
        <w:pStyle w:val="Sinespaciado"/>
        <w:spacing w:line="360" w:lineRule="auto"/>
        <w:jc w:val="both"/>
        <w:rPr>
          <w:rFonts w:ascii="Arial" w:hAnsi="Arial" w:cs="Arial"/>
          <w:sz w:val="24"/>
          <w:szCs w:val="24"/>
        </w:rPr>
      </w:pPr>
    </w:p>
    <w:p w14:paraId="293647FE" w14:textId="77777777" w:rsidR="007255EA" w:rsidRPr="00CF2F00" w:rsidRDefault="007255EA" w:rsidP="00E36187">
      <w:pPr>
        <w:pStyle w:val="Sinespaciado"/>
        <w:spacing w:line="360" w:lineRule="auto"/>
        <w:jc w:val="center"/>
        <w:rPr>
          <w:rFonts w:ascii="Arial" w:hAnsi="Arial" w:cs="Arial"/>
          <w:b/>
          <w:sz w:val="24"/>
          <w:szCs w:val="24"/>
        </w:rPr>
      </w:pPr>
      <w:r w:rsidRPr="00CF2F00">
        <w:rPr>
          <w:rFonts w:ascii="Arial" w:hAnsi="Arial" w:cs="Arial"/>
          <w:b/>
          <w:sz w:val="24"/>
          <w:szCs w:val="24"/>
        </w:rPr>
        <w:t>III. RESUELVE</w:t>
      </w:r>
    </w:p>
    <w:p w14:paraId="2274A29B" w14:textId="77777777" w:rsidR="007255EA" w:rsidRPr="00CF2F00" w:rsidRDefault="007255EA" w:rsidP="00E36187">
      <w:pPr>
        <w:pStyle w:val="Sinespaciado"/>
        <w:spacing w:line="360" w:lineRule="auto"/>
        <w:jc w:val="center"/>
        <w:rPr>
          <w:rFonts w:ascii="Arial" w:hAnsi="Arial" w:cs="Arial"/>
          <w:b/>
          <w:sz w:val="24"/>
          <w:szCs w:val="24"/>
        </w:rPr>
      </w:pPr>
    </w:p>
    <w:p w14:paraId="6F8EEB26" w14:textId="77777777" w:rsidR="007255EA" w:rsidRPr="00CF2F00" w:rsidRDefault="007255EA" w:rsidP="00E36187">
      <w:pPr>
        <w:pStyle w:val="Sinespaciado"/>
        <w:spacing w:line="360" w:lineRule="auto"/>
        <w:jc w:val="both"/>
        <w:rPr>
          <w:rFonts w:ascii="Arial" w:hAnsi="Arial" w:cs="Arial"/>
          <w:sz w:val="24"/>
          <w:szCs w:val="24"/>
        </w:rPr>
      </w:pPr>
      <w:r w:rsidRPr="00CF2F00">
        <w:rPr>
          <w:rFonts w:ascii="Arial" w:hAnsi="Arial" w:cs="Arial"/>
          <w:b/>
          <w:sz w:val="24"/>
          <w:szCs w:val="24"/>
        </w:rPr>
        <w:t xml:space="preserve">PRIMERO: </w:t>
      </w:r>
      <w:r w:rsidRPr="00CF2F00">
        <w:rPr>
          <w:rFonts w:ascii="Arial" w:hAnsi="Arial" w:cs="Arial"/>
          <w:sz w:val="24"/>
          <w:szCs w:val="24"/>
        </w:rPr>
        <w:t xml:space="preserve">Declarar la </w:t>
      </w:r>
      <w:r w:rsidRPr="00CF2F00">
        <w:rPr>
          <w:rFonts w:ascii="Arial" w:hAnsi="Arial" w:cs="Arial"/>
          <w:b/>
          <w:sz w:val="24"/>
          <w:szCs w:val="24"/>
        </w:rPr>
        <w:t xml:space="preserve">IMPROCEDENCIA </w:t>
      </w:r>
      <w:r w:rsidRPr="00CF2F00">
        <w:rPr>
          <w:rFonts w:ascii="Arial" w:hAnsi="Arial" w:cs="Arial"/>
          <w:sz w:val="24"/>
          <w:szCs w:val="24"/>
        </w:rPr>
        <w:t xml:space="preserve">de la acción de tutela presentada por Luis Fernando Jaramillo Acosta, con fundamento en las razones expuestas en la parte motiva de esta providencia. </w:t>
      </w:r>
    </w:p>
    <w:p w14:paraId="58DFFEA6" w14:textId="77777777" w:rsidR="007255EA" w:rsidRPr="00CF2F00" w:rsidRDefault="007255EA" w:rsidP="00E36187">
      <w:pPr>
        <w:pStyle w:val="Sinespaciado"/>
        <w:spacing w:line="360" w:lineRule="auto"/>
        <w:jc w:val="both"/>
        <w:rPr>
          <w:rFonts w:ascii="Arial" w:hAnsi="Arial" w:cs="Arial"/>
          <w:sz w:val="24"/>
          <w:szCs w:val="24"/>
        </w:rPr>
      </w:pPr>
    </w:p>
    <w:p w14:paraId="24390B3C" w14:textId="77777777" w:rsidR="007255EA" w:rsidRPr="00CF2F00" w:rsidRDefault="007255EA" w:rsidP="00E36187">
      <w:pPr>
        <w:pStyle w:val="Sinespaciado"/>
        <w:spacing w:line="360" w:lineRule="auto"/>
        <w:jc w:val="both"/>
        <w:rPr>
          <w:rFonts w:ascii="Arial" w:hAnsi="Arial" w:cs="Arial"/>
          <w:sz w:val="24"/>
          <w:szCs w:val="24"/>
        </w:rPr>
      </w:pPr>
      <w:r w:rsidRPr="00CF2F00">
        <w:rPr>
          <w:rFonts w:ascii="Arial" w:hAnsi="Arial" w:cs="Arial"/>
          <w:b/>
          <w:sz w:val="24"/>
          <w:szCs w:val="24"/>
        </w:rPr>
        <w:lastRenderedPageBreak/>
        <w:t xml:space="preserve">SEGUNDO: NOTIFICAR </w:t>
      </w:r>
      <w:r w:rsidRPr="00CF2F00">
        <w:rPr>
          <w:rFonts w:ascii="Arial" w:hAnsi="Arial" w:cs="Arial"/>
          <w:sz w:val="24"/>
          <w:szCs w:val="24"/>
        </w:rPr>
        <w:t xml:space="preserve">la presente decisión a los interesados por el medio más expedito. </w:t>
      </w:r>
    </w:p>
    <w:p w14:paraId="3B70C9F9" w14:textId="77777777" w:rsidR="007255EA" w:rsidRPr="00CF2F00" w:rsidRDefault="007255EA" w:rsidP="00E36187">
      <w:pPr>
        <w:pStyle w:val="Sinespaciado"/>
        <w:spacing w:line="360" w:lineRule="auto"/>
        <w:jc w:val="both"/>
        <w:rPr>
          <w:rFonts w:ascii="Arial" w:hAnsi="Arial" w:cs="Arial"/>
          <w:sz w:val="24"/>
          <w:szCs w:val="24"/>
        </w:rPr>
      </w:pPr>
    </w:p>
    <w:p w14:paraId="710132BD" w14:textId="77777777" w:rsidR="007255EA" w:rsidRPr="00CF2F00" w:rsidRDefault="007255EA" w:rsidP="00E36187">
      <w:pPr>
        <w:spacing w:after="0" w:line="360" w:lineRule="auto"/>
        <w:contextualSpacing/>
        <w:jc w:val="both"/>
        <w:rPr>
          <w:rFonts w:ascii="Arial" w:eastAsia="Verdana" w:hAnsi="Arial" w:cs="Arial"/>
          <w:sz w:val="24"/>
          <w:szCs w:val="24"/>
          <w:lang w:eastAsia="es-ES_tradnl"/>
        </w:rPr>
      </w:pPr>
      <w:r w:rsidRPr="00CF2F00">
        <w:rPr>
          <w:rFonts w:ascii="Arial" w:hAnsi="Arial" w:cs="Arial"/>
          <w:b/>
          <w:sz w:val="24"/>
          <w:szCs w:val="24"/>
        </w:rPr>
        <w:t xml:space="preserve">TERCERO: PUBLICAR </w:t>
      </w:r>
      <w:r w:rsidRPr="00CF2F00">
        <w:rPr>
          <w:rFonts w:ascii="Arial" w:hAnsi="Arial" w:cs="Arial"/>
          <w:sz w:val="24"/>
          <w:szCs w:val="24"/>
        </w:rPr>
        <w:t>la</w:t>
      </w:r>
      <w:r w:rsidRPr="00CF2F00">
        <w:rPr>
          <w:rFonts w:ascii="Arial" w:eastAsia="Verdana" w:hAnsi="Arial" w:cs="Arial"/>
          <w:sz w:val="24"/>
          <w:szCs w:val="24"/>
          <w:lang w:eastAsia="es-ES_tradnl"/>
        </w:rPr>
        <w:t xml:space="preserve"> presente providencia en la página web de esta Corporación y en las de la Rama Judicial, del ente accionado y de los vinculados. </w:t>
      </w:r>
    </w:p>
    <w:p w14:paraId="56048255" w14:textId="77777777" w:rsidR="007255EA" w:rsidRPr="00CF2F00" w:rsidRDefault="007255EA" w:rsidP="00E36187">
      <w:pPr>
        <w:tabs>
          <w:tab w:val="left" w:pos="709"/>
          <w:tab w:val="left" w:pos="1701"/>
        </w:tabs>
        <w:spacing w:after="0" w:line="360" w:lineRule="auto"/>
        <w:jc w:val="both"/>
        <w:rPr>
          <w:rFonts w:ascii="Arial" w:eastAsia="Arial" w:hAnsi="Arial" w:cs="Arial"/>
          <w:sz w:val="24"/>
          <w:szCs w:val="24"/>
          <w:lang w:eastAsia="es-ES_tradnl"/>
        </w:rPr>
      </w:pPr>
    </w:p>
    <w:p w14:paraId="0608D285" w14:textId="77777777" w:rsidR="007255EA" w:rsidRPr="00CF2F00" w:rsidRDefault="007255EA" w:rsidP="00E36187">
      <w:pPr>
        <w:tabs>
          <w:tab w:val="left" w:pos="709"/>
          <w:tab w:val="left" w:pos="1701"/>
        </w:tabs>
        <w:spacing w:after="0" w:line="360" w:lineRule="auto"/>
        <w:jc w:val="both"/>
        <w:rPr>
          <w:rFonts w:ascii="Arial" w:eastAsia="Arial" w:hAnsi="Arial" w:cs="Arial"/>
          <w:sz w:val="24"/>
          <w:szCs w:val="24"/>
          <w:lang w:eastAsia="es-ES_tradnl"/>
        </w:rPr>
      </w:pPr>
      <w:r w:rsidRPr="00CF2F00">
        <w:rPr>
          <w:rFonts w:ascii="Arial" w:eastAsia="Arial" w:hAnsi="Arial" w:cs="Arial"/>
          <w:b/>
          <w:sz w:val="24"/>
          <w:szCs w:val="24"/>
          <w:lang w:eastAsia="es-ES_tradnl"/>
        </w:rPr>
        <w:t xml:space="preserve">CUARTO: ENVIAR </w:t>
      </w:r>
      <w:r w:rsidRPr="00CF2F00">
        <w:rPr>
          <w:rFonts w:ascii="Arial" w:eastAsia="Arial" w:hAnsi="Arial" w:cs="Arial"/>
          <w:sz w:val="24"/>
          <w:szCs w:val="24"/>
          <w:lang w:eastAsia="es-ES_tradnl"/>
        </w:rPr>
        <w:t xml:space="preserve">a la Corte Constitucional para su eventual revisión, en caso de no ser impugnada en el término.  </w:t>
      </w:r>
    </w:p>
    <w:p w14:paraId="1B80F16A" w14:textId="77777777" w:rsidR="007255EA" w:rsidRPr="00CF2F00" w:rsidRDefault="007255EA" w:rsidP="00E36187">
      <w:pPr>
        <w:tabs>
          <w:tab w:val="left" w:pos="709"/>
          <w:tab w:val="left" w:pos="1701"/>
        </w:tabs>
        <w:spacing w:after="0"/>
        <w:rPr>
          <w:rFonts w:ascii="Arial" w:eastAsia="Arial" w:hAnsi="Arial" w:cs="Arial"/>
          <w:b/>
          <w:sz w:val="24"/>
          <w:szCs w:val="24"/>
          <w:lang w:eastAsia="es-ES_tradnl"/>
        </w:rPr>
      </w:pPr>
    </w:p>
    <w:p w14:paraId="3CBA32B8"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p>
    <w:p w14:paraId="4E38940F"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r w:rsidRPr="00CF2F00">
        <w:rPr>
          <w:rFonts w:ascii="Arial" w:eastAsia="Arial" w:hAnsi="Arial" w:cs="Arial"/>
          <w:b/>
          <w:sz w:val="24"/>
          <w:szCs w:val="24"/>
          <w:lang w:eastAsia="es-ES_tradnl"/>
        </w:rPr>
        <w:t>CÓPIESE, NOTIFÍQUESE Y CÚMPLASE</w:t>
      </w:r>
    </w:p>
    <w:p w14:paraId="6B94EDC5"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p>
    <w:p w14:paraId="4B72951A"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p>
    <w:p w14:paraId="05CEEE13"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p>
    <w:p w14:paraId="6E900A65"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r w:rsidRPr="00CF2F00">
        <w:rPr>
          <w:rFonts w:ascii="Arial" w:eastAsia="Arial" w:hAnsi="Arial" w:cs="Arial"/>
          <w:b/>
          <w:sz w:val="24"/>
          <w:szCs w:val="24"/>
          <w:lang w:eastAsia="es-ES_tradnl"/>
        </w:rPr>
        <w:t xml:space="preserve">GUILLERMO SÁNCHEZ LUQUE </w:t>
      </w:r>
    </w:p>
    <w:p w14:paraId="26EBA713" w14:textId="42BA98F4" w:rsidR="007255EA" w:rsidRDefault="007255EA" w:rsidP="00E36187">
      <w:pPr>
        <w:tabs>
          <w:tab w:val="left" w:pos="709"/>
          <w:tab w:val="left" w:pos="1701"/>
        </w:tabs>
        <w:spacing w:after="0"/>
        <w:jc w:val="center"/>
        <w:rPr>
          <w:rFonts w:ascii="Arial" w:eastAsia="Arial" w:hAnsi="Arial" w:cs="Arial"/>
          <w:b/>
          <w:sz w:val="24"/>
          <w:szCs w:val="24"/>
          <w:lang w:eastAsia="es-ES_tradnl"/>
        </w:rPr>
      </w:pPr>
      <w:r w:rsidRPr="00CF2F00">
        <w:rPr>
          <w:rFonts w:ascii="Arial" w:eastAsia="Arial" w:hAnsi="Arial" w:cs="Arial"/>
          <w:b/>
          <w:sz w:val="24"/>
          <w:szCs w:val="24"/>
          <w:lang w:eastAsia="es-ES_tradnl"/>
        </w:rPr>
        <w:t xml:space="preserve">Presidente de Sala </w:t>
      </w:r>
    </w:p>
    <w:p w14:paraId="0B8AA21C" w14:textId="6079BB00" w:rsidR="003039BF" w:rsidRPr="00CF2F00" w:rsidRDefault="003039BF" w:rsidP="003039BF">
      <w:pPr>
        <w:tabs>
          <w:tab w:val="left" w:pos="709"/>
          <w:tab w:val="left" w:pos="1701"/>
        </w:tabs>
        <w:spacing w:after="0"/>
        <w:jc w:val="center"/>
        <w:rPr>
          <w:rFonts w:ascii="Arial" w:eastAsia="Arial" w:hAnsi="Arial" w:cs="Arial"/>
          <w:b/>
          <w:sz w:val="24"/>
          <w:szCs w:val="24"/>
          <w:lang w:eastAsia="es-ES_tradnl"/>
        </w:rPr>
      </w:pPr>
      <w:r w:rsidRPr="00EC7CF8">
        <w:rPr>
          <w:rFonts w:ascii="Arial" w:eastAsia="BatangChe" w:hAnsi="Arial" w:cs="Arial"/>
          <w:b/>
          <w:sz w:val="24"/>
          <w:szCs w:val="24"/>
        </w:rPr>
        <w:t>Aclaración de voto Cfr.</w:t>
      </w:r>
      <w:r>
        <w:rPr>
          <w:rFonts w:ascii="Arial" w:eastAsia="BatangChe" w:hAnsi="Arial" w:cs="Arial"/>
          <w:b/>
          <w:sz w:val="24"/>
          <w:szCs w:val="24"/>
        </w:rPr>
        <w:t xml:space="preserve"> </w:t>
      </w:r>
      <w:r w:rsidRPr="00EC7CF8">
        <w:rPr>
          <w:rFonts w:ascii="Arial" w:eastAsia="BatangChe" w:hAnsi="Arial" w:cs="Arial"/>
          <w:b/>
          <w:sz w:val="24"/>
          <w:szCs w:val="24"/>
        </w:rPr>
        <w:t>Rad.</w:t>
      </w:r>
      <w:r>
        <w:rPr>
          <w:rFonts w:ascii="Arial" w:eastAsia="BatangChe" w:hAnsi="Arial" w:cs="Arial"/>
          <w:b/>
          <w:sz w:val="24"/>
          <w:szCs w:val="24"/>
        </w:rPr>
        <w:t xml:space="preserve"> 11001-03-15-000-2019-01299-00</w:t>
      </w:r>
    </w:p>
    <w:p w14:paraId="39754A69"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p>
    <w:p w14:paraId="63B4750F"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p>
    <w:p w14:paraId="1CFBB544"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p>
    <w:p w14:paraId="7F65ABFE"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r w:rsidRPr="00CF2F00">
        <w:rPr>
          <w:rFonts w:ascii="Arial" w:eastAsia="Arial" w:hAnsi="Arial" w:cs="Arial"/>
          <w:b/>
          <w:sz w:val="24"/>
          <w:szCs w:val="24"/>
          <w:lang w:eastAsia="es-ES_tradnl"/>
        </w:rPr>
        <w:t xml:space="preserve">JAIME ENRIQUE RODRÍGUEZ NAVAS </w:t>
      </w:r>
    </w:p>
    <w:p w14:paraId="7A843B9C" w14:textId="77777777" w:rsidR="007255EA" w:rsidRPr="00CF2F00" w:rsidRDefault="007255EA" w:rsidP="00E36187">
      <w:pPr>
        <w:spacing w:after="0"/>
        <w:jc w:val="center"/>
        <w:rPr>
          <w:rFonts w:ascii="Arial" w:eastAsia="Arial" w:hAnsi="Arial" w:cs="Arial"/>
          <w:b/>
          <w:sz w:val="24"/>
          <w:szCs w:val="24"/>
          <w:lang w:eastAsia="es-ES_tradnl"/>
        </w:rPr>
      </w:pPr>
      <w:r w:rsidRPr="00CF2F00">
        <w:rPr>
          <w:rFonts w:ascii="Arial" w:eastAsia="Arial" w:hAnsi="Arial" w:cs="Arial"/>
          <w:b/>
          <w:sz w:val="24"/>
          <w:szCs w:val="24"/>
          <w:lang w:eastAsia="es-ES_tradnl"/>
        </w:rPr>
        <w:t>Consejero de Estado</w:t>
      </w:r>
    </w:p>
    <w:p w14:paraId="3DEFD81E" w14:textId="77777777" w:rsidR="007255EA" w:rsidRPr="00CF2F00" w:rsidRDefault="007255EA" w:rsidP="003039BF">
      <w:pPr>
        <w:tabs>
          <w:tab w:val="left" w:pos="709"/>
          <w:tab w:val="left" w:pos="1701"/>
        </w:tabs>
        <w:spacing w:after="0"/>
        <w:jc w:val="center"/>
        <w:rPr>
          <w:rFonts w:ascii="Arial" w:eastAsia="Arial" w:hAnsi="Arial" w:cs="Arial"/>
          <w:b/>
          <w:sz w:val="24"/>
          <w:szCs w:val="24"/>
          <w:lang w:eastAsia="es-ES_tradnl"/>
        </w:rPr>
      </w:pPr>
    </w:p>
    <w:p w14:paraId="3542C7E6" w14:textId="77777777" w:rsidR="007255EA" w:rsidRPr="00CF2F00" w:rsidRDefault="007255EA" w:rsidP="003039BF">
      <w:pPr>
        <w:tabs>
          <w:tab w:val="left" w:pos="709"/>
          <w:tab w:val="left" w:pos="1701"/>
        </w:tabs>
        <w:spacing w:after="0"/>
        <w:jc w:val="center"/>
        <w:rPr>
          <w:rFonts w:ascii="Arial" w:eastAsia="Arial" w:hAnsi="Arial" w:cs="Arial"/>
          <w:b/>
          <w:sz w:val="24"/>
          <w:szCs w:val="24"/>
          <w:lang w:eastAsia="es-ES_tradnl"/>
        </w:rPr>
      </w:pPr>
    </w:p>
    <w:p w14:paraId="5DFB8397" w14:textId="77777777" w:rsidR="007255EA" w:rsidRPr="003039BF" w:rsidRDefault="007255EA" w:rsidP="003039BF">
      <w:pPr>
        <w:tabs>
          <w:tab w:val="left" w:pos="709"/>
          <w:tab w:val="left" w:pos="1701"/>
        </w:tabs>
        <w:spacing w:after="0"/>
        <w:jc w:val="center"/>
        <w:rPr>
          <w:rFonts w:ascii="Arial" w:eastAsia="Arial" w:hAnsi="Arial" w:cs="Arial"/>
          <w:b/>
          <w:sz w:val="24"/>
          <w:szCs w:val="24"/>
          <w:lang w:eastAsia="es-ES_tradnl"/>
        </w:rPr>
      </w:pPr>
    </w:p>
    <w:p w14:paraId="14F42B2C" w14:textId="77777777" w:rsidR="007255EA" w:rsidRPr="00CF2F00" w:rsidRDefault="007255EA" w:rsidP="00E36187">
      <w:pPr>
        <w:tabs>
          <w:tab w:val="left" w:pos="709"/>
          <w:tab w:val="left" w:pos="1701"/>
        </w:tabs>
        <w:spacing w:after="0"/>
        <w:jc w:val="center"/>
        <w:rPr>
          <w:rFonts w:ascii="Arial" w:eastAsia="Arial" w:hAnsi="Arial" w:cs="Arial"/>
          <w:b/>
          <w:sz w:val="24"/>
          <w:szCs w:val="24"/>
          <w:lang w:eastAsia="es-ES_tradnl"/>
        </w:rPr>
      </w:pPr>
      <w:r w:rsidRPr="00CF2F00">
        <w:rPr>
          <w:rFonts w:ascii="Arial" w:eastAsia="Arial" w:hAnsi="Arial" w:cs="Arial"/>
          <w:b/>
          <w:sz w:val="24"/>
          <w:szCs w:val="24"/>
          <w:lang w:eastAsia="es-ES_tradnl"/>
        </w:rPr>
        <w:t xml:space="preserve">NICOLÁS YEPES CORRALES </w:t>
      </w:r>
    </w:p>
    <w:p w14:paraId="7F0CBB96" w14:textId="6BFD1418" w:rsidR="00CF2F00" w:rsidRPr="00B86FAC" w:rsidRDefault="007255EA" w:rsidP="00B86FAC">
      <w:pPr>
        <w:spacing w:after="0"/>
        <w:jc w:val="center"/>
        <w:rPr>
          <w:rFonts w:ascii="Arial" w:eastAsia="Times New Roman" w:hAnsi="Arial" w:cs="Arial"/>
          <w:sz w:val="24"/>
          <w:szCs w:val="24"/>
          <w:lang w:eastAsia="es-ES_tradnl"/>
        </w:rPr>
      </w:pPr>
      <w:r w:rsidRPr="00CF2F00">
        <w:rPr>
          <w:rFonts w:ascii="Arial" w:eastAsia="Arial" w:hAnsi="Arial" w:cs="Arial"/>
          <w:b/>
          <w:sz w:val="24"/>
          <w:szCs w:val="24"/>
          <w:lang w:eastAsia="es-ES_tradnl"/>
        </w:rPr>
        <w:t>Consejero Ponente</w:t>
      </w:r>
    </w:p>
    <w:sectPr w:rsidR="00CF2F00" w:rsidRPr="00B86FAC" w:rsidSect="00810B28">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6269E" w14:textId="77777777" w:rsidR="000B5D5A" w:rsidRDefault="000B5D5A" w:rsidP="00E44FE5">
      <w:pPr>
        <w:spacing w:after="0" w:line="240" w:lineRule="auto"/>
      </w:pPr>
      <w:r>
        <w:separator/>
      </w:r>
    </w:p>
  </w:endnote>
  <w:endnote w:type="continuationSeparator" w:id="0">
    <w:p w14:paraId="7F339FF0" w14:textId="77777777" w:rsidR="000B5D5A" w:rsidRDefault="000B5D5A" w:rsidP="00E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40763" w14:textId="77777777" w:rsidR="000B5D5A" w:rsidRDefault="000B5D5A" w:rsidP="00E44FE5">
      <w:pPr>
        <w:spacing w:after="0" w:line="240" w:lineRule="auto"/>
      </w:pPr>
      <w:r>
        <w:separator/>
      </w:r>
    </w:p>
  </w:footnote>
  <w:footnote w:type="continuationSeparator" w:id="0">
    <w:p w14:paraId="69844824" w14:textId="77777777" w:rsidR="000B5D5A" w:rsidRDefault="000B5D5A" w:rsidP="00E44FE5">
      <w:pPr>
        <w:spacing w:after="0" w:line="240" w:lineRule="auto"/>
      </w:pPr>
      <w:r>
        <w:continuationSeparator/>
      </w:r>
    </w:p>
  </w:footnote>
  <w:footnote w:id="1">
    <w:p w14:paraId="117CD028" w14:textId="77777777" w:rsidR="00AD52C0" w:rsidRPr="007F2789" w:rsidRDefault="00AD52C0" w:rsidP="00A51635">
      <w:pPr>
        <w:pStyle w:val="Textonotapie"/>
        <w:contextualSpacing/>
        <w:jc w:val="both"/>
        <w:rPr>
          <w:rFonts w:ascii="Arial" w:hAnsi="Arial" w:cs="Arial"/>
          <w:color w:val="000000" w:themeColor="text1"/>
          <w:lang w:val="es-CO"/>
        </w:rPr>
      </w:pPr>
      <w:r w:rsidRPr="007F2789">
        <w:rPr>
          <w:rStyle w:val="Refdenotaalpie"/>
          <w:rFonts w:ascii="Arial" w:hAnsi="Arial" w:cs="Arial"/>
          <w:color w:val="000000" w:themeColor="text1"/>
          <w:lang w:val="es-CO"/>
        </w:rPr>
        <w:footnoteRef/>
      </w:r>
      <w:r w:rsidRPr="007F2789">
        <w:rPr>
          <w:rFonts w:ascii="Arial" w:hAnsi="Arial" w:cs="Arial"/>
          <w:color w:val="000000" w:themeColor="text1"/>
          <w:lang w:val="es-CO"/>
        </w:rPr>
        <w:t xml:space="preserve"> </w:t>
      </w:r>
      <w:r w:rsidRPr="007F2789">
        <w:rPr>
          <w:rFonts w:ascii="Arial" w:hAnsi="Arial" w:cs="Arial"/>
          <w:bCs/>
          <w:iCs/>
          <w:color w:val="000000" w:themeColor="text1"/>
          <w:shd w:val="clear" w:color="auto" w:fill="FFFFFF"/>
          <w:lang w:val="es-CO"/>
        </w:rPr>
        <w:t>Por el cual se modifican los artículos 2.2.3.1.2.1, 2.2.3.1.2.4 y 2.2.3.1.2.5 del Decreto 1069 de 2015, Único Reglamentario del sector Justicia y del Derecho, referente a las reglas de reparto de la acción de tutela.</w:t>
      </w:r>
    </w:p>
  </w:footnote>
  <w:footnote w:id="2">
    <w:p w14:paraId="7C4A5842" w14:textId="77777777" w:rsidR="002C0901" w:rsidRPr="007F2789" w:rsidRDefault="002C0901"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Como consta en el correo electrónico que obra en el documento de certificado No. 83ACA8AE5E69928D CDEB2BCF13507C35 283A1542C5538D68 32A920EBE064CEBC, en el expediente de tutela digital. </w:t>
      </w:r>
    </w:p>
  </w:footnote>
  <w:footnote w:id="3">
    <w:p w14:paraId="4B28D1FD" w14:textId="77777777" w:rsidR="00513D08" w:rsidRPr="007F2789" w:rsidRDefault="00513D08"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El poder obra en el documento de certificado No. 302D7D50E19E4ACF B691851E34421110 DDF1F1B0707FFAF1 E2CFFF66683CA1E2, en el expediente de tutela digital. </w:t>
      </w:r>
    </w:p>
  </w:footnote>
  <w:footnote w:id="4">
    <w:p w14:paraId="780CB40B" w14:textId="77777777" w:rsidR="00513D08" w:rsidRPr="007F2789" w:rsidRDefault="00513D08"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El escrito de tutela obra en el documento de certificado No. F1953CAF57911E58 A6EC410427CB2D22 729283E82AEDF4AE 583D2F4840152B74, en el expediente de tutela. </w:t>
      </w:r>
    </w:p>
  </w:footnote>
  <w:footnote w:id="5">
    <w:p w14:paraId="1A6401BC" w14:textId="77777777" w:rsidR="00DD66D5" w:rsidRPr="007F2789" w:rsidRDefault="00DD66D5"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La resolución obra a folios 25-26 del documento de certificado No. 46E920D929C167E9 2FB5F1FF9B9FF4B9 3B7E31F3598C4622 D3FDDDF08425434A, en el expediente de tutela digital. </w:t>
      </w:r>
    </w:p>
  </w:footnote>
  <w:footnote w:id="6">
    <w:p w14:paraId="09A346F7" w14:textId="77777777" w:rsidR="007F2789" w:rsidRPr="007F2789" w:rsidRDefault="007F2789" w:rsidP="007F2789">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La resolución obra a folio 35 del expediente de nulidad y restablecimiento del derecho que obra en el documento de certificado No. DBD4BE06E05E571D 38433B13BCD4A54C C57BBA2EF0DFFA6C 06992F010BFF0095, en el expediente de tutela digital. </w:t>
      </w:r>
    </w:p>
  </w:footnote>
  <w:footnote w:id="7">
    <w:p w14:paraId="57E63803" w14:textId="77777777" w:rsidR="00EE63A8" w:rsidRPr="007F2789" w:rsidRDefault="00EE63A8" w:rsidP="00EE63A8">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Como consta en el folio 24 del expediente de nulidad y restablecimiento del derecho que obra en el documento de certificado No. DBD4BE06E05E571D 38433B13BCD4A54C C57BBA2EF0DFFA6C 06992F010BFF0095, en el expediente de tutela digital. </w:t>
      </w:r>
    </w:p>
  </w:footnote>
  <w:footnote w:id="8">
    <w:p w14:paraId="35FFB377" w14:textId="77777777" w:rsidR="00BE7E0B" w:rsidRPr="007F2789" w:rsidRDefault="00BE7E0B"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Folios 111-119 del expediente de nulidad y restablecimiento del derecho que obra en el documento de certificado No. DBD4BE06E05E571D 38433B13BCD4A54C C57BBA2EF0DFFA6C 06992F010BFF0095, en el expediente de tutela digital. </w:t>
      </w:r>
    </w:p>
  </w:footnote>
  <w:footnote w:id="9">
    <w:p w14:paraId="2D94B70C" w14:textId="77777777" w:rsidR="00DF0448" w:rsidRPr="007F2789" w:rsidRDefault="00DF0448"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La sentencia obra en el documento de certificado No. C0E11C7DF5DBDB00 640B5DF05F88B8A2 540EA1E386BB7695 E321BDDA9D568E24, en el expediente de tutela digital. </w:t>
      </w:r>
    </w:p>
  </w:footnote>
  <w:footnote w:id="10">
    <w:p w14:paraId="3D3F0088" w14:textId="77777777" w:rsidR="007B272D" w:rsidRPr="007F2789" w:rsidRDefault="007B272D" w:rsidP="00AC5B20">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Folio 17</w:t>
      </w:r>
      <w:r w:rsidR="00AC5B20" w:rsidRPr="007F2789">
        <w:rPr>
          <w:rFonts w:ascii="Arial" w:hAnsi="Arial" w:cs="Arial"/>
          <w:lang w:val="es-CO"/>
        </w:rPr>
        <w:t xml:space="preserve"> del escrito de tutela que obra en el documento de certificado No. F1953CAF57911E58 A6EC410427CB2D22 729283E82AEDF4AE 583D2F4840152B74, en el expediente de tutela. </w:t>
      </w:r>
    </w:p>
  </w:footnote>
  <w:footnote w:id="11">
    <w:p w14:paraId="35042B96" w14:textId="77777777" w:rsidR="003834B0" w:rsidRPr="007F2789" w:rsidRDefault="003834B0"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Folio 2 del escrito de tutela que obra en el documento de certificado No. F1953CAF57911E58 A6EC410427CB2D22 729283E82AEDF4AE 583D2F4840152B74, en el expediente de tutela</w:t>
      </w:r>
      <w:r w:rsidR="00EE63A8" w:rsidRPr="007F2789">
        <w:rPr>
          <w:rFonts w:ascii="Arial" w:hAnsi="Arial" w:cs="Arial"/>
          <w:lang w:val="es-CO"/>
        </w:rPr>
        <w:t>.</w:t>
      </w:r>
    </w:p>
  </w:footnote>
  <w:footnote w:id="12">
    <w:p w14:paraId="7C08EC96" w14:textId="77777777" w:rsidR="003834B0" w:rsidRPr="007F2789" w:rsidRDefault="003834B0"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La providencia obra en el documento de certificado 9A61E17A78D05EDB 5D9C13CAF6751B7D C5E5DB7910F263E4 52E65C40997CA3AF, en el expediente de tutela. </w:t>
      </w:r>
    </w:p>
  </w:footnote>
  <w:footnote w:id="13">
    <w:p w14:paraId="7D692130" w14:textId="77777777" w:rsidR="003834B0" w:rsidRPr="007F2789" w:rsidRDefault="003834B0"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Las notificaciones obran en el documento de certificado No. 358EF98B514820DD BF40C01CF3A85F93 50E3D15D39440F4D C07FA52244A85326, en el expediente de tutela digital. </w:t>
      </w:r>
    </w:p>
  </w:footnote>
  <w:footnote w:id="14">
    <w:p w14:paraId="452B2174" w14:textId="77777777" w:rsidR="001F443C" w:rsidRPr="007F2789" w:rsidRDefault="001F443C"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La contestación obra en el documento de certificado No. F30F7AC503F71528 69159479873B1125 217172259ADAEA9D 57D08FC37573E1FD, </w:t>
      </w:r>
      <w:r w:rsidR="007D3EFA" w:rsidRPr="007F2789">
        <w:rPr>
          <w:rFonts w:ascii="Arial" w:hAnsi="Arial" w:cs="Arial"/>
          <w:lang w:val="es-CO"/>
        </w:rPr>
        <w:t xml:space="preserve">en el expediente de tutela digital. </w:t>
      </w:r>
    </w:p>
  </w:footnote>
  <w:footnote w:id="15">
    <w:p w14:paraId="22AF3217" w14:textId="77777777" w:rsidR="006D3D1A" w:rsidRPr="007F2789" w:rsidRDefault="006D3D1A"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La contestación obra en el documento de certificado No. 61B57E708406D251 9AF22CA0109C2AA5 3FDE10D3203DECEC FA3FD44A7EAFDF9E, en el expediente de tutela digital. </w:t>
      </w:r>
    </w:p>
  </w:footnote>
  <w:footnote w:id="16">
    <w:p w14:paraId="362152C1" w14:textId="77777777" w:rsidR="00114DB6" w:rsidRPr="007F2789" w:rsidRDefault="00114DB6"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La contestación obra en el documento de certificado No. 1C02A3227D236932 1E785D13C3BE8E57 1545E4D855FF2552 B289FE3C75E64AF9, en el expediente de tutela digital. </w:t>
      </w:r>
    </w:p>
  </w:footnote>
  <w:footnote w:id="17">
    <w:p w14:paraId="37708B02" w14:textId="77777777" w:rsidR="00510943" w:rsidRPr="007F2789" w:rsidRDefault="00510943" w:rsidP="00A51635">
      <w:pPr>
        <w:pStyle w:val="Textonotapie"/>
        <w:contextualSpacing/>
        <w:jc w:val="both"/>
        <w:rPr>
          <w:rFonts w:ascii="Arial" w:hAnsi="Arial" w:cs="Arial"/>
          <w:lang w:val="es-CO"/>
        </w:rPr>
      </w:pPr>
      <w:r w:rsidRPr="007F2789">
        <w:rPr>
          <w:rStyle w:val="Refdenotaalpie"/>
          <w:rFonts w:ascii="Arial" w:hAnsi="Arial" w:cs="Arial"/>
          <w:lang w:val="es-CO"/>
        </w:rPr>
        <w:footnoteRef/>
      </w:r>
      <w:r w:rsidRPr="007F2789">
        <w:rPr>
          <w:rFonts w:ascii="Arial" w:hAnsi="Arial" w:cs="Arial"/>
          <w:lang w:val="es-CO"/>
        </w:rPr>
        <w:t xml:space="preserve"> Corte Constitucional. Sentencia C-590 de 2005. </w:t>
      </w:r>
    </w:p>
  </w:footnote>
  <w:footnote w:id="18">
    <w:p w14:paraId="73919DD8" w14:textId="6366D512" w:rsidR="00510943" w:rsidRPr="007F2789" w:rsidRDefault="00510943" w:rsidP="00A51635">
      <w:pPr>
        <w:spacing w:after="0" w:line="240" w:lineRule="auto"/>
        <w:contextualSpacing/>
        <w:jc w:val="both"/>
        <w:rPr>
          <w:rFonts w:ascii="Arial" w:hAnsi="Arial" w:cs="Arial"/>
          <w:sz w:val="20"/>
          <w:szCs w:val="20"/>
        </w:rPr>
      </w:pPr>
      <w:r w:rsidRPr="007F2789">
        <w:rPr>
          <w:rStyle w:val="Refdenotaalpie"/>
          <w:rFonts w:ascii="Arial" w:hAnsi="Arial" w:cs="Arial"/>
          <w:sz w:val="20"/>
          <w:szCs w:val="20"/>
        </w:rPr>
        <w:footnoteRef/>
      </w:r>
      <w:r w:rsidRPr="007F2789">
        <w:rPr>
          <w:rFonts w:ascii="Arial" w:hAnsi="Arial" w:cs="Arial"/>
          <w:sz w:val="20"/>
          <w:szCs w:val="20"/>
        </w:rPr>
        <w:t xml:space="preserve"> De acuerdo con la sentencia C-590 de 2005, la tutela </w:t>
      </w:r>
      <w:r w:rsidR="00013DEA">
        <w:rPr>
          <w:rFonts w:ascii="Arial" w:hAnsi="Arial" w:cs="Arial"/>
          <w:sz w:val="20"/>
          <w:szCs w:val="20"/>
        </w:rPr>
        <w:t xml:space="preserve">en </w:t>
      </w:r>
      <w:r w:rsidRPr="007F2789">
        <w:rPr>
          <w:rFonts w:ascii="Arial" w:hAnsi="Arial" w:cs="Arial"/>
          <w:sz w:val="20"/>
          <w:szCs w:val="20"/>
        </w:rPr>
        <w:t xml:space="preserve">contra </w:t>
      </w:r>
      <w:r w:rsidR="00013DEA">
        <w:rPr>
          <w:rFonts w:ascii="Arial" w:hAnsi="Arial" w:cs="Arial"/>
          <w:sz w:val="20"/>
          <w:szCs w:val="20"/>
        </w:rPr>
        <w:t xml:space="preserve">de </w:t>
      </w:r>
      <w:r w:rsidRPr="007F2789">
        <w:rPr>
          <w:rFonts w:ascii="Arial" w:hAnsi="Arial" w:cs="Arial"/>
          <w:sz w:val="20"/>
          <w:szCs w:val="20"/>
        </w:rPr>
        <w:t xml:space="preserve">providencia judicial está sujeta al cumplimiento de los siguientes requisitos generales de procedibilidad: que </w:t>
      </w:r>
      <w:r w:rsidRPr="007F2789">
        <w:rPr>
          <w:rFonts w:ascii="Arial" w:eastAsia="SimSun" w:hAnsi="Arial" w:cs="Arial"/>
          <w:sz w:val="20"/>
          <w:szCs w:val="20"/>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7F2789">
        <w:rPr>
          <w:rFonts w:ascii="Arial" w:eastAsia="MS Mincho" w:hAnsi="Arial" w:cs="Arial"/>
          <w:sz w:val="20"/>
          <w:szCs w:val="20"/>
          <w:lang w:eastAsia="es-CO"/>
        </w:rPr>
        <w:t xml:space="preserve">; </w:t>
      </w:r>
      <w:r w:rsidRPr="007F2789">
        <w:rPr>
          <w:rFonts w:ascii="Arial" w:eastAsia="SimSun" w:hAnsi="Arial" w:cs="Arial"/>
          <w:sz w:val="20"/>
          <w:szCs w:val="20"/>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9">
    <w:p w14:paraId="34616AAB" w14:textId="77777777" w:rsidR="00510943" w:rsidRPr="007F2789" w:rsidRDefault="00510943" w:rsidP="00A51635">
      <w:pPr>
        <w:spacing w:after="0" w:line="240" w:lineRule="auto"/>
        <w:contextualSpacing/>
        <w:jc w:val="both"/>
        <w:rPr>
          <w:rFonts w:ascii="Arial" w:eastAsia="Verdana" w:hAnsi="Arial" w:cs="Arial"/>
          <w:sz w:val="20"/>
          <w:szCs w:val="20"/>
        </w:rPr>
      </w:pPr>
      <w:r w:rsidRPr="007F2789">
        <w:rPr>
          <w:rStyle w:val="Refdenotaalpie"/>
          <w:rFonts w:ascii="Arial" w:hAnsi="Arial" w:cs="Arial"/>
          <w:sz w:val="20"/>
          <w:szCs w:val="20"/>
        </w:rPr>
        <w:footnoteRef/>
      </w:r>
      <w:r w:rsidRPr="007F2789">
        <w:rPr>
          <w:rFonts w:ascii="Arial" w:hAnsi="Arial" w:cs="Arial"/>
          <w:sz w:val="20"/>
          <w:szCs w:val="20"/>
        </w:rPr>
        <w:t xml:space="preserve"> Los requisitos específicos, también conocidos como defectos, son: d</w:t>
      </w:r>
      <w:r w:rsidRPr="007F2789">
        <w:rPr>
          <w:rFonts w:ascii="Arial" w:eastAsia="Verdana" w:hAnsi="Arial" w:cs="Arial"/>
          <w:sz w:val="20"/>
          <w:szCs w:val="20"/>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20">
    <w:p w14:paraId="50305A6B" w14:textId="4BF59A7E" w:rsidR="00510943" w:rsidRPr="007F2789" w:rsidRDefault="00510943" w:rsidP="00A51635">
      <w:pPr>
        <w:pStyle w:val="Sinespaciado"/>
        <w:jc w:val="both"/>
        <w:rPr>
          <w:rFonts w:ascii="Arial" w:hAnsi="Arial" w:cs="Arial"/>
          <w:sz w:val="20"/>
          <w:szCs w:val="20"/>
        </w:rPr>
      </w:pPr>
      <w:r w:rsidRPr="007F2789">
        <w:rPr>
          <w:rStyle w:val="Refdenotaalpie"/>
          <w:rFonts w:ascii="Arial" w:hAnsi="Arial" w:cs="Arial"/>
          <w:sz w:val="20"/>
          <w:szCs w:val="20"/>
        </w:rPr>
        <w:footnoteRef/>
      </w:r>
      <w:r w:rsidRPr="007F2789">
        <w:rPr>
          <w:rFonts w:ascii="Arial" w:hAnsi="Arial" w:cs="Arial"/>
          <w:sz w:val="20"/>
          <w:szCs w:val="20"/>
        </w:rPr>
        <w:t xml:space="preserve"> Corte Constitucional, </w:t>
      </w:r>
      <w:r w:rsidR="002E40D3">
        <w:rPr>
          <w:rFonts w:ascii="Arial" w:hAnsi="Arial" w:cs="Arial"/>
          <w:sz w:val="20"/>
          <w:szCs w:val="20"/>
        </w:rPr>
        <w:t>s</w:t>
      </w:r>
      <w:r w:rsidRPr="007F2789">
        <w:rPr>
          <w:rFonts w:ascii="Arial" w:hAnsi="Arial" w:cs="Arial"/>
          <w:sz w:val="20"/>
          <w:szCs w:val="20"/>
        </w:rPr>
        <w:t>entencia C–590 de 08 de junio de 2005.</w:t>
      </w:r>
    </w:p>
  </w:footnote>
  <w:footnote w:id="21">
    <w:p w14:paraId="6A0993F5" w14:textId="7A9C2F7D" w:rsidR="00510943" w:rsidRPr="007F2789" w:rsidRDefault="00510943" w:rsidP="00A51635">
      <w:pPr>
        <w:pStyle w:val="Sinespaciado"/>
        <w:jc w:val="both"/>
        <w:rPr>
          <w:rFonts w:ascii="Arial" w:hAnsi="Arial" w:cs="Arial"/>
          <w:sz w:val="20"/>
          <w:szCs w:val="20"/>
        </w:rPr>
      </w:pPr>
      <w:r w:rsidRPr="007F2789">
        <w:rPr>
          <w:rFonts w:ascii="Arial" w:hAnsi="Arial" w:cs="Arial"/>
          <w:sz w:val="20"/>
          <w:szCs w:val="20"/>
          <w:vertAlign w:val="superscript"/>
        </w:rPr>
        <w:footnoteRef/>
      </w:r>
      <w:r w:rsidRPr="007F2789">
        <w:rPr>
          <w:rFonts w:ascii="Arial" w:hAnsi="Arial" w:cs="Arial"/>
          <w:sz w:val="20"/>
          <w:szCs w:val="20"/>
        </w:rPr>
        <w:t xml:space="preserve"> Consejo de Estado, </w:t>
      </w:r>
      <w:r w:rsidR="002E40D3">
        <w:rPr>
          <w:rFonts w:ascii="Arial" w:hAnsi="Arial" w:cs="Arial"/>
          <w:sz w:val="20"/>
          <w:szCs w:val="20"/>
        </w:rPr>
        <w:t>s</w:t>
      </w:r>
      <w:r w:rsidRPr="007F2789">
        <w:rPr>
          <w:rFonts w:ascii="Arial" w:hAnsi="Arial" w:cs="Arial"/>
          <w:sz w:val="20"/>
          <w:szCs w:val="20"/>
        </w:rPr>
        <w:t>entencia del 05 de agosto de 2014. Rad. 11001-03-15-000-2012-02201-01.</w:t>
      </w:r>
    </w:p>
  </w:footnote>
  <w:footnote w:id="22">
    <w:p w14:paraId="0C7E1D16" w14:textId="77777777" w:rsidR="00C27FAF" w:rsidRPr="007F2789" w:rsidRDefault="00C27FAF" w:rsidP="00C27FAF">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 xml:space="preserve">Folios 116-117 del  expediente de nulidad y restablecimiento del derecho que obra en el documento de certificado No. DBD4BE06E05E571D 38433B13BCD4A54C C57BBA2EF0DFFA6C 06992F010BFF0095, en el expediente de tutela digital. </w:t>
      </w:r>
    </w:p>
  </w:footnote>
  <w:footnote w:id="23">
    <w:p w14:paraId="5D2E8ADD" w14:textId="77777777" w:rsidR="004E0AC6" w:rsidRPr="007F2789" w:rsidRDefault="004E0AC6"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w:t>
      </w:r>
      <w:r w:rsidRPr="007F2789">
        <w:rPr>
          <w:rFonts w:ascii="Arial" w:hAnsi="Arial" w:cs="Arial"/>
          <w:lang w:val="es-CO"/>
        </w:rPr>
        <w:t>Folios 18-22 de l</w:t>
      </w:r>
      <w:r w:rsidRPr="007F2789">
        <w:rPr>
          <w:rFonts w:ascii="Arial" w:hAnsi="Arial" w:cs="Arial"/>
        </w:rPr>
        <w:t>a sentencia que obra en el documento de certificado No. C0E11C7DF5DBDB00 640B5DF05F88B8A2 540EA1E386BB7695 E321BDDA9D568E24, en el expediente de tutela digital.</w:t>
      </w:r>
    </w:p>
  </w:footnote>
  <w:footnote w:id="24">
    <w:p w14:paraId="5D923120" w14:textId="77777777" w:rsidR="00CA38E9" w:rsidRPr="007F2789" w:rsidRDefault="00CA38E9"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Corte Constitucional, sentencia T- 310 de 30 de abril de 2009.</w:t>
      </w:r>
    </w:p>
  </w:footnote>
  <w:footnote w:id="25">
    <w:p w14:paraId="4C738798" w14:textId="77777777" w:rsidR="00CA38E9" w:rsidRPr="007F2789" w:rsidRDefault="00CA38E9" w:rsidP="00A51635">
      <w:pPr>
        <w:pStyle w:val="Textonotapie"/>
        <w:jc w:val="both"/>
        <w:rPr>
          <w:rFonts w:ascii="Arial" w:hAnsi="Arial" w:cs="Arial"/>
          <w:lang w:val="es-CO"/>
        </w:rPr>
      </w:pPr>
      <w:r w:rsidRPr="007F2789">
        <w:rPr>
          <w:rStyle w:val="Refdenotaalpie"/>
          <w:rFonts w:ascii="Arial" w:hAnsi="Arial" w:cs="Arial"/>
        </w:rPr>
        <w:footnoteRef/>
      </w:r>
      <w:r w:rsidRPr="007F2789">
        <w:rPr>
          <w:rFonts w:ascii="Arial" w:hAnsi="Arial" w:cs="Arial"/>
        </w:rPr>
        <w:t xml:space="preserve"> Corte Constitucional, sentencia </w:t>
      </w:r>
      <w:r w:rsidRPr="007F2789">
        <w:rPr>
          <w:rFonts w:ascii="Arial" w:hAnsi="Arial" w:cs="Arial"/>
          <w:lang w:val="es-CO"/>
        </w:rPr>
        <w:t>T- 384 de 20 de septiembre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65817940"/>
      <w:docPartObj>
        <w:docPartGallery w:val="Page Numbers (Top of Page)"/>
        <w:docPartUnique/>
      </w:docPartObj>
    </w:sdtPr>
    <w:sdtEndPr/>
    <w:sdtContent>
      <w:p w14:paraId="42090A8B" w14:textId="77777777" w:rsidR="006B02E3" w:rsidRPr="006B02E3" w:rsidRDefault="006B02E3">
        <w:pPr>
          <w:pStyle w:val="Encabezado"/>
          <w:jc w:val="center"/>
          <w:rPr>
            <w:rFonts w:ascii="Arial" w:hAnsi="Arial" w:cs="Arial"/>
          </w:rPr>
        </w:pPr>
        <w:r w:rsidRPr="006B02E3">
          <w:rPr>
            <w:rFonts w:ascii="Arial" w:hAnsi="Arial" w:cs="Arial"/>
          </w:rPr>
          <w:fldChar w:fldCharType="begin"/>
        </w:r>
        <w:r w:rsidRPr="006B02E3">
          <w:rPr>
            <w:rFonts w:ascii="Arial" w:hAnsi="Arial" w:cs="Arial"/>
          </w:rPr>
          <w:instrText>PAGE   \* MERGEFORMAT</w:instrText>
        </w:r>
        <w:r w:rsidRPr="006B02E3">
          <w:rPr>
            <w:rFonts w:ascii="Arial" w:hAnsi="Arial" w:cs="Arial"/>
          </w:rPr>
          <w:fldChar w:fldCharType="separate"/>
        </w:r>
        <w:r w:rsidR="00D2235A" w:rsidRPr="00D2235A">
          <w:rPr>
            <w:rFonts w:ascii="Arial" w:hAnsi="Arial" w:cs="Arial"/>
            <w:noProof/>
            <w:lang w:val="es-ES"/>
          </w:rPr>
          <w:t>9</w:t>
        </w:r>
        <w:r w:rsidRPr="006B02E3">
          <w:rPr>
            <w:rFonts w:ascii="Arial" w:hAnsi="Arial" w:cs="Arial"/>
          </w:rPr>
          <w:fldChar w:fldCharType="end"/>
        </w:r>
      </w:p>
    </w:sdtContent>
  </w:sdt>
  <w:p w14:paraId="6FE654C1" w14:textId="77777777" w:rsidR="006B02E3" w:rsidRDefault="006B02E3" w:rsidP="006B02E3">
    <w:pPr>
      <w:spacing w:after="0" w:line="276" w:lineRule="auto"/>
      <w:jc w:val="right"/>
      <w:rPr>
        <w:rFonts w:ascii="Arial" w:hAnsi="Arial" w:cs="Arial"/>
        <w:i/>
        <w:sz w:val="18"/>
        <w:szCs w:val="18"/>
      </w:rPr>
    </w:pPr>
    <w:r>
      <w:rPr>
        <w:rFonts w:ascii="Arial" w:hAnsi="Arial" w:cs="Arial"/>
        <w:i/>
        <w:sz w:val="18"/>
        <w:szCs w:val="18"/>
      </w:rPr>
      <w:t>Acción de tutela – Sentencia de primera instancia</w:t>
    </w:r>
  </w:p>
  <w:p w14:paraId="724E5D48" w14:textId="77777777" w:rsidR="006B02E3" w:rsidRPr="006B02E3" w:rsidRDefault="006B02E3" w:rsidP="006B02E3">
    <w:pPr>
      <w:spacing w:after="0" w:line="276" w:lineRule="auto"/>
      <w:jc w:val="right"/>
      <w:rPr>
        <w:rFonts w:ascii="Arial" w:hAnsi="Arial" w:cs="Arial"/>
        <w:i/>
        <w:sz w:val="18"/>
        <w:szCs w:val="18"/>
      </w:rPr>
    </w:pPr>
    <w:r w:rsidRPr="006B02E3">
      <w:rPr>
        <w:rFonts w:ascii="Arial" w:hAnsi="Arial" w:cs="Arial"/>
        <w:i/>
        <w:sz w:val="18"/>
        <w:szCs w:val="18"/>
      </w:rPr>
      <w:t>Radicación: 11001-0315-000-2020-03237-00</w:t>
    </w:r>
  </w:p>
  <w:p w14:paraId="435D8605" w14:textId="77777777" w:rsidR="006B02E3" w:rsidRPr="006B02E3" w:rsidRDefault="006B02E3" w:rsidP="006B02E3">
    <w:pPr>
      <w:spacing w:after="0" w:line="276" w:lineRule="auto"/>
      <w:jc w:val="right"/>
      <w:rPr>
        <w:rFonts w:ascii="Arial" w:hAnsi="Arial" w:cs="Arial"/>
        <w:i/>
        <w:sz w:val="18"/>
        <w:szCs w:val="18"/>
      </w:rPr>
    </w:pPr>
    <w:r w:rsidRPr="006B02E3">
      <w:rPr>
        <w:rFonts w:ascii="Arial" w:hAnsi="Arial" w:cs="Arial"/>
        <w:i/>
        <w:sz w:val="18"/>
        <w:szCs w:val="18"/>
      </w:rPr>
      <w:t xml:space="preserve">Accionante: Luis Fernando Jaramillo Acosta </w:t>
    </w:r>
  </w:p>
  <w:p w14:paraId="75EB5930" w14:textId="77777777" w:rsidR="006B02E3" w:rsidRPr="006B02E3" w:rsidRDefault="006B02E3" w:rsidP="006B02E3">
    <w:pPr>
      <w:spacing w:after="0" w:line="276" w:lineRule="auto"/>
      <w:jc w:val="right"/>
      <w:rPr>
        <w:rFonts w:ascii="Arial" w:hAnsi="Arial" w:cs="Arial"/>
        <w:i/>
        <w:sz w:val="18"/>
        <w:szCs w:val="18"/>
      </w:rPr>
    </w:pPr>
    <w:r w:rsidRPr="006B02E3">
      <w:rPr>
        <w:rFonts w:ascii="Arial" w:hAnsi="Arial" w:cs="Arial"/>
        <w:i/>
        <w:sz w:val="18"/>
        <w:szCs w:val="18"/>
      </w:rPr>
      <w:t xml:space="preserve">Accionado: Subsección A de la Sección Segunda del Tribunal Administrativo de Cundinamarca </w:t>
    </w:r>
  </w:p>
  <w:p w14:paraId="60C96B70" w14:textId="77777777" w:rsidR="006B02E3" w:rsidRPr="006B02E3" w:rsidRDefault="006B02E3" w:rsidP="006B02E3">
    <w:pPr>
      <w:spacing w:after="0" w:line="276" w:lineRule="auto"/>
      <w:jc w:val="both"/>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A3154" w14:textId="77777777" w:rsidR="00E44FE5" w:rsidRPr="00E44FE5" w:rsidRDefault="00E44FE5" w:rsidP="00E44FE5">
    <w:pPr>
      <w:pStyle w:val="Encabezado"/>
      <w:rPr>
        <w:sz w:val="24"/>
        <w:szCs w:val="24"/>
      </w:rPr>
    </w:pPr>
    <w:r w:rsidRPr="00E44FE5">
      <w:rPr>
        <w:noProof/>
        <w:sz w:val="24"/>
        <w:szCs w:val="24"/>
        <w:lang w:eastAsia="es-CO"/>
      </w:rPr>
      <w:drawing>
        <wp:anchor distT="0" distB="0" distL="114300" distR="114300" simplePos="0" relativeHeight="251659264" behindDoc="1" locked="0" layoutInCell="1" allowOverlap="1" wp14:anchorId="66890551" wp14:editId="319DE592">
          <wp:simplePos x="0" y="0"/>
          <wp:positionH relativeFrom="column">
            <wp:posOffset>-61491</wp:posOffset>
          </wp:positionH>
          <wp:positionV relativeFrom="paragraph">
            <wp:posOffset>-211616</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34333" w14:textId="77777777" w:rsidR="00E44FE5" w:rsidRPr="00E44FE5" w:rsidRDefault="00E44FE5" w:rsidP="00E44FE5">
    <w:pPr>
      <w:spacing w:after="0"/>
      <w:jc w:val="center"/>
      <w:rPr>
        <w:rFonts w:ascii="Arial" w:hAnsi="Arial" w:cs="Arial"/>
        <w:b/>
        <w:bCs/>
        <w:sz w:val="24"/>
        <w:szCs w:val="24"/>
        <w:lang w:eastAsia="es-ES"/>
      </w:rPr>
    </w:pPr>
    <w:r w:rsidRPr="00E44FE5">
      <w:rPr>
        <w:rFonts w:ascii="Arial" w:hAnsi="Arial" w:cs="Arial"/>
        <w:b/>
        <w:bCs/>
        <w:sz w:val="24"/>
        <w:szCs w:val="24"/>
        <w:lang w:eastAsia="es-ES"/>
      </w:rPr>
      <w:t>CONSEJO DE ESTADO</w:t>
    </w:r>
  </w:p>
  <w:p w14:paraId="5A75D3A4" w14:textId="77777777" w:rsidR="00E44FE5" w:rsidRPr="00E44FE5" w:rsidRDefault="00E44FE5" w:rsidP="00E44FE5">
    <w:pPr>
      <w:spacing w:after="0"/>
      <w:jc w:val="center"/>
      <w:rPr>
        <w:rFonts w:ascii="Arial" w:hAnsi="Arial" w:cs="Arial"/>
        <w:b/>
        <w:bCs/>
        <w:color w:val="000000"/>
        <w:sz w:val="24"/>
        <w:szCs w:val="24"/>
        <w:lang w:eastAsia="es-ES"/>
      </w:rPr>
    </w:pPr>
    <w:r w:rsidRPr="00E44FE5">
      <w:rPr>
        <w:rFonts w:ascii="Arial" w:hAnsi="Arial" w:cs="Arial"/>
        <w:b/>
        <w:bCs/>
        <w:color w:val="000000"/>
        <w:sz w:val="24"/>
        <w:szCs w:val="24"/>
        <w:lang w:eastAsia="es-ES"/>
      </w:rPr>
      <w:t>SALA DE LO CONTENCIOSO ADMINISTRATIVO</w:t>
    </w:r>
  </w:p>
  <w:p w14:paraId="75452BCB" w14:textId="77777777" w:rsidR="00E44FE5" w:rsidRPr="00E44FE5" w:rsidRDefault="00E44FE5" w:rsidP="00E44FE5">
    <w:pPr>
      <w:spacing w:after="0"/>
      <w:jc w:val="center"/>
      <w:rPr>
        <w:rFonts w:ascii="Arial" w:hAnsi="Arial" w:cs="Arial"/>
        <w:b/>
        <w:bCs/>
        <w:color w:val="000000"/>
        <w:sz w:val="24"/>
        <w:szCs w:val="24"/>
        <w:lang w:eastAsia="es-ES"/>
      </w:rPr>
    </w:pPr>
    <w:r w:rsidRPr="00E44FE5">
      <w:rPr>
        <w:rFonts w:ascii="Arial" w:hAnsi="Arial" w:cs="Arial"/>
        <w:b/>
        <w:bCs/>
        <w:color w:val="000000"/>
        <w:sz w:val="24"/>
        <w:szCs w:val="24"/>
        <w:lang w:eastAsia="es-ES"/>
      </w:rPr>
      <w:t>SECCIÓN TERCERA</w:t>
    </w:r>
  </w:p>
  <w:p w14:paraId="79ADF631" w14:textId="77777777" w:rsidR="00E44FE5" w:rsidRPr="00E44FE5" w:rsidRDefault="00E44FE5" w:rsidP="00E44FE5">
    <w:pPr>
      <w:spacing w:after="0"/>
      <w:jc w:val="center"/>
      <w:rPr>
        <w:rFonts w:ascii="Arial" w:hAnsi="Arial" w:cs="Arial"/>
        <w:b/>
        <w:bCs/>
        <w:color w:val="000000"/>
        <w:sz w:val="24"/>
        <w:szCs w:val="24"/>
        <w:lang w:eastAsia="es-ES"/>
      </w:rPr>
    </w:pPr>
    <w:r w:rsidRPr="00E44FE5">
      <w:rPr>
        <w:rFonts w:ascii="Arial" w:hAnsi="Arial" w:cs="Arial"/>
        <w:b/>
        <w:bCs/>
        <w:color w:val="000000"/>
        <w:sz w:val="24"/>
        <w:szCs w:val="24"/>
        <w:lang w:eastAsia="es-ES"/>
      </w:rPr>
      <w:t>SUBSECCIÓN C</w:t>
    </w:r>
  </w:p>
  <w:p w14:paraId="21CAA1ED" w14:textId="66C2D605" w:rsidR="00E44FE5" w:rsidRPr="00E44FE5" w:rsidRDefault="0096173F" w:rsidP="0096173F">
    <w:pPr>
      <w:spacing w:after="0"/>
      <w:jc w:val="right"/>
      <w:rPr>
        <w:rFonts w:ascii="Arial" w:hAnsi="Arial" w:cs="Arial"/>
        <w:b/>
        <w:bCs/>
        <w:color w:val="000000"/>
        <w:sz w:val="24"/>
        <w:szCs w:val="24"/>
        <w:lang w:eastAsia="es-ES"/>
      </w:rPr>
    </w:pPr>
    <w:r>
      <w:rPr>
        <w:rFonts w:ascii="Arial" w:hAnsi="Arial" w:cs="Arial"/>
        <w:b/>
        <w:bCs/>
        <w:color w:val="000000"/>
        <w:sz w:val="24"/>
        <w:szCs w:val="24"/>
        <w:lang w:eastAsia="es-ES"/>
      </w:rP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83906"/>
    <w:multiLevelType w:val="hybridMultilevel"/>
    <w:tmpl w:val="01B49256"/>
    <w:lvl w:ilvl="0" w:tplc="46F0EE5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C76040F"/>
    <w:multiLevelType w:val="hybridMultilevel"/>
    <w:tmpl w:val="D674BF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E5"/>
    <w:rsid w:val="00013DEA"/>
    <w:rsid w:val="00014499"/>
    <w:rsid w:val="000209CE"/>
    <w:rsid w:val="00082F55"/>
    <w:rsid w:val="000B5D5A"/>
    <w:rsid w:val="000E05B5"/>
    <w:rsid w:val="00114DB6"/>
    <w:rsid w:val="001256DD"/>
    <w:rsid w:val="00130A8A"/>
    <w:rsid w:val="00152128"/>
    <w:rsid w:val="001727B9"/>
    <w:rsid w:val="001823AC"/>
    <w:rsid w:val="001A40E4"/>
    <w:rsid w:val="001F443C"/>
    <w:rsid w:val="002102FB"/>
    <w:rsid w:val="0027492E"/>
    <w:rsid w:val="002A7012"/>
    <w:rsid w:val="002C0901"/>
    <w:rsid w:val="002D1A35"/>
    <w:rsid w:val="002E40D3"/>
    <w:rsid w:val="002F4061"/>
    <w:rsid w:val="002F4787"/>
    <w:rsid w:val="003039BF"/>
    <w:rsid w:val="0031206B"/>
    <w:rsid w:val="003246FA"/>
    <w:rsid w:val="003259CB"/>
    <w:rsid w:val="003834B0"/>
    <w:rsid w:val="003C2167"/>
    <w:rsid w:val="003C2F90"/>
    <w:rsid w:val="003D2CFE"/>
    <w:rsid w:val="004414F3"/>
    <w:rsid w:val="004503D1"/>
    <w:rsid w:val="004A4567"/>
    <w:rsid w:val="004C7701"/>
    <w:rsid w:val="004E0AC6"/>
    <w:rsid w:val="00510943"/>
    <w:rsid w:val="00513D08"/>
    <w:rsid w:val="00586413"/>
    <w:rsid w:val="005A5F3C"/>
    <w:rsid w:val="00673097"/>
    <w:rsid w:val="00696104"/>
    <w:rsid w:val="006B02E3"/>
    <w:rsid w:val="006B47E0"/>
    <w:rsid w:val="006C4270"/>
    <w:rsid w:val="006D3D1A"/>
    <w:rsid w:val="007119D5"/>
    <w:rsid w:val="00717C12"/>
    <w:rsid w:val="00721FC3"/>
    <w:rsid w:val="007255EA"/>
    <w:rsid w:val="0073361D"/>
    <w:rsid w:val="00740AA0"/>
    <w:rsid w:val="007529D7"/>
    <w:rsid w:val="007B272D"/>
    <w:rsid w:val="007B71B7"/>
    <w:rsid w:val="007D3EFA"/>
    <w:rsid w:val="007F2789"/>
    <w:rsid w:val="00810B28"/>
    <w:rsid w:val="00841786"/>
    <w:rsid w:val="00867C5E"/>
    <w:rsid w:val="00870E59"/>
    <w:rsid w:val="008917F7"/>
    <w:rsid w:val="008A1F47"/>
    <w:rsid w:val="008D0BD8"/>
    <w:rsid w:val="009178D6"/>
    <w:rsid w:val="009220C5"/>
    <w:rsid w:val="0094385F"/>
    <w:rsid w:val="0096173F"/>
    <w:rsid w:val="00991B0A"/>
    <w:rsid w:val="00993E18"/>
    <w:rsid w:val="009C10EE"/>
    <w:rsid w:val="00A51635"/>
    <w:rsid w:val="00A555C4"/>
    <w:rsid w:val="00A71311"/>
    <w:rsid w:val="00A84A92"/>
    <w:rsid w:val="00AC5B20"/>
    <w:rsid w:val="00AD52C0"/>
    <w:rsid w:val="00AF3B22"/>
    <w:rsid w:val="00B07171"/>
    <w:rsid w:val="00B17943"/>
    <w:rsid w:val="00B2178D"/>
    <w:rsid w:val="00B31E99"/>
    <w:rsid w:val="00B43B17"/>
    <w:rsid w:val="00B556D4"/>
    <w:rsid w:val="00B80CB4"/>
    <w:rsid w:val="00B85387"/>
    <w:rsid w:val="00B86FAC"/>
    <w:rsid w:val="00BA59AA"/>
    <w:rsid w:val="00BC42AB"/>
    <w:rsid w:val="00BD7FF6"/>
    <w:rsid w:val="00BE7E0B"/>
    <w:rsid w:val="00C232D7"/>
    <w:rsid w:val="00C237A1"/>
    <w:rsid w:val="00C27FAF"/>
    <w:rsid w:val="00C92A89"/>
    <w:rsid w:val="00C962DA"/>
    <w:rsid w:val="00CA38E9"/>
    <w:rsid w:val="00CB2402"/>
    <w:rsid w:val="00CC5B6F"/>
    <w:rsid w:val="00CF2F00"/>
    <w:rsid w:val="00D2235A"/>
    <w:rsid w:val="00D246A9"/>
    <w:rsid w:val="00D336E3"/>
    <w:rsid w:val="00D94616"/>
    <w:rsid w:val="00DB2EF7"/>
    <w:rsid w:val="00DD66D5"/>
    <w:rsid w:val="00DF0448"/>
    <w:rsid w:val="00E278E2"/>
    <w:rsid w:val="00E36187"/>
    <w:rsid w:val="00E437CE"/>
    <w:rsid w:val="00E44FE5"/>
    <w:rsid w:val="00E45873"/>
    <w:rsid w:val="00E45CE7"/>
    <w:rsid w:val="00E70CB9"/>
    <w:rsid w:val="00EB0B38"/>
    <w:rsid w:val="00EB0EFF"/>
    <w:rsid w:val="00EC4E9E"/>
    <w:rsid w:val="00ED21A3"/>
    <w:rsid w:val="00EE1FB9"/>
    <w:rsid w:val="00EE63A8"/>
    <w:rsid w:val="00F02350"/>
    <w:rsid w:val="00F13FC5"/>
    <w:rsid w:val="00F6180A"/>
    <w:rsid w:val="00F7509B"/>
    <w:rsid w:val="00F94998"/>
    <w:rsid w:val="00FA0BAC"/>
    <w:rsid w:val="00FA1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C91C"/>
  <w15:chartTrackingRefBased/>
  <w15:docId w15:val="{7577E661-564D-4267-BF3A-2A239B0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E5"/>
  </w:style>
  <w:style w:type="paragraph" w:styleId="Piedepgina">
    <w:name w:val="footer"/>
    <w:basedOn w:val="Normal"/>
    <w:link w:val="PiedepginaCar"/>
    <w:uiPriority w:val="99"/>
    <w:unhideWhenUsed/>
    <w:rsid w:val="00E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E5"/>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AD52C0"/>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AD52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AD52C0"/>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D52C0"/>
    <w:pPr>
      <w:spacing w:after="0" w:line="240" w:lineRule="auto"/>
      <w:jc w:val="both"/>
    </w:pPr>
    <w:rPr>
      <w:vertAlign w:val="superscript"/>
    </w:rPr>
  </w:style>
  <w:style w:type="paragraph" w:styleId="Prrafodelista">
    <w:name w:val="List Paragraph"/>
    <w:basedOn w:val="Normal"/>
    <w:uiPriority w:val="34"/>
    <w:qFormat/>
    <w:rsid w:val="002C0901"/>
    <w:pPr>
      <w:ind w:left="720"/>
      <w:contextualSpacing/>
    </w:pPr>
  </w:style>
  <w:style w:type="paragraph" w:styleId="Sinespaciado">
    <w:name w:val="No Spacing"/>
    <w:link w:val="SinespaciadoCar"/>
    <w:uiPriority w:val="1"/>
    <w:qFormat/>
    <w:rsid w:val="0051094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510943"/>
    <w:rPr>
      <w:rFonts w:ascii="Calibri" w:eastAsia="Calibri" w:hAnsi="Calibri" w:cs="Times New Roman"/>
    </w:rPr>
  </w:style>
  <w:style w:type="character" w:styleId="Refdecomentario">
    <w:name w:val="annotation reference"/>
    <w:basedOn w:val="Fuentedeprrafopredeter"/>
    <w:uiPriority w:val="99"/>
    <w:semiHidden/>
    <w:unhideWhenUsed/>
    <w:rsid w:val="00F6180A"/>
    <w:rPr>
      <w:sz w:val="16"/>
      <w:szCs w:val="16"/>
    </w:rPr>
  </w:style>
  <w:style w:type="paragraph" w:styleId="Textocomentario">
    <w:name w:val="annotation text"/>
    <w:basedOn w:val="Normal"/>
    <w:link w:val="TextocomentarioCar"/>
    <w:uiPriority w:val="99"/>
    <w:semiHidden/>
    <w:unhideWhenUsed/>
    <w:rsid w:val="00F618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80A"/>
    <w:rPr>
      <w:sz w:val="20"/>
      <w:szCs w:val="20"/>
    </w:rPr>
  </w:style>
  <w:style w:type="paragraph" w:styleId="Asuntodelcomentario">
    <w:name w:val="annotation subject"/>
    <w:basedOn w:val="Textocomentario"/>
    <w:next w:val="Textocomentario"/>
    <w:link w:val="AsuntodelcomentarioCar"/>
    <w:uiPriority w:val="99"/>
    <w:semiHidden/>
    <w:unhideWhenUsed/>
    <w:rsid w:val="00F6180A"/>
    <w:rPr>
      <w:b/>
      <w:bCs/>
    </w:rPr>
  </w:style>
  <w:style w:type="character" w:customStyle="1" w:styleId="AsuntodelcomentarioCar">
    <w:name w:val="Asunto del comentario Car"/>
    <w:basedOn w:val="TextocomentarioCar"/>
    <w:link w:val="Asuntodelcomentario"/>
    <w:uiPriority w:val="99"/>
    <w:semiHidden/>
    <w:rsid w:val="00F6180A"/>
    <w:rPr>
      <w:b/>
      <w:bCs/>
      <w:sz w:val="20"/>
      <w:szCs w:val="20"/>
    </w:rPr>
  </w:style>
  <w:style w:type="paragraph" w:styleId="Textodeglobo">
    <w:name w:val="Balloon Text"/>
    <w:basedOn w:val="Normal"/>
    <w:link w:val="TextodegloboCar"/>
    <w:uiPriority w:val="99"/>
    <w:semiHidden/>
    <w:unhideWhenUsed/>
    <w:rsid w:val="00F618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1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85060-C7C3-4024-93F1-5BBFD3923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EAE43-4D63-4C8B-9761-E291543DC2B8}">
  <ds:schemaRefs>
    <ds:schemaRef ds:uri="http://schemas.microsoft.com/sharepoint/v3/contenttype/forms"/>
  </ds:schemaRefs>
</ds:datastoreItem>
</file>

<file path=customXml/itemProps3.xml><?xml version="1.0" encoding="utf-8"?>
<ds:datastoreItem xmlns:ds="http://schemas.openxmlformats.org/officeDocument/2006/customXml" ds:itemID="{747BC8DC-9A5F-4774-944C-816CD6A3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7E3F5-C97D-47F4-9FB1-8FC36404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2687</Words>
  <Characters>14782</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Alexander</cp:lastModifiedBy>
  <cp:revision>2</cp:revision>
  <dcterms:created xsi:type="dcterms:W3CDTF">2020-09-29T22:09:00Z</dcterms:created>
  <dcterms:modified xsi:type="dcterms:W3CDTF">2020-09-29T22:09:00Z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