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3093" w14:textId="77777777" w:rsidR="000C5DB7" w:rsidRPr="00211F0C" w:rsidRDefault="000C5DB7" w:rsidP="0036159F">
      <w:pPr>
        <w:pStyle w:val="Sinespaciado"/>
        <w:spacing w:line="276" w:lineRule="auto"/>
      </w:pPr>
      <w:r w:rsidRPr="00211F0C">
        <w:t>CONSEJERO PONENTE: JAIME ENRIQUE RODRÍGUEZ NAVAS</w:t>
      </w:r>
    </w:p>
    <w:p w14:paraId="722460E6" w14:textId="77777777" w:rsidR="00F91B32" w:rsidRPr="00211F0C" w:rsidRDefault="00F91B32" w:rsidP="0036159F">
      <w:pPr>
        <w:spacing w:line="276" w:lineRule="auto"/>
        <w:contextualSpacing/>
        <w:rPr>
          <w:b/>
          <w:bCs/>
          <w:sz w:val="24"/>
          <w:szCs w:val="24"/>
        </w:rPr>
      </w:pPr>
    </w:p>
    <w:p w14:paraId="78A64E2A" w14:textId="02CD2CA9" w:rsidR="000C5DB7" w:rsidRPr="00211F0C" w:rsidRDefault="000C5DB7" w:rsidP="0036159F">
      <w:pPr>
        <w:spacing w:line="276" w:lineRule="auto"/>
        <w:contextualSpacing/>
        <w:rPr>
          <w:bCs/>
          <w:sz w:val="24"/>
          <w:szCs w:val="24"/>
        </w:rPr>
      </w:pPr>
      <w:r w:rsidRPr="00211F0C">
        <w:rPr>
          <w:bCs/>
          <w:sz w:val="24"/>
          <w:szCs w:val="24"/>
        </w:rPr>
        <w:t>Bogotá D.C.,</w:t>
      </w:r>
      <w:r w:rsidR="00C53B7C">
        <w:rPr>
          <w:bCs/>
          <w:sz w:val="24"/>
          <w:szCs w:val="24"/>
        </w:rPr>
        <w:t xml:space="preserve"> </w:t>
      </w:r>
      <w:r w:rsidR="00FD6DC9">
        <w:rPr>
          <w:bCs/>
          <w:sz w:val="24"/>
          <w:szCs w:val="24"/>
        </w:rPr>
        <w:t>cinco</w:t>
      </w:r>
      <w:r w:rsidR="006A6312">
        <w:rPr>
          <w:bCs/>
          <w:sz w:val="24"/>
          <w:szCs w:val="24"/>
        </w:rPr>
        <w:t xml:space="preserve"> </w:t>
      </w:r>
      <w:r w:rsidRPr="00211F0C">
        <w:rPr>
          <w:bCs/>
          <w:sz w:val="24"/>
          <w:szCs w:val="24"/>
        </w:rPr>
        <w:t>(</w:t>
      </w:r>
      <w:r w:rsidR="00FD6DC9">
        <w:rPr>
          <w:bCs/>
          <w:sz w:val="24"/>
          <w:szCs w:val="24"/>
        </w:rPr>
        <w:t>5</w:t>
      </w:r>
      <w:r w:rsidRPr="00211F0C">
        <w:rPr>
          <w:bCs/>
          <w:sz w:val="24"/>
          <w:szCs w:val="24"/>
        </w:rPr>
        <w:t>) de</w:t>
      </w:r>
      <w:r w:rsidR="00C53B7C">
        <w:rPr>
          <w:bCs/>
          <w:sz w:val="24"/>
          <w:szCs w:val="24"/>
        </w:rPr>
        <w:t xml:space="preserve"> </w:t>
      </w:r>
      <w:r w:rsidR="00FD6DC9">
        <w:rPr>
          <w:bCs/>
          <w:sz w:val="24"/>
          <w:szCs w:val="24"/>
        </w:rPr>
        <w:t>mayo</w:t>
      </w:r>
      <w:r w:rsidR="00C53B7C">
        <w:rPr>
          <w:bCs/>
          <w:sz w:val="24"/>
          <w:szCs w:val="24"/>
        </w:rPr>
        <w:t xml:space="preserve"> </w:t>
      </w:r>
      <w:r w:rsidRPr="00211F0C">
        <w:rPr>
          <w:bCs/>
          <w:sz w:val="24"/>
          <w:szCs w:val="24"/>
        </w:rPr>
        <w:t xml:space="preserve">de dos mil </w:t>
      </w:r>
      <w:r w:rsidR="00C87516" w:rsidRPr="00211F0C">
        <w:rPr>
          <w:bCs/>
          <w:sz w:val="24"/>
          <w:szCs w:val="24"/>
        </w:rPr>
        <w:t>veint</w:t>
      </w:r>
      <w:r w:rsidR="007F09F8">
        <w:rPr>
          <w:bCs/>
          <w:sz w:val="24"/>
          <w:szCs w:val="24"/>
        </w:rPr>
        <w:t>iuno</w:t>
      </w:r>
      <w:r w:rsidRPr="00211F0C">
        <w:rPr>
          <w:bCs/>
          <w:sz w:val="24"/>
          <w:szCs w:val="24"/>
        </w:rPr>
        <w:t xml:space="preserve"> (</w:t>
      </w:r>
      <w:r w:rsidR="00C87516" w:rsidRPr="00211F0C">
        <w:rPr>
          <w:bCs/>
          <w:sz w:val="24"/>
          <w:szCs w:val="24"/>
        </w:rPr>
        <w:t>202</w:t>
      </w:r>
      <w:r w:rsidR="007F09F8">
        <w:rPr>
          <w:bCs/>
          <w:sz w:val="24"/>
          <w:szCs w:val="24"/>
        </w:rPr>
        <w:t>1</w:t>
      </w:r>
      <w:r w:rsidR="001F52D2">
        <w:rPr>
          <w:bCs/>
          <w:sz w:val="24"/>
          <w:szCs w:val="24"/>
        </w:rPr>
        <w:t>)</w:t>
      </w:r>
    </w:p>
    <w:p w14:paraId="1F118FC8" w14:textId="77777777" w:rsidR="00F91B32" w:rsidRPr="00211F0C" w:rsidRDefault="00F91B32" w:rsidP="0036159F">
      <w:pPr>
        <w:spacing w:line="276" w:lineRule="auto"/>
        <w:contextualSpacing/>
        <w:rPr>
          <w:b/>
          <w:sz w:val="24"/>
          <w:szCs w:val="24"/>
        </w:rPr>
      </w:pPr>
    </w:p>
    <w:p w14:paraId="7FC59C22" w14:textId="77777777" w:rsidR="000C5DB7" w:rsidRPr="00211F0C" w:rsidRDefault="000C5DB7" w:rsidP="0036159F">
      <w:pPr>
        <w:spacing w:line="276" w:lineRule="auto"/>
        <w:ind w:left="1620" w:hanging="1625"/>
        <w:contextualSpacing/>
        <w:rPr>
          <w:b/>
          <w:sz w:val="24"/>
          <w:szCs w:val="24"/>
        </w:rPr>
      </w:pPr>
      <w:r w:rsidRPr="00211F0C">
        <w:rPr>
          <w:b/>
          <w:sz w:val="24"/>
          <w:szCs w:val="24"/>
        </w:rPr>
        <w:t xml:space="preserve">Referencia: </w:t>
      </w:r>
      <w:r w:rsidRPr="00211F0C">
        <w:rPr>
          <w:b/>
          <w:sz w:val="24"/>
          <w:szCs w:val="24"/>
        </w:rPr>
        <w:tab/>
      </w:r>
      <w:r w:rsidRPr="00211F0C">
        <w:rPr>
          <w:sz w:val="24"/>
          <w:szCs w:val="24"/>
        </w:rPr>
        <w:t>A</w:t>
      </w:r>
      <w:r w:rsidR="00E45687" w:rsidRPr="00211F0C">
        <w:rPr>
          <w:sz w:val="24"/>
          <w:szCs w:val="24"/>
        </w:rPr>
        <w:t xml:space="preserve">cción de </w:t>
      </w:r>
      <w:r w:rsidR="00041C53">
        <w:rPr>
          <w:sz w:val="24"/>
          <w:szCs w:val="24"/>
        </w:rPr>
        <w:t>T</w:t>
      </w:r>
      <w:r w:rsidR="00E45687" w:rsidRPr="00211F0C">
        <w:rPr>
          <w:sz w:val="24"/>
          <w:szCs w:val="24"/>
        </w:rPr>
        <w:t>utela</w:t>
      </w:r>
    </w:p>
    <w:p w14:paraId="5B03B232" w14:textId="2E0D4012" w:rsidR="000C5DB7" w:rsidRPr="00211F0C" w:rsidRDefault="000C5DB7" w:rsidP="0036159F">
      <w:pPr>
        <w:spacing w:line="276" w:lineRule="auto"/>
        <w:ind w:left="1620" w:hanging="1625"/>
        <w:contextualSpacing/>
        <w:rPr>
          <w:sz w:val="24"/>
          <w:szCs w:val="24"/>
        </w:rPr>
      </w:pPr>
      <w:r w:rsidRPr="00211F0C">
        <w:rPr>
          <w:b/>
          <w:sz w:val="24"/>
          <w:szCs w:val="24"/>
        </w:rPr>
        <w:t>Radicación:</w:t>
      </w:r>
      <w:r w:rsidRPr="00211F0C">
        <w:rPr>
          <w:b/>
          <w:sz w:val="24"/>
          <w:szCs w:val="24"/>
        </w:rPr>
        <w:tab/>
      </w:r>
      <w:r w:rsidR="00FD6DC9" w:rsidRPr="00FD6DC9">
        <w:rPr>
          <w:sz w:val="24"/>
          <w:szCs w:val="24"/>
        </w:rPr>
        <w:t>11001-03-15-000-2021-02138-00</w:t>
      </w:r>
    </w:p>
    <w:p w14:paraId="37D80D18" w14:textId="5BF6EF43" w:rsidR="000C5DB7" w:rsidRPr="00211F0C" w:rsidRDefault="000C5DB7" w:rsidP="0036159F">
      <w:pPr>
        <w:spacing w:line="276" w:lineRule="auto"/>
        <w:ind w:left="1620" w:hanging="1625"/>
        <w:contextualSpacing/>
        <w:rPr>
          <w:sz w:val="24"/>
          <w:szCs w:val="24"/>
        </w:rPr>
      </w:pPr>
      <w:r w:rsidRPr="00211F0C">
        <w:rPr>
          <w:b/>
          <w:sz w:val="24"/>
          <w:szCs w:val="24"/>
        </w:rPr>
        <w:t>Accionante:</w:t>
      </w:r>
      <w:r w:rsidRPr="00211F0C">
        <w:rPr>
          <w:b/>
          <w:sz w:val="24"/>
          <w:szCs w:val="24"/>
        </w:rPr>
        <w:tab/>
      </w:r>
      <w:r w:rsidR="00FD6DC9">
        <w:rPr>
          <w:bCs/>
          <w:sz w:val="24"/>
          <w:szCs w:val="24"/>
        </w:rPr>
        <w:t>Claudia Helena Díaz Lozano</w:t>
      </w:r>
    </w:p>
    <w:p w14:paraId="767B1EE4" w14:textId="46844842" w:rsidR="000C5DB7" w:rsidRPr="00211F0C" w:rsidRDefault="000C5DB7" w:rsidP="0036159F">
      <w:pPr>
        <w:spacing w:line="276" w:lineRule="auto"/>
        <w:ind w:left="1620" w:right="51" w:hanging="1625"/>
        <w:contextualSpacing/>
        <w:rPr>
          <w:bCs/>
          <w:sz w:val="24"/>
          <w:szCs w:val="24"/>
        </w:rPr>
      </w:pPr>
      <w:r w:rsidRPr="00211F0C">
        <w:rPr>
          <w:b/>
          <w:sz w:val="24"/>
          <w:szCs w:val="24"/>
        </w:rPr>
        <w:t>Accionado</w:t>
      </w:r>
      <w:r w:rsidR="00FD6DC9">
        <w:rPr>
          <w:b/>
          <w:sz w:val="24"/>
          <w:szCs w:val="24"/>
        </w:rPr>
        <w:t>s</w:t>
      </w:r>
      <w:r w:rsidRPr="00211F0C">
        <w:rPr>
          <w:b/>
          <w:sz w:val="24"/>
          <w:szCs w:val="24"/>
        </w:rPr>
        <w:t>:</w:t>
      </w:r>
      <w:r w:rsidRPr="00211F0C">
        <w:rPr>
          <w:b/>
          <w:sz w:val="24"/>
          <w:szCs w:val="24"/>
        </w:rPr>
        <w:tab/>
      </w:r>
      <w:r w:rsidR="00FD6DC9">
        <w:rPr>
          <w:bCs/>
          <w:sz w:val="24"/>
          <w:szCs w:val="24"/>
        </w:rPr>
        <w:t xml:space="preserve">Tribunal Administrativo del Quindío, Juzgado Quinto Administrativo del Circuito Judicial de Ibagué, Superintendencia Nacional de Salud y </w:t>
      </w:r>
      <w:r w:rsidR="007F09F8">
        <w:rPr>
          <w:bCs/>
          <w:sz w:val="24"/>
          <w:szCs w:val="24"/>
        </w:rPr>
        <w:t>Consejo Superior de la Judicatura</w:t>
      </w:r>
    </w:p>
    <w:p w14:paraId="6C5D147A" w14:textId="77777777" w:rsidR="000C5DB7" w:rsidRPr="00211F0C" w:rsidRDefault="000C5DB7" w:rsidP="0036159F">
      <w:pPr>
        <w:spacing w:line="276" w:lineRule="auto"/>
        <w:ind w:right="51"/>
        <w:contextualSpacing/>
        <w:rPr>
          <w:b/>
          <w:sz w:val="24"/>
          <w:szCs w:val="24"/>
        </w:rPr>
      </w:pPr>
    </w:p>
    <w:p w14:paraId="49E76BB4" w14:textId="77777777" w:rsidR="000C5DB7" w:rsidRPr="00211F0C" w:rsidRDefault="00211F0C" w:rsidP="0036159F">
      <w:pPr>
        <w:pBdr>
          <w:bottom w:val="single" w:sz="12" w:space="0" w:color="auto"/>
        </w:pBdr>
        <w:spacing w:line="276" w:lineRule="auto"/>
        <w:ind w:left="2832" w:hanging="2832"/>
        <w:contextualSpacing/>
        <w:rPr>
          <w:b/>
          <w:sz w:val="24"/>
          <w:szCs w:val="24"/>
        </w:rPr>
      </w:pPr>
      <w:r w:rsidRPr="00211F0C">
        <w:rPr>
          <w:b/>
          <w:sz w:val="24"/>
          <w:szCs w:val="24"/>
        </w:rPr>
        <w:t>AUTO ADMISORIO</w:t>
      </w:r>
    </w:p>
    <w:p w14:paraId="4E1BBB12" w14:textId="77777777" w:rsidR="000C5DB7" w:rsidRPr="00211F0C" w:rsidRDefault="000C5DB7" w:rsidP="0036159F">
      <w:pPr>
        <w:spacing w:line="276" w:lineRule="auto"/>
        <w:contextualSpacing/>
        <w:rPr>
          <w:b/>
          <w:sz w:val="24"/>
          <w:szCs w:val="24"/>
        </w:rPr>
      </w:pPr>
    </w:p>
    <w:p w14:paraId="18E483D9" w14:textId="01A0F07E" w:rsidR="00040C04" w:rsidRPr="00040C04" w:rsidRDefault="00FD6DC9" w:rsidP="0036159F">
      <w:pPr>
        <w:spacing w:line="276" w:lineRule="auto"/>
        <w:rPr>
          <w:sz w:val="24"/>
          <w:szCs w:val="24"/>
        </w:rPr>
      </w:pPr>
      <w:r>
        <w:rPr>
          <w:sz w:val="24"/>
          <w:szCs w:val="24"/>
        </w:rPr>
        <w:t>Claudia Helena Díaz Lozano</w:t>
      </w:r>
      <w:r w:rsidR="00211F0C" w:rsidRPr="002248FD">
        <w:rPr>
          <w:sz w:val="24"/>
          <w:szCs w:val="24"/>
        </w:rPr>
        <w:t xml:space="preserve">, </w:t>
      </w:r>
      <w:r w:rsidR="007F09F8">
        <w:rPr>
          <w:sz w:val="24"/>
          <w:szCs w:val="24"/>
        </w:rPr>
        <w:t>en nombre propio</w:t>
      </w:r>
      <w:r>
        <w:rPr>
          <w:sz w:val="24"/>
          <w:szCs w:val="24"/>
        </w:rPr>
        <w:t xml:space="preserve"> y en calidad de gerente regional del Tolima de </w:t>
      </w:r>
      <w:proofErr w:type="spellStart"/>
      <w:r>
        <w:rPr>
          <w:sz w:val="24"/>
          <w:szCs w:val="24"/>
        </w:rPr>
        <w:t>Saludvida</w:t>
      </w:r>
      <w:proofErr w:type="spellEnd"/>
      <w:r>
        <w:rPr>
          <w:sz w:val="24"/>
          <w:szCs w:val="24"/>
        </w:rPr>
        <w:t xml:space="preserve"> E.P.S.</w:t>
      </w:r>
      <w:r w:rsidR="00211F0C" w:rsidRPr="002248FD">
        <w:rPr>
          <w:sz w:val="24"/>
          <w:szCs w:val="24"/>
        </w:rPr>
        <w:t xml:space="preserve">, </w:t>
      </w:r>
      <w:r w:rsidR="007F09F8">
        <w:rPr>
          <w:sz w:val="24"/>
          <w:szCs w:val="24"/>
        </w:rPr>
        <w:t>solicitó</w:t>
      </w:r>
      <w:r w:rsidR="007F09F8">
        <w:rPr>
          <w:rStyle w:val="Refdenotaalpie"/>
          <w:sz w:val="24"/>
          <w:szCs w:val="24"/>
        </w:rPr>
        <w:footnoteReference w:id="1"/>
      </w:r>
      <w:r w:rsidR="007F09F8">
        <w:rPr>
          <w:sz w:val="24"/>
          <w:szCs w:val="24"/>
        </w:rPr>
        <w:t xml:space="preserve"> el</w:t>
      </w:r>
      <w:r w:rsidR="00211F0C" w:rsidRPr="002248FD">
        <w:rPr>
          <w:sz w:val="24"/>
          <w:szCs w:val="24"/>
        </w:rPr>
        <w:t xml:space="preserve"> amparo de sus derechos</w:t>
      </w:r>
      <w:r w:rsidR="00041C53" w:rsidRPr="002248FD">
        <w:rPr>
          <w:sz w:val="24"/>
          <w:szCs w:val="24"/>
        </w:rPr>
        <w:t xml:space="preserve"> fundamentales</w:t>
      </w:r>
      <w:r w:rsidR="00C53B7C" w:rsidRPr="002248FD">
        <w:rPr>
          <w:sz w:val="24"/>
          <w:szCs w:val="24"/>
        </w:rPr>
        <w:t xml:space="preserve"> </w:t>
      </w:r>
      <w:r w:rsidR="007F09F8">
        <w:rPr>
          <w:sz w:val="24"/>
          <w:szCs w:val="24"/>
        </w:rPr>
        <w:t xml:space="preserve">a la igualdad, </w:t>
      </w:r>
      <w:r w:rsidR="006A6312" w:rsidRPr="002248FD">
        <w:rPr>
          <w:sz w:val="24"/>
          <w:szCs w:val="24"/>
        </w:rPr>
        <w:t>al debido proceso</w:t>
      </w:r>
      <w:r w:rsidR="004A6EC1">
        <w:rPr>
          <w:sz w:val="24"/>
          <w:szCs w:val="24"/>
        </w:rPr>
        <w:t>, al buen nombre y al mínimo vital</w:t>
      </w:r>
      <w:r w:rsidR="006A6312" w:rsidRPr="002248FD">
        <w:rPr>
          <w:sz w:val="24"/>
          <w:szCs w:val="24"/>
        </w:rPr>
        <w:t>.</w:t>
      </w:r>
      <w:r w:rsidR="00211F0C" w:rsidRPr="002248FD">
        <w:rPr>
          <w:sz w:val="24"/>
          <w:szCs w:val="24"/>
        </w:rPr>
        <w:t xml:space="preserve"> </w:t>
      </w:r>
      <w:r w:rsidR="007F09F8">
        <w:rPr>
          <w:sz w:val="24"/>
          <w:szCs w:val="24"/>
        </w:rPr>
        <w:t>Tales</w:t>
      </w:r>
      <w:r w:rsidR="006A6312" w:rsidRPr="002248FD">
        <w:rPr>
          <w:sz w:val="24"/>
          <w:szCs w:val="24"/>
        </w:rPr>
        <w:t xml:space="preserve"> garantías las consideró vulnerada</w:t>
      </w:r>
      <w:r w:rsidR="00211F0C" w:rsidRPr="002248FD">
        <w:rPr>
          <w:sz w:val="24"/>
          <w:szCs w:val="24"/>
        </w:rPr>
        <w:t xml:space="preserve">s por </w:t>
      </w:r>
      <w:r w:rsidR="006A6312" w:rsidRPr="002248FD">
        <w:rPr>
          <w:sz w:val="24"/>
          <w:szCs w:val="24"/>
        </w:rPr>
        <w:t xml:space="preserve">el </w:t>
      </w:r>
      <w:r w:rsidR="004A6EC1" w:rsidRPr="004A6EC1">
        <w:rPr>
          <w:sz w:val="24"/>
          <w:szCs w:val="24"/>
        </w:rPr>
        <w:t xml:space="preserve">Tribunal Administrativo del Quindío, </w:t>
      </w:r>
      <w:r w:rsidR="004A6EC1">
        <w:rPr>
          <w:sz w:val="24"/>
          <w:szCs w:val="24"/>
        </w:rPr>
        <w:t xml:space="preserve">el </w:t>
      </w:r>
      <w:r w:rsidR="004A6EC1" w:rsidRPr="004A6EC1">
        <w:rPr>
          <w:sz w:val="24"/>
          <w:szCs w:val="24"/>
        </w:rPr>
        <w:t xml:space="preserve">Juzgado Quinto Administrativo del Circuito Judicial de Ibagué, </w:t>
      </w:r>
      <w:r w:rsidR="004A6EC1">
        <w:rPr>
          <w:sz w:val="24"/>
          <w:szCs w:val="24"/>
        </w:rPr>
        <w:t xml:space="preserve">la </w:t>
      </w:r>
      <w:r w:rsidR="004A6EC1" w:rsidRPr="004A6EC1">
        <w:rPr>
          <w:sz w:val="24"/>
          <w:szCs w:val="24"/>
        </w:rPr>
        <w:t xml:space="preserve">Superintendencia Nacional de Salud y </w:t>
      </w:r>
      <w:r w:rsidR="004A6EC1">
        <w:rPr>
          <w:sz w:val="24"/>
          <w:szCs w:val="24"/>
        </w:rPr>
        <w:t xml:space="preserve">el </w:t>
      </w:r>
      <w:r w:rsidR="004A6EC1" w:rsidRPr="004A6EC1">
        <w:rPr>
          <w:sz w:val="24"/>
          <w:szCs w:val="24"/>
        </w:rPr>
        <w:t>Consejo Superior de la Judicatura</w:t>
      </w:r>
      <w:r w:rsidR="006A6312" w:rsidRPr="002248FD">
        <w:rPr>
          <w:sz w:val="24"/>
          <w:szCs w:val="24"/>
        </w:rPr>
        <w:t>.</w:t>
      </w:r>
      <w:r w:rsidR="00041C53" w:rsidRPr="002248FD">
        <w:rPr>
          <w:sz w:val="24"/>
          <w:szCs w:val="24"/>
        </w:rPr>
        <w:t xml:space="preserve"> </w:t>
      </w:r>
      <w:r w:rsidR="004A6EC1">
        <w:rPr>
          <w:sz w:val="24"/>
          <w:szCs w:val="24"/>
        </w:rPr>
        <w:t xml:space="preserve">En su memorial, la señora Díaz se dirigió contra el auto del 16 de noviembre de 2017, proferido en sede de desacato por el referido </w:t>
      </w:r>
      <w:r w:rsidR="00414B67">
        <w:rPr>
          <w:sz w:val="24"/>
          <w:szCs w:val="24"/>
        </w:rPr>
        <w:t>j</w:t>
      </w:r>
      <w:r w:rsidR="004A6EC1">
        <w:rPr>
          <w:sz w:val="24"/>
          <w:szCs w:val="24"/>
        </w:rPr>
        <w:t>uzgado con el fin de hacer cumplir las órdenes de tutela dictadas dentro del proceso constitucional promovido por José Antonio Agudelo Pareja</w:t>
      </w:r>
      <w:r w:rsidR="004A6EC1">
        <w:rPr>
          <w:rStyle w:val="Refdenotaalpie"/>
          <w:sz w:val="24"/>
          <w:szCs w:val="24"/>
        </w:rPr>
        <w:footnoteReference w:id="2"/>
      </w:r>
      <w:r w:rsidR="004A6EC1">
        <w:rPr>
          <w:sz w:val="24"/>
          <w:szCs w:val="24"/>
        </w:rPr>
        <w:t>.</w:t>
      </w:r>
    </w:p>
    <w:p w14:paraId="11A2DB4D" w14:textId="77777777" w:rsidR="00040C04" w:rsidRDefault="00040C04" w:rsidP="0036159F">
      <w:pPr>
        <w:spacing w:line="276" w:lineRule="auto"/>
        <w:rPr>
          <w:sz w:val="24"/>
          <w:szCs w:val="24"/>
        </w:rPr>
      </w:pPr>
    </w:p>
    <w:p w14:paraId="2FC3C6AE" w14:textId="5163D4C0" w:rsidR="00B46A0E" w:rsidRPr="000D23AD" w:rsidRDefault="007F09F8" w:rsidP="0036159F">
      <w:pPr>
        <w:overflowPunct w:val="0"/>
        <w:autoSpaceDE w:val="0"/>
        <w:autoSpaceDN w:val="0"/>
        <w:adjustRightInd w:val="0"/>
        <w:spacing w:line="276" w:lineRule="auto"/>
        <w:textAlignment w:val="baseline"/>
        <w:rPr>
          <w:rFonts w:eastAsia="Times New Roman"/>
          <w:sz w:val="22"/>
          <w:szCs w:val="24"/>
          <w:lang w:val="es-ES_tradnl" w:eastAsia="es-ES"/>
        </w:rPr>
      </w:pPr>
      <w:r>
        <w:rPr>
          <w:rFonts w:eastAsia="Times New Roman"/>
          <w:sz w:val="24"/>
          <w:szCs w:val="24"/>
          <w:lang w:val="es-ES" w:eastAsia="es-ES"/>
        </w:rPr>
        <w:t xml:space="preserve">En su escrito </w:t>
      </w:r>
      <w:r w:rsidR="00056018">
        <w:rPr>
          <w:rFonts w:eastAsia="Times New Roman"/>
          <w:sz w:val="24"/>
          <w:szCs w:val="24"/>
          <w:lang w:val="es-ES" w:eastAsia="es-ES"/>
        </w:rPr>
        <w:t>introductorio</w:t>
      </w:r>
      <w:r w:rsidR="00B46A0E" w:rsidRPr="00335975">
        <w:rPr>
          <w:rFonts w:eastAsia="Times New Roman"/>
          <w:sz w:val="24"/>
          <w:szCs w:val="24"/>
          <w:lang w:val="es-ES_tradnl" w:eastAsia="es-ES"/>
        </w:rPr>
        <w:t xml:space="preserve"> </w:t>
      </w:r>
      <w:r w:rsidR="00414B67">
        <w:rPr>
          <w:rFonts w:eastAsia="Times New Roman"/>
          <w:sz w:val="24"/>
          <w:szCs w:val="24"/>
          <w:lang w:val="es-ES_tradnl" w:eastAsia="es-ES"/>
        </w:rPr>
        <w:t>la</w:t>
      </w:r>
      <w:r>
        <w:rPr>
          <w:rFonts w:eastAsia="Times New Roman"/>
          <w:sz w:val="24"/>
          <w:szCs w:val="24"/>
          <w:lang w:val="es-ES_tradnl" w:eastAsia="es-ES"/>
        </w:rPr>
        <w:t xml:space="preserve"> actor</w:t>
      </w:r>
      <w:r w:rsidR="00414B67">
        <w:rPr>
          <w:rFonts w:eastAsia="Times New Roman"/>
          <w:sz w:val="24"/>
          <w:szCs w:val="24"/>
          <w:lang w:val="es-ES_tradnl" w:eastAsia="es-ES"/>
        </w:rPr>
        <w:t>a</w:t>
      </w:r>
      <w:r w:rsidR="00B46A0E" w:rsidRPr="00335975">
        <w:rPr>
          <w:rFonts w:eastAsia="Times New Roman"/>
          <w:sz w:val="24"/>
          <w:szCs w:val="24"/>
          <w:lang w:val="es-ES_tradnl" w:eastAsia="es-ES"/>
        </w:rPr>
        <w:t xml:space="preserve"> solicitó, como </w:t>
      </w:r>
      <w:r w:rsidR="00B46A0E" w:rsidRPr="00782B33">
        <w:rPr>
          <w:rFonts w:eastAsia="Times New Roman"/>
          <w:b/>
          <w:i/>
          <w:sz w:val="24"/>
          <w:szCs w:val="24"/>
          <w:lang w:val="es-ES_tradnl" w:eastAsia="es-ES"/>
        </w:rPr>
        <w:t>medida provisional</w:t>
      </w:r>
      <w:r w:rsidR="00B46A0E" w:rsidRPr="00335975">
        <w:rPr>
          <w:rFonts w:eastAsia="Times New Roman"/>
          <w:sz w:val="24"/>
          <w:szCs w:val="24"/>
          <w:lang w:val="es-ES_tradnl" w:eastAsia="es-ES"/>
        </w:rPr>
        <w:t xml:space="preserve">, la suspensión </w:t>
      </w:r>
      <w:r>
        <w:rPr>
          <w:rFonts w:eastAsia="Times New Roman"/>
          <w:sz w:val="24"/>
          <w:szCs w:val="24"/>
          <w:lang w:val="es-ES_tradnl" w:eastAsia="es-ES"/>
        </w:rPr>
        <w:t xml:space="preserve">provisional de la </w:t>
      </w:r>
      <w:r w:rsidR="004A6EC1">
        <w:rPr>
          <w:rFonts w:eastAsia="Times New Roman"/>
          <w:sz w:val="24"/>
          <w:szCs w:val="24"/>
          <w:lang w:val="es-ES_tradnl" w:eastAsia="es-ES"/>
        </w:rPr>
        <w:t>sanción por desacato impuesta dentro del auto enjuiciado</w:t>
      </w:r>
      <w:r w:rsidR="00B46A0E">
        <w:rPr>
          <w:rFonts w:eastAsia="Times New Roman"/>
          <w:sz w:val="24"/>
          <w:szCs w:val="24"/>
          <w:lang w:val="es-ES_tradnl" w:eastAsia="es-ES"/>
        </w:rPr>
        <w:t>.</w:t>
      </w:r>
    </w:p>
    <w:p w14:paraId="04A9D369" w14:textId="77777777" w:rsidR="00B46A0E" w:rsidRDefault="00B46A0E" w:rsidP="0036159F">
      <w:pPr>
        <w:overflowPunct w:val="0"/>
        <w:autoSpaceDE w:val="0"/>
        <w:autoSpaceDN w:val="0"/>
        <w:adjustRightInd w:val="0"/>
        <w:spacing w:line="276" w:lineRule="auto"/>
        <w:textAlignment w:val="baseline"/>
        <w:rPr>
          <w:rFonts w:eastAsia="Times New Roman"/>
          <w:sz w:val="24"/>
          <w:szCs w:val="24"/>
          <w:lang w:val="es-ES_tradnl" w:eastAsia="es-ES"/>
        </w:rPr>
      </w:pPr>
    </w:p>
    <w:p w14:paraId="02202097" w14:textId="4BA9F2DF" w:rsidR="00B46A0E" w:rsidRPr="00335975" w:rsidRDefault="00B46A0E" w:rsidP="0036159F">
      <w:pPr>
        <w:overflowPunct w:val="0"/>
        <w:autoSpaceDE w:val="0"/>
        <w:autoSpaceDN w:val="0"/>
        <w:adjustRightInd w:val="0"/>
        <w:spacing w:line="276" w:lineRule="auto"/>
        <w:textAlignment w:val="baseline"/>
        <w:rPr>
          <w:rFonts w:eastAsia="Times New Roman"/>
          <w:sz w:val="24"/>
          <w:szCs w:val="24"/>
          <w:lang w:val="es-ES_tradnl" w:eastAsia="es-ES"/>
        </w:rPr>
      </w:pPr>
      <w:r w:rsidRPr="00335975">
        <w:rPr>
          <w:rFonts w:eastAsia="Times New Roman"/>
          <w:sz w:val="24"/>
          <w:szCs w:val="24"/>
          <w:lang w:val="es-ES_tradnl" w:eastAsia="es-ES"/>
        </w:rPr>
        <w:t xml:space="preserve">Para resolver sobre esta solicitud es preciso tener presente que el </w:t>
      </w:r>
      <w:r w:rsidR="00056018">
        <w:rPr>
          <w:rFonts w:eastAsia="Times New Roman"/>
          <w:sz w:val="24"/>
          <w:szCs w:val="24"/>
          <w:lang w:val="es-ES_tradnl" w:eastAsia="es-ES"/>
        </w:rPr>
        <w:t>artículo 7</w:t>
      </w:r>
      <w:r w:rsidR="00056018">
        <w:rPr>
          <w:rFonts w:eastAsia="Times New Roman"/>
          <w:sz w:val="24"/>
          <w:szCs w:val="24"/>
          <w:vertAlign w:val="superscript"/>
          <w:lang w:val="es-ES_tradnl" w:eastAsia="es-ES"/>
        </w:rPr>
        <w:t>[</w:t>
      </w:r>
      <w:r w:rsidR="00056018">
        <w:rPr>
          <w:rStyle w:val="Refdenotaalpie"/>
          <w:rFonts w:eastAsia="Times New Roman"/>
          <w:sz w:val="24"/>
          <w:szCs w:val="24"/>
          <w:lang w:val="es-ES_tradnl" w:eastAsia="es-ES"/>
        </w:rPr>
        <w:footnoteReference w:id="3"/>
      </w:r>
      <w:r w:rsidR="00056018">
        <w:rPr>
          <w:rFonts w:eastAsia="Times New Roman"/>
          <w:sz w:val="24"/>
          <w:szCs w:val="24"/>
          <w:vertAlign w:val="superscript"/>
          <w:lang w:val="es-ES_tradnl" w:eastAsia="es-ES"/>
        </w:rPr>
        <w:t>]</w:t>
      </w:r>
      <w:r w:rsidR="00056018">
        <w:rPr>
          <w:rFonts w:eastAsia="Times New Roman"/>
          <w:sz w:val="24"/>
          <w:szCs w:val="24"/>
          <w:lang w:val="es-ES_tradnl" w:eastAsia="es-ES"/>
        </w:rPr>
        <w:t xml:space="preserve"> del </w:t>
      </w:r>
      <w:r w:rsidRPr="00335975">
        <w:rPr>
          <w:rFonts w:eastAsia="Times New Roman"/>
          <w:sz w:val="24"/>
          <w:szCs w:val="24"/>
          <w:lang w:val="es-ES_tradnl" w:eastAsia="es-ES"/>
        </w:rPr>
        <w:t>Decreto 2591 de 1991</w:t>
      </w:r>
      <w:r w:rsidR="00056018">
        <w:rPr>
          <w:rFonts w:eastAsia="Times New Roman"/>
          <w:sz w:val="24"/>
          <w:szCs w:val="24"/>
          <w:vertAlign w:val="superscript"/>
          <w:lang w:val="es-ES_tradnl" w:eastAsia="es-ES"/>
        </w:rPr>
        <w:t>[</w:t>
      </w:r>
      <w:r w:rsidR="00056018">
        <w:rPr>
          <w:rStyle w:val="Refdenotaalpie"/>
          <w:rFonts w:eastAsia="Times New Roman"/>
          <w:sz w:val="24"/>
          <w:szCs w:val="24"/>
          <w:lang w:val="es-ES_tradnl" w:eastAsia="es-ES"/>
        </w:rPr>
        <w:footnoteReference w:id="4"/>
      </w:r>
      <w:r w:rsidR="00056018">
        <w:rPr>
          <w:rFonts w:eastAsia="Times New Roman"/>
          <w:sz w:val="24"/>
          <w:szCs w:val="24"/>
          <w:vertAlign w:val="superscript"/>
          <w:lang w:val="es-ES_tradnl" w:eastAsia="es-ES"/>
        </w:rPr>
        <w:t xml:space="preserve">] </w:t>
      </w:r>
      <w:r w:rsidRPr="00335975">
        <w:rPr>
          <w:rFonts w:eastAsia="Times New Roman"/>
          <w:sz w:val="24"/>
          <w:szCs w:val="24"/>
          <w:lang w:val="es-ES" w:eastAsia="es-ES"/>
        </w:rPr>
        <w:t xml:space="preserve">prevé que el juez </w:t>
      </w:r>
      <w:r w:rsidR="00056018">
        <w:rPr>
          <w:rFonts w:eastAsia="Times New Roman"/>
          <w:sz w:val="24"/>
          <w:szCs w:val="24"/>
          <w:lang w:val="es-ES" w:eastAsia="es-ES"/>
        </w:rPr>
        <w:t>de tutela</w:t>
      </w:r>
      <w:r w:rsidRPr="00335975">
        <w:rPr>
          <w:rFonts w:eastAsia="Times New Roman"/>
          <w:sz w:val="24"/>
          <w:szCs w:val="24"/>
          <w:lang w:val="es-ES" w:eastAsia="es-ES"/>
        </w:rPr>
        <w:t xml:space="preserve">, cuando lo considere necesario y urgente, puede suspender la aplicación del acto concreto que amenace o vulnere el derecho. También establece que, de oficio o a petición de parte, puede disponer la ejecución o la continuidad de la ejecución para evitar perjuicios ciertos </w:t>
      </w:r>
      <w:r>
        <w:rPr>
          <w:rFonts w:eastAsia="Times New Roman"/>
          <w:sz w:val="24"/>
          <w:szCs w:val="24"/>
          <w:lang w:val="es-ES" w:eastAsia="es-ES"/>
        </w:rPr>
        <w:t xml:space="preserve">e inminentes al interés público. Finalmente, puede </w:t>
      </w:r>
      <w:r w:rsidRPr="00335975">
        <w:rPr>
          <w:rFonts w:eastAsia="Times New Roman"/>
          <w:sz w:val="24"/>
          <w:szCs w:val="24"/>
          <w:lang w:val="es-ES" w:eastAsia="es-ES"/>
        </w:rPr>
        <w:t>dictar cualquier medida de conservación o seguridad</w:t>
      </w:r>
      <w:r>
        <w:rPr>
          <w:rFonts w:eastAsia="Times New Roman"/>
          <w:sz w:val="24"/>
          <w:szCs w:val="24"/>
          <w:lang w:val="es-ES" w:eastAsia="es-ES"/>
        </w:rPr>
        <w:t>,</w:t>
      </w:r>
      <w:r w:rsidRPr="00335975">
        <w:rPr>
          <w:rFonts w:eastAsia="Times New Roman"/>
          <w:sz w:val="24"/>
          <w:szCs w:val="24"/>
          <w:lang w:val="es-ES" w:eastAsia="es-ES"/>
        </w:rPr>
        <w:t xml:space="preserve"> encaminada a proteger el derecho o a evitar que se produzcan otros daños. </w:t>
      </w:r>
    </w:p>
    <w:p w14:paraId="258EF23C" w14:textId="77777777" w:rsidR="00B46A0E" w:rsidRPr="00335975" w:rsidRDefault="00B46A0E" w:rsidP="0036159F">
      <w:pPr>
        <w:overflowPunct w:val="0"/>
        <w:autoSpaceDE w:val="0"/>
        <w:autoSpaceDN w:val="0"/>
        <w:adjustRightInd w:val="0"/>
        <w:spacing w:line="276" w:lineRule="auto"/>
        <w:textAlignment w:val="baseline"/>
        <w:rPr>
          <w:rFonts w:eastAsia="Times New Roman"/>
          <w:sz w:val="24"/>
          <w:szCs w:val="24"/>
          <w:lang w:val="es-ES" w:eastAsia="es-ES"/>
        </w:rPr>
      </w:pPr>
    </w:p>
    <w:p w14:paraId="77EFB62C" w14:textId="03DC89A4" w:rsidR="00B46A0E" w:rsidRPr="00335975" w:rsidRDefault="00B46A0E" w:rsidP="0036159F">
      <w:pPr>
        <w:overflowPunct w:val="0"/>
        <w:autoSpaceDE w:val="0"/>
        <w:autoSpaceDN w:val="0"/>
        <w:adjustRightInd w:val="0"/>
        <w:spacing w:line="276" w:lineRule="auto"/>
        <w:textAlignment w:val="baseline"/>
        <w:rPr>
          <w:rFonts w:eastAsia="Times New Roman"/>
          <w:sz w:val="24"/>
          <w:szCs w:val="24"/>
          <w:lang w:val="es-ES" w:eastAsia="es-ES"/>
        </w:rPr>
      </w:pPr>
      <w:r w:rsidRPr="00335975">
        <w:rPr>
          <w:rFonts w:eastAsia="Times New Roman"/>
          <w:sz w:val="24"/>
          <w:szCs w:val="24"/>
          <w:lang w:val="es-ES" w:eastAsia="es-ES"/>
        </w:rPr>
        <w:lastRenderedPageBreak/>
        <w:t xml:space="preserve">La Corte Constitucional ha considerado que las medidas provisionales tienen como finalidad: i) la protección de los </w:t>
      </w:r>
      <w:r w:rsidR="006462FB">
        <w:rPr>
          <w:rFonts w:eastAsia="Times New Roman"/>
          <w:sz w:val="24"/>
          <w:szCs w:val="24"/>
          <w:lang w:val="es-ES" w:eastAsia="es-ES"/>
        </w:rPr>
        <w:t>accionantes</w:t>
      </w:r>
      <w:r w:rsidRPr="00335975">
        <w:rPr>
          <w:rFonts w:eastAsia="Times New Roman"/>
          <w:sz w:val="24"/>
          <w:szCs w:val="24"/>
          <w:lang w:val="es-ES" w:eastAsia="es-ES"/>
        </w:rPr>
        <w:t xml:space="preserve"> con el fin de impedir que un eventual amparo se torne ilusorio; ii) salvaguardar los derechos fundamentales que se encuentran en discusión o en amenaza de vulneración</w:t>
      </w:r>
      <w:r w:rsidR="006462FB">
        <w:rPr>
          <w:rFonts w:eastAsia="Times New Roman"/>
          <w:sz w:val="24"/>
          <w:szCs w:val="24"/>
          <w:lang w:val="es-ES" w:eastAsia="es-ES"/>
        </w:rPr>
        <w:t>;</w:t>
      </w:r>
      <w:r w:rsidRPr="00335975">
        <w:rPr>
          <w:rFonts w:eastAsia="Times New Roman"/>
          <w:sz w:val="24"/>
          <w:szCs w:val="24"/>
          <w:lang w:val="es-ES" w:eastAsia="es-ES"/>
        </w:rPr>
        <w:t xml:space="preserve"> y iii) evitar que se produzcan otros daños como consecuencia de los hechos objeto de análisis en el proceso, perjuicios que no se circunscriben a los que pueda sufrir el </w:t>
      </w:r>
      <w:r w:rsidR="006462FB">
        <w:rPr>
          <w:rFonts w:eastAsia="Times New Roman"/>
          <w:sz w:val="24"/>
          <w:szCs w:val="24"/>
          <w:lang w:val="es-ES" w:eastAsia="es-ES"/>
        </w:rPr>
        <w:t>solicitante de protección tutelar</w:t>
      </w:r>
      <w:r w:rsidRPr="00335975">
        <w:rPr>
          <w:rFonts w:eastAsia="Times New Roman"/>
          <w:sz w:val="24"/>
          <w:szCs w:val="24"/>
          <w:lang w:val="es-ES" w:eastAsia="es-ES"/>
        </w:rPr>
        <w:t xml:space="preserve">. </w:t>
      </w:r>
      <w:r>
        <w:rPr>
          <w:rFonts w:eastAsia="Times New Roman"/>
          <w:sz w:val="24"/>
          <w:szCs w:val="24"/>
          <w:lang w:val="es-ES" w:eastAsia="es-ES"/>
        </w:rPr>
        <w:t>Con el objeto de conseguir la materialidad de los anteriores fines</w:t>
      </w:r>
      <w:r w:rsidRPr="00335975">
        <w:rPr>
          <w:rFonts w:eastAsia="Times New Roman"/>
          <w:sz w:val="24"/>
          <w:szCs w:val="24"/>
          <w:lang w:val="es-ES" w:eastAsia="es-ES"/>
        </w:rPr>
        <w:t xml:space="preserve">, el juez está facultado </w:t>
      </w:r>
      <w:r w:rsidRPr="006462FB">
        <w:rPr>
          <w:rFonts w:eastAsia="Times New Roman"/>
          <w:i/>
          <w:iCs/>
          <w:sz w:val="24"/>
          <w:szCs w:val="24"/>
          <w:lang w:val="es-ES" w:eastAsia="es-ES"/>
        </w:rPr>
        <w:t>para ordenar lo que considere procedente</w:t>
      </w:r>
      <w:r>
        <w:rPr>
          <w:rFonts w:eastAsia="Times New Roman"/>
          <w:sz w:val="24"/>
          <w:szCs w:val="24"/>
          <w:lang w:val="es-ES" w:eastAsia="es-ES"/>
        </w:rPr>
        <w:t>;</w:t>
      </w:r>
      <w:r w:rsidRPr="00335975">
        <w:rPr>
          <w:rFonts w:eastAsia="Times New Roman"/>
          <w:sz w:val="24"/>
          <w:szCs w:val="24"/>
          <w:lang w:val="es-ES" w:eastAsia="es-ES"/>
        </w:rPr>
        <w:t xml:space="preserve"> pero su discrecionalidad es restringida </w:t>
      </w:r>
      <w:r w:rsidR="006462FB">
        <w:rPr>
          <w:rFonts w:eastAsia="Times New Roman"/>
          <w:sz w:val="24"/>
          <w:szCs w:val="24"/>
          <w:lang w:val="es-ES" w:eastAsia="es-ES"/>
        </w:rPr>
        <w:t>debido</w:t>
      </w:r>
      <w:r w:rsidRPr="00335975">
        <w:rPr>
          <w:rFonts w:eastAsia="Times New Roman"/>
          <w:sz w:val="24"/>
          <w:szCs w:val="24"/>
          <w:lang w:val="es-ES" w:eastAsia="es-ES"/>
        </w:rPr>
        <w:t xml:space="preserve"> a que la decisión que decrete las medidas provisionales debe ser “razonada, sopesada y proporcionada a la situación planteada”</w:t>
      </w:r>
      <w:r w:rsidRPr="00335975">
        <w:rPr>
          <w:rFonts w:eastAsia="Times New Roman"/>
          <w:sz w:val="24"/>
          <w:szCs w:val="24"/>
          <w:vertAlign w:val="superscript"/>
          <w:lang w:val="es-ES" w:eastAsia="es-ES"/>
        </w:rPr>
        <w:footnoteReference w:id="5"/>
      </w:r>
      <w:r>
        <w:rPr>
          <w:rFonts w:eastAsia="Times New Roman"/>
          <w:sz w:val="24"/>
          <w:szCs w:val="24"/>
          <w:lang w:val="es-ES" w:eastAsia="es-ES"/>
        </w:rPr>
        <w:t>.</w:t>
      </w:r>
    </w:p>
    <w:p w14:paraId="422CA6AD" w14:textId="77777777" w:rsidR="00B46A0E" w:rsidRPr="00335975" w:rsidRDefault="00B46A0E" w:rsidP="0036159F">
      <w:pPr>
        <w:overflowPunct w:val="0"/>
        <w:autoSpaceDE w:val="0"/>
        <w:autoSpaceDN w:val="0"/>
        <w:adjustRightInd w:val="0"/>
        <w:spacing w:line="276" w:lineRule="auto"/>
        <w:textAlignment w:val="baseline"/>
        <w:rPr>
          <w:rFonts w:eastAsia="Times New Roman"/>
          <w:sz w:val="24"/>
          <w:szCs w:val="24"/>
          <w:lang w:val="es-ES" w:eastAsia="es-ES"/>
        </w:rPr>
      </w:pPr>
    </w:p>
    <w:p w14:paraId="4E33B607" w14:textId="16017529" w:rsidR="0039526F" w:rsidRDefault="004A6EC1" w:rsidP="0036159F">
      <w:pPr>
        <w:overflowPunct w:val="0"/>
        <w:autoSpaceDE w:val="0"/>
        <w:autoSpaceDN w:val="0"/>
        <w:adjustRightInd w:val="0"/>
        <w:spacing w:line="276" w:lineRule="auto"/>
        <w:textAlignment w:val="baseline"/>
        <w:rPr>
          <w:rFonts w:eastAsia="Times New Roman"/>
          <w:sz w:val="24"/>
          <w:szCs w:val="24"/>
        </w:rPr>
      </w:pPr>
      <w:r>
        <w:rPr>
          <w:rFonts w:eastAsia="Times New Roman"/>
          <w:sz w:val="24"/>
          <w:szCs w:val="24"/>
        </w:rPr>
        <w:t>La</w:t>
      </w:r>
      <w:r w:rsidR="006462FB">
        <w:rPr>
          <w:rFonts w:eastAsia="Times New Roman"/>
          <w:sz w:val="24"/>
          <w:szCs w:val="24"/>
        </w:rPr>
        <w:t xml:space="preserve"> peticionari</w:t>
      </w:r>
      <w:r>
        <w:rPr>
          <w:rFonts w:eastAsia="Times New Roman"/>
          <w:sz w:val="24"/>
          <w:szCs w:val="24"/>
        </w:rPr>
        <w:t>a</w:t>
      </w:r>
      <w:r w:rsidR="006462FB">
        <w:rPr>
          <w:rFonts w:eastAsia="Times New Roman"/>
          <w:sz w:val="24"/>
          <w:szCs w:val="24"/>
        </w:rPr>
        <w:t xml:space="preserve"> sustentó su solicitud de medida provisional en lo que </w:t>
      </w:r>
      <w:r>
        <w:rPr>
          <w:rFonts w:eastAsia="Times New Roman"/>
          <w:sz w:val="24"/>
          <w:szCs w:val="24"/>
        </w:rPr>
        <w:t>ella considera como la imposibilidad absoluta de cumplir la orden de tutela dictada dentro de la acción de amparo identificada arriba</w:t>
      </w:r>
      <w:r w:rsidR="006462FB">
        <w:rPr>
          <w:rFonts w:eastAsia="Times New Roman"/>
          <w:sz w:val="24"/>
          <w:szCs w:val="24"/>
        </w:rPr>
        <w:t xml:space="preserve">. Desde su perspectiva, </w:t>
      </w:r>
      <w:r>
        <w:rPr>
          <w:rFonts w:eastAsia="Times New Roman"/>
          <w:sz w:val="24"/>
          <w:szCs w:val="24"/>
        </w:rPr>
        <w:t xml:space="preserve">la prestación de los servicios de salud que los falladores accionados ordenaron a favor del citado señor Agudelo es imposible de cumplir, puesto que dicha persona ya no está afiliada a la E.P.S. referenciada anteriormente. Por tal razón, </w:t>
      </w:r>
      <w:r w:rsidR="00414B67">
        <w:rPr>
          <w:rFonts w:eastAsia="Times New Roman"/>
          <w:sz w:val="24"/>
          <w:szCs w:val="24"/>
        </w:rPr>
        <w:t xml:space="preserve">afirmó, </w:t>
      </w:r>
      <w:r>
        <w:rPr>
          <w:rFonts w:eastAsia="Times New Roman"/>
          <w:sz w:val="24"/>
          <w:szCs w:val="24"/>
        </w:rPr>
        <w:t>el auto enjuiciado le ha ocasionado graves inconvenientes, pues ha tenido que comprometer su patrimonio e, incluso, su buen nombre en su calidad de gerente regional</w:t>
      </w:r>
      <w:r w:rsidR="00414B67">
        <w:rPr>
          <w:rFonts w:eastAsia="Times New Roman"/>
          <w:sz w:val="24"/>
          <w:szCs w:val="24"/>
        </w:rPr>
        <w:t xml:space="preserve"> de la citada E.P.S.</w:t>
      </w:r>
    </w:p>
    <w:p w14:paraId="5D3E3588" w14:textId="77777777" w:rsidR="0039526F" w:rsidRDefault="0039526F" w:rsidP="0036159F">
      <w:pPr>
        <w:overflowPunct w:val="0"/>
        <w:autoSpaceDE w:val="0"/>
        <w:autoSpaceDN w:val="0"/>
        <w:adjustRightInd w:val="0"/>
        <w:spacing w:line="276" w:lineRule="auto"/>
        <w:textAlignment w:val="baseline"/>
        <w:rPr>
          <w:rFonts w:eastAsia="Times New Roman"/>
          <w:sz w:val="24"/>
          <w:szCs w:val="24"/>
        </w:rPr>
      </w:pPr>
    </w:p>
    <w:p w14:paraId="5DEDA381" w14:textId="6E8D3E18" w:rsidR="00AE30B0" w:rsidRDefault="00AE30B0" w:rsidP="0036159F">
      <w:pPr>
        <w:overflowPunct w:val="0"/>
        <w:autoSpaceDE w:val="0"/>
        <w:autoSpaceDN w:val="0"/>
        <w:adjustRightInd w:val="0"/>
        <w:spacing w:line="276" w:lineRule="auto"/>
        <w:textAlignment w:val="baseline"/>
        <w:rPr>
          <w:rFonts w:eastAsia="Times New Roman"/>
          <w:sz w:val="24"/>
          <w:szCs w:val="24"/>
        </w:rPr>
      </w:pPr>
      <w:r>
        <w:rPr>
          <w:rFonts w:eastAsia="Times New Roman"/>
          <w:sz w:val="24"/>
          <w:szCs w:val="24"/>
        </w:rPr>
        <w:t xml:space="preserve">Esa medida provisional debe negarse. En primer lugar, </w:t>
      </w:r>
      <w:r w:rsidR="004A6EC1">
        <w:rPr>
          <w:rFonts w:eastAsia="Times New Roman"/>
          <w:sz w:val="24"/>
          <w:szCs w:val="24"/>
        </w:rPr>
        <w:t>la providencia objeto del presente trámite fue dictada en noviembre de 2017, esto es, hace más de tres años. Lo anterior deja ver que la premura de la que habla la accionante no es tanta como ella lo afirma. De lo contrario, habría tomado medidas para controvertir ese proveído antes de la radicación de la acción de tutela bajo estudio</w:t>
      </w:r>
      <w:r>
        <w:rPr>
          <w:rFonts w:eastAsia="Times New Roman"/>
          <w:sz w:val="24"/>
          <w:szCs w:val="24"/>
        </w:rPr>
        <w:t xml:space="preserve">. A ello se une que, en todo caso, el punto de derecho en comento debe dilucidarse en un estudio de </w:t>
      </w:r>
      <w:r w:rsidR="008D34AC">
        <w:rPr>
          <w:rFonts w:eastAsia="Times New Roman"/>
          <w:sz w:val="24"/>
          <w:szCs w:val="24"/>
        </w:rPr>
        <w:t>procedibilidad</w:t>
      </w:r>
      <w:r>
        <w:rPr>
          <w:rFonts w:eastAsia="Times New Roman"/>
          <w:sz w:val="24"/>
          <w:szCs w:val="24"/>
        </w:rPr>
        <w:t xml:space="preserve"> dentro del presente proceso constitucional. Así mismo, </w:t>
      </w:r>
      <w:r w:rsidR="008D34AC">
        <w:rPr>
          <w:rFonts w:eastAsia="Times New Roman"/>
          <w:sz w:val="24"/>
          <w:szCs w:val="24"/>
        </w:rPr>
        <w:t>es cierto que no se allegó</w:t>
      </w:r>
      <w:r>
        <w:rPr>
          <w:rFonts w:eastAsia="Times New Roman"/>
          <w:sz w:val="24"/>
          <w:szCs w:val="24"/>
        </w:rPr>
        <w:t xml:space="preserve"> ninguna pieza que acredite que </w:t>
      </w:r>
      <w:r w:rsidR="008D34AC">
        <w:rPr>
          <w:rFonts w:eastAsia="Times New Roman"/>
          <w:sz w:val="24"/>
          <w:szCs w:val="24"/>
        </w:rPr>
        <w:t>la</w:t>
      </w:r>
      <w:r>
        <w:rPr>
          <w:rFonts w:eastAsia="Times New Roman"/>
          <w:sz w:val="24"/>
          <w:szCs w:val="24"/>
        </w:rPr>
        <w:t xml:space="preserve"> accionante se encuentra en serias dificultades de orden laboral </w:t>
      </w:r>
      <w:r w:rsidR="008D34AC">
        <w:rPr>
          <w:rFonts w:eastAsia="Times New Roman"/>
          <w:sz w:val="24"/>
          <w:szCs w:val="24"/>
        </w:rPr>
        <w:t xml:space="preserve">o económico </w:t>
      </w:r>
      <w:r>
        <w:rPr>
          <w:rFonts w:eastAsia="Times New Roman"/>
          <w:sz w:val="24"/>
          <w:szCs w:val="24"/>
        </w:rPr>
        <w:t>que atenten contra el gozo efectivo de sus derechos.</w:t>
      </w:r>
    </w:p>
    <w:p w14:paraId="0F24A7B0" w14:textId="77777777" w:rsidR="00AE30B0" w:rsidRDefault="00AE30B0" w:rsidP="0036159F">
      <w:pPr>
        <w:overflowPunct w:val="0"/>
        <w:autoSpaceDE w:val="0"/>
        <w:autoSpaceDN w:val="0"/>
        <w:adjustRightInd w:val="0"/>
        <w:spacing w:line="276" w:lineRule="auto"/>
        <w:textAlignment w:val="baseline"/>
        <w:rPr>
          <w:rFonts w:eastAsia="Times New Roman"/>
          <w:sz w:val="24"/>
          <w:szCs w:val="24"/>
        </w:rPr>
      </w:pPr>
    </w:p>
    <w:p w14:paraId="46031BE1" w14:textId="5B829DEF" w:rsidR="00B46A0E" w:rsidRPr="008A45D0" w:rsidRDefault="00C95B5A" w:rsidP="0036159F">
      <w:pPr>
        <w:overflowPunct w:val="0"/>
        <w:autoSpaceDE w:val="0"/>
        <w:autoSpaceDN w:val="0"/>
        <w:adjustRightInd w:val="0"/>
        <w:spacing w:line="276" w:lineRule="auto"/>
        <w:textAlignment w:val="baseline"/>
        <w:rPr>
          <w:rFonts w:eastAsia="Times New Roman"/>
          <w:sz w:val="24"/>
          <w:szCs w:val="24"/>
          <w:lang w:eastAsia="es-ES"/>
        </w:rPr>
      </w:pPr>
      <w:r>
        <w:rPr>
          <w:rFonts w:eastAsia="Times New Roman"/>
          <w:sz w:val="24"/>
          <w:szCs w:val="24"/>
        </w:rPr>
        <w:t>En conclusión</w:t>
      </w:r>
      <w:r w:rsidR="00B46A0E">
        <w:rPr>
          <w:rFonts w:eastAsia="Times New Roman"/>
          <w:sz w:val="24"/>
          <w:szCs w:val="24"/>
        </w:rPr>
        <w:t xml:space="preserve">, de la solicitud de amparo no se </w:t>
      </w:r>
      <w:r>
        <w:rPr>
          <w:rFonts w:eastAsia="Times New Roman"/>
          <w:sz w:val="24"/>
          <w:szCs w:val="24"/>
        </w:rPr>
        <w:t>desprende</w:t>
      </w:r>
      <w:r w:rsidR="00B46A0E">
        <w:rPr>
          <w:rFonts w:eastAsia="Times New Roman"/>
          <w:sz w:val="24"/>
          <w:szCs w:val="24"/>
        </w:rPr>
        <w:t xml:space="preserve"> una razón de urgencia</w:t>
      </w:r>
      <w:r w:rsidR="008412FB">
        <w:rPr>
          <w:rFonts w:eastAsia="Times New Roman"/>
          <w:sz w:val="24"/>
          <w:szCs w:val="24"/>
        </w:rPr>
        <w:t xml:space="preserve"> que permita decretar la medida solicitada. Así mismo, el plenario no </w:t>
      </w:r>
      <w:r>
        <w:rPr>
          <w:rFonts w:eastAsia="Times New Roman"/>
          <w:sz w:val="24"/>
          <w:szCs w:val="24"/>
        </w:rPr>
        <w:t>muestra</w:t>
      </w:r>
      <w:r w:rsidR="008412FB">
        <w:rPr>
          <w:rFonts w:eastAsia="Times New Roman"/>
          <w:sz w:val="24"/>
          <w:szCs w:val="24"/>
        </w:rPr>
        <w:t xml:space="preserve"> </w:t>
      </w:r>
      <w:r w:rsidR="002A4ED9">
        <w:rPr>
          <w:rFonts w:eastAsia="Times New Roman"/>
          <w:sz w:val="24"/>
          <w:szCs w:val="24"/>
        </w:rPr>
        <w:t>motivo alguno</w:t>
      </w:r>
      <w:r w:rsidR="008412FB">
        <w:rPr>
          <w:rFonts w:eastAsia="Times New Roman"/>
          <w:sz w:val="24"/>
          <w:szCs w:val="24"/>
        </w:rPr>
        <w:t xml:space="preserve"> que permita concluir que, de </w:t>
      </w:r>
      <w:r w:rsidR="00B46A0E">
        <w:rPr>
          <w:rFonts w:eastAsia="Times New Roman"/>
          <w:sz w:val="24"/>
          <w:szCs w:val="24"/>
        </w:rPr>
        <w:t>no adoptar</w:t>
      </w:r>
      <w:r w:rsidR="000523B9">
        <w:rPr>
          <w:rFonts w:eastAsia="Times New Roman"/>
          <w:sz w:val="24"/>
          <w:szCs w:val="24"/>
        </w:rPr>
        <w:t>se</w:t>
      </w:r>
      <w:r w:rsidR="00B46A0E">
        <w:rPr>
          <w:rFonts w:eastAsia="Times New Roman"/>
          <w:sz w:val="24"/>
          <w:szCs w:val="24"/>
        </w:rPr>
        <w:t xml:space="preserve"> la medida, los efectos de una eventual orden de amparo</w:t>
      </w:r>
      <w:r w:rsidR="008412FB">
        <w:rPr>
          <w:rFonts w:eastAsia="Times New Roman"/>
          <w:sz w:val="24"/>
          <w:szCs w:val="24"/>
        </w:rPr>
        <w:t xml:space="preserve"> serían ilusorios</w:t>
      </w:r>
      <w:r w:rsidR="00B46A0E">
        <w:rPr>
          <w:rFonts w:eastAsia="Times New Roman"/>
          <w:sz w:val="24"/>
          <w:szCs w:val="24"/>
        </w:rPr>
        <w:t xml:space="preserve">. Finalmente, </w:t>
      </w:r>
      <w:r w:rsidR="003A34D0">
        <w:rPr>
          <w:rFonts w:eastAsia="Times New Roman"/>
          <w:sz w:val="24"/>
          <w:szCs w:val="24"/>
        </w:rPr>
        <w:t>la</w:t>
      </w:r>
      <w:r w:rsidR="008412FB">
        <w:rPr>
          <w:rFonts w:eastAsia="Times New Roman"/>
          <w:sz w:val="24"/>
          <w:szCs w:val="24"/>
        </w:rPr>
        <w:t xml:space="preserve"> </w:t>
      </w:r>
      <w:r>
        <w:rPr>
          <w:rFonts w:eastAsia="Times New Roman"/>
          <w:sz w:val="24"/>
          <w:szCs w:val="24"/>
        </w:rPr>
        <w:t>peticionari</w:t>
      </w:r>
      <w:r w:rsidR="003A34D0">
        <w:rPr>
          <w:rFonts w:eastAsia="Times New Roman"/>
          <w:sz w:val="24"/>
          <w:szCs w:val="24"/>
        </w:rPr>
        <w:t>a</w:t>
      </w:r>
      <w:r w:rsidR="00B46A0E">
        <w:rPr>
          <w:rFonts w:eastAsia="Times New Roman"/>
          <w:sz w:val="24"/>
          <w:szCs w:val="24"/>
        </w:rPr>
        <w:t xml:space="preserve"> tampoco </w:t>
      </w:r>
      <w:r>
        <w:rPr>
          <w:rFonts w:eastAsia="Times New Roman"/>
          <w:sz w:val="24"/>
          <w:szCs w:val="24"/>
          <w:lang w:eastAsia="es-ES"/>
        </w:rPr>
        <w:t>acredita</w:t>
      </w:r>
      <w:r w:rsidR="00B46A0E" w:rsidRPr="001D500A">
        <w:rPr>
          <w:rFonts w:eastAsia="Times New Roman"/>
          <w:sz w:val="24"/>
          <w:szCs w:val="24"/>
          <w:lang w:eastAsia="es-ES"/>
        </w:rPr>
        <w:t xml:space="preserve"> que</w:t>
      </w:r>
      <w:r>
        <w:rPr>
          <w:rFonts w:eastAsia="Times New Roman"/>
          <w:sz w:val="24"/>
          <w:szCs w:val="24"/>
          <w:lang w:eastAsia="es-ES"/>
        </w:rPr>
        <w:t xml:space="preserve"> su situación es tan apremiante y grave que debe de atenderse de inmediato, motivo por el cual no </w:t>
      </w:r>
      <w:r w:rsidR="003A34D0">
        <w:rPr>
          <w:rFonts w:eastAsia="Times New Roman"/>
          <w:sz w:val="24"/>
          <w:szCs w:val="24"/>
          <w:lang w:eastAsia="es-ES"/>
        </w:rPr>
        <w:t>sea</w:t>
      </w:r>
      <w:r>
        <w:rPr>
          <w:rFonts w:eastAsia="Times New Roman"/>
          <w:sz w:val="24"/>
          <w:szCs w:val="24"/>
          <w:lang w:eastAsia="es-ES"/>
        </w:rPr>
        <w:t xml:space="preserve"> posible esperar hasta que se profiera el fallo correspondiente.</w:t>
      </w:r>
      <w:r w:rsidR="007B7E8B">
        <w:rPr>
          <w:rFonts w:eastAsia="Times New Roman"/>
          <w:sz w:val="24"/>
          <w:szCs w:val="24"/>
          <w:lang w:eastAsia="es-ES"/>
        </w:rPr>
        <w:t xml:space="preserve"> Por todo lo anterior, en la parte resolutiva del presente proveído se negará la medida rogada.</w:t>
      </w:r>
    </w:p>
    <w:p w14:paraId="00516933" w14:textId="38F62AFC" w:rsidR="00B46A0E" w:rsidRDefault="00B46A0E" w:rsidP="0036159F">
      <w:pPr>
        <w:spacing w:line="276" w:lineRule="auto"/>
        <w:rPr>
          <w:sz w:val="24"/>
          <w:szCs w:val="24"/>
        </w:rPr>
      </w:pPr>
    </w:p>
    <w:p w14:paraId="0F053A10" w14:textId="1DC05213" w:rsidR="003B65CE" w:rsidRDefault="00FD1494" w:rsidP="0036159F">
      <w:pPr>
        <w:spacing w:line="276" w:lineRule="auto"/>
        <w:rPr>
          <w:sz w:val="24"/>
          <w:szCs w:val="24"/>
        </w:rPr>
      </w:pPr>
      <w:r>
        <w:rPr>
          <w:sz w:val="24"/>
          <w:szCs w:val="24"/>
        </w:rPr>
        <w:t xml:space="preserve">Al memorial introductorio de este </w:t>
      </w:r>
      <w:r w:rsidRPr="00FD1494">
        <w:rPr>
          <w:sz w:val="24"/>
          <w:szCs w:val="24"/>
        </w:rPr>
        <w:t>t</w:t>
      </w:r>
      <w:r>
        <w:rPr>
          <w:sz w:val="24"/>
          <w:szCs w:val="24"/>
        </w:rPr>
        <w:t>rámite procesal la actora anex</w:t>
      </w:r>
      <w:r w:rsidR="00414B67">
        <w:rPr>
          <w:sz w:val="24"/>
          <w:szCs w:val="24"/>
        </w:rPr>
        <w:t>ó</w:t>
      </w:r>
      <w:r>
        <w:rPr>
          <w:sz w:val="24"/>
          <w:szCs w:val="24"/>
        </w:rPr>
        <w:t xml:space="preserve"> los siguientes documentos:</w:t>
      </w:r>
    </w:p>
    <w:p w14:paraId="1B503AE2" w14:textId="77777777" w:rsidR="003B65CE" w:rsidRDefault="003B65CE" w:rsidP="0036159F">
      <w:pPr>
        <w:spacing w:line="276" w:lineRule="auto"/>
        <w:rPr>
          <w:sz w:val="24"/>
          <w:szCs w:val="24"/>
        </w:rPr>
      </w:pPr>
    </w:p>
    <w:p w14:paraId="5A0997EA" w14:textId="6B6BAD27" w:rsidR="003B65CE" w:rsidRDefault="003B65CE" w:rsidP="00414B67">
      <w:pPr>
        <w:pStyle w:val="Prrafodelista"/>
        <w:numPr>
          <w:ilvl w:val="0"/>
          <w:numId w:val="10"/>
        </w:numPr>
        <w:spacing w:line="276" w:lineRule="auto"/>
        <w:ind w:left="540" w:hanging="540"/>
        <w:rPr>
          <w:sz w:val="24"/>
          <w:szCs w:val="24"/>
        </w:rPr>
      </w:pPr>
      <w:r>
        <w:rPr>
          <w:sz w:val="24"/>
          <w:szCs w:val="24"/>
        </w:rPr>
        <w:t>S</w:t>
      </w:r>
      <w:r w:rsidR="00FD1494" w:rsidRPr="003B65CE">
        <w:rPr>
          <w:sz w:val="24"/>
          <w:szCs w:val="24"/>
        </w:rPr>
        <w:t>entencia</w:t>
      </w:r>
      <w:r w:rsidR="00FD1494">
        <w:rPr>
          <w:rStyle w:val="Refdenotaalpie"/>
          <w:sz w:val="24"/>
          <w:szCs w:val="24"/>
        </w:rPr>
        <w:footnoteReference w:id="6"/>
      </w:r>
      <w:r w:rsidR="00FD1494" w:rsidRPr="003B65CE">
        <w:rPr>
          <w:sz w:val="24"/>
          <w:szCs w:val="24"/>
        </w:rPr>
        <w:t xml:space="preserve"> del 30 de octubre de 2020, proferida por el Tribunal Superior del Distrito Judicial de Cúcuta dentro de la acción de tutela identificada con el n.° único de radicación 54001-22-04-000-2020-00564-00;</w:t>
      </w:r>
    </w:p>
    <w:p w14:paraId="1CDEA29D" w14:textId="77777777" w:rsidR="003B65CE" w:rsidRPr="003B65CE" w:rsidRDefault="003B65CE" w:rsidP="00414B67">
      <w:pPr>
        <w:spacing w:line="276" w:lineRule="auto"/>
        <w:ind w:left="540" w:hanging="540"/>
        <w:rPr>
          <w:sz w:val="24"/>
          <w:szCs w:val="24"/>
        </w:rPr>
      </w:pPr>
    </w:p>
    <w:p w14:paraId="67700860" w14:textId="15356BA4" w:rsidR="003B65CE" w:rsidRDefault="003B65CE" w:rsidP="00414B67">
      <w:pPr>
        <w:pStyle w:val="Prrafodelista"/>
        <w:numPr>
          <w:ilvl w:val="0"/>
          <w:numId w:val="10"/>
        </w:numPr>
        <w:spacing w:line="276" w:lineRule="auto"/>
        <w:ind w:left="540" w:hanging="540"/>
        <w:rPr>
          <w:sz w:val="24"/>
          <w:szCs w:val="24"/>
        </w:rPr>
      </w:pPr>
      <w:r>
        <w:rPr>
          <w:sz w:val="24"/>
          <w:szCs w:val="24"/>
        </w:rPr>
        <w:t>R</w:t>
      </w:r>
      <w:r w:rsidR="00FD1494" w:rsidRPr="003B65CE">
        <w:rPr>
          <w:sz w:val="24"/>
          <w:szCs w:val="24"/>
        </w:rPr>
        <w:t>esolución n.° 008896 del 1.° de octubre de 2019</w:t>
      </w:r>
      <w:r w:rsidR="00E40406" w:rsidRPr="003B65CE">
        <w:rPr>
          <w:sz w:val="24"/>
          <w:szCs w:val="24"/>
        </w:rPr>
        <w:t xml:space="preserve">, “Por la cual se ordena la toma de posesión de los bienes, haberes y negocios y la intervención forzosa administrativa para liquidar </w:t>
      </w:r>
      <w:r w:rsidR="00E40406" w:rsidRPr="003B65CE">
        <w:rPr>
          <w:b/>
          <w:bCs/>
          <w:sz w:val="24"/>
          <w:szCs w:val="24"/>
        </w:rPr>
        <w:t xml:space="preserve">SALUDVIDA E.P.S. </w:t>
      </w:r>
      <w:r w:rsidR="00E40406" w:rsidRPr="003B65CE">
        <w:rPr>
          <w:sz w:val="24"/>
          <w:szCs w:val="24"/>
        </w:rPr>
        <w:t xml:space="preserve">[sic], identificada con </w:t>
      </w:r>
      <w:proofErr w:type="spellStart"/>
      <w:r w:rsidR="00E40406" w:rsidRPr="003B65CE">
        <w:rPr>
          <w:sz w:val="24"/>
          <w:szCs w:val="24"/>
        </w:rPr>
        <w:t>Nit</w:t>
      </w:r>
      <w:proofErr w:type="spellEnd"/>
      <w:r w:rsidR="00E40406" w:rsidRPr="003B65CE">
        <w:rPr>
          <w:sz w:val="24"/>
          <w:szCs w:val="24"/>
        </w:rPr>
        <w:t>. 830.074.184-5”, expedida por la Superintendencia Nacional de Salud</w:t>
      </w:r>
      <w:r w:rsidR="00E40406">
        <w:rPr>
          <w:rStyle w:val="Refdenotaalpie"/>
          <w:sz w:val="24"/>
          <w:szCs w:val="24"/>
        </w:rPr>
        <w:footnoteReference w:id="7"/>
      </w:r>
      <w:r w:rsidR="00E40406" w:rsidRPr="003B65CE">
        <w:rPr>
          <w:sz w:val="24"/>
          <w:szCs w:val="24"/>
        </w:rPr>
        <w:t>;</w:t>
      </w:r>
    </w:p>
    <w:p w14:paraId="3D6F39C3" w14:textId="77777777" w:rsidR="003B65CE" w:rsidRPr="003B65CE" w:rsidRDefault="003B65CE" w:rsidP="00414B67">
      <w:pPr>
        <w:spacing w:line="276" w:lineRule="auto"/>
        <w:ind w:left="540" w:hanging="540"/>
        <w:rPr>
          <w:sz w:val="24"/>
          <w:szCs w:val="24"/>
        </w:rPr>
      </w:pPr>
    </w:p>
    <w:p w14:paraId="0B15D8FC" w14:textId="23EB2C17" w:rsidR="003B65CE" w:rsidRDefault="003B65CE" w:rsidP="00414B67">
      <w:pPr>
        <w:pStyle w:val="Prrafodelista"/>
        <w:numPr>
          <w:ilvl w:val="0"/>
          <w:numId w:val="10"/>
        </w:numPr>
        <w:spacing w:line="276" w:lineRule="auto"/>
        <w:ind w:left="540" w:hanging="540"/>
        <w:rPr>
          <w:sz w:val="24"/>
          <w:szCs w:val="24"/>
        </w:rPr>
      </w:pPr>
      <w:r>
        <w:rPr>
          <w:sz w:val="24"/>
          <w:szCs w:val="24"/>
        </w:rPr>
        <w:t>M</w:t>
      </w:r>
      <w:r w:rsidR="00E40406" w:rsidRPr="003B65CE">
        <w:rPr>
          <w:sz w:val="24"/>
          <w:szCs w:val="24"/>
        </w:rPr>
        <w:t xml:space="preserve">emorial por el cual se solicita la aplicación de la sanción </w:t>
      </w:r>
      <w:r w:rsidR="00095FD2" w:rsidRPr="003B65CE">
        <w:rPr>
          <w:sz w:val="24"/>
          <w:szCs w:val="24"/>
        </w:rPr>
        <w:t xml:space="preserve">por desacato </w:t>
      </w:r>
      <w:r w:rsidR="00E40406" w:rsidRPr="003B65CE">
        <w:rPr>
          <w:sz w:val="24"/>
          <w:szCs w:val="24"/>
        </w:rPr>
        <w:t>que p</w:t>
      </w:r>
      <w:r w:rsidR="00095FD2" w:rsidRPr="003B65CE">
        <w:rPr>
          <w:sz w:val="24"/>
          <w:szCs w:val="24"/>
        </w:rPr>
        <w:t>esa sobre la actora</w:t>
      </w:r>
      <w:r w:rsidR="00095FD2">
        <w:rPr>
          <w:rStyle w:val="Refdenotaalpie"/>
          <w:sz w:val="24"/>
          <w:szCs w:val="24"/>
        </w:rPr>
        <w:footnoteReference w:id="8"/>
      </w:r>
      <w:r w:rsidR="00095FD2" w:rsidRPr="003B65CE">
        <w:rPr>
          <w:sz w:val="24"/>
          <w:szCs w:val="24"/>
        </w:rPr>
        <w:t>;</w:t>
      </w:r>
    </w:p>
    <w:p w14:paraId="10072AE7" w14:textId="77777777" w:rsidR="003B65CE" w:rsidRPr="003B65CE" w:rsidRDefault="003B65CE" w:rsidP="00414B67">
      <w:pPr>
        <w:spacing w:line="276" w:lineRule="auto"/>
        <w:ind w:left="540" w:hanging="540"/>
        <w:rPr>
          <w:sz w:val="24"/>
          <w:szCs w:val="24"/>
        </w:rPr>
      </w:pPr>
    </w:p>
    <w:p w14:paraId="21F967DD" w14:textId="79E909CB" w:rsidR="003B65CE" w:rsidRDefault="003B65CE" w:rsidP="00414B67">
      <w:pPr>
        <w:pStyle w:val="Prrafodelista"/>
        <w:numPr>
          <w:ilvl w:val="0"/>
          <w:numId w:val="10"/>
        </w:numPr>
        <w:spacing w:line="276" w:lineRule="auto"/>
        <w:ind w:left="540" w:hanging="540"/>
        <w:rPr>
          <w:sz w:val="24"/>
          <w:szCs w:val="24"/>
        </w:rPr>
      </w:pPr>
      <w:r>
        <w:rPr>
          <w:sz w:val="24"/>
          <w:szCs w:val="24"/>
        </w:rPr>
        <w:t>M</w:t>
      </w:r>
      <w:r w:rsidR="00095FD2" w:rsidRPr="003B65CE">
        <w:rPr>
          <w:sz w:val="24"/>
          <w:szCs w:val="24"/>
        </w:rPr>
        <w:t>emorial del 29 de mayo de 2020 con el mismo objetivo</w:t>
      </w:r>
      <w:r w:rsidR="00095FD2">
        <w:rPr>
          <w:rStyle w:val="Refdenotaalpie"/>
          <w:sz w:val="24"/>
          <w:szCs w:val="24"/>
        </w:rPr>
        <w:footnoteReference w:id="9"/>
      </w:r>
      <w:r w:rsidR="00095FD2" w:rsidRPr="003B65CE">
        <w:rPr>
          <w:sz w:val="24"/>
          <w:szCs w:val="24"/>
        </w:rPr>
        <w:t>;</w:t>
      </w:r>
    </w:p>
    <w:p w14:paraId="7C299CDD" w14:textId="77777777" w:rsidR="003B65CE" w:rsidRPr="003B65CE" w:rsidRDefault="003B65CE" w:rsidP="00414B67">
      <w:pPr>
        <w:spacing w:line="276" w:lineRule="auto"/>
        <w:ind w:left="540" w:hanging="540"/>
        <w:rPr>
          <w:sz w:val="24"/>
          <w:szCs w:val="24"/>
        </w:rPr>
      </w:pPr>
    </w:p>
    <w:p w14:paraId="1E9001AE" w14:textId="002B85D5" w:rsidR="003B65CE" w:rsidRDefault="003B65CE" w:rsidP="00414B67">
      <w:pPr>
        <w:pStyle w:val="Prrafodelista"/>
        <w:numPr>
          <w:ilvl w:val="0"/>
          <w:numId w:val="10"/>
        </w:numPr>
        <w:spacing w:line="276" w:lineRule="auto"/>
        <w:ind w:left="540" w:hanging="540"/>
        <w:rPr>
          <w:sz w:val="24"/>
          <w:szCs w:val="24"/>
        </w:rPr>
      </w:pPr>
      <w:r>
        <w:rPr>
          <w:sz w:val="24"/>
          <w:szCs w:val="24"/>
        </w:rPr>
        <w:t>M</w:t>
      </w:r>
      <w:r w:rsidR="00095FD2" w:rsidRPr="003B65CE">
        <w:rPr>
          <w:sz w:val="24"/>
          <w:szCs w:val="24"/>
        </w:rPr>
        <w:t>emorial electrónico del 26 de octubre de ese año con idéntico propósito</w:t>
      </w:r>
      <w:r w:rsidR="00095FD2">
        <w:rPr>
          <w:rStyle w:val="Refdenotaalpie"/>
          <w:sz w:val="24"/>
          <w:szCs w:val="24"/>
        </w:rPr>
        <w:footnoteReference w:id="10"/>
      </w:r>
      <w:r w:rsidR="00095FD2" w:rsidRPr="003B65CE">
        <w:rPr>
          <w:sz w:val="24"/>
          <w:szCs w:val="24"/>
        </w:rPr>
        <w:t>;</w:t>
      </w:r>
    </w:p>
    <w:p w14:paraId="20B9F522" w14:textId="77777777" w:rsidR="003B65CE" w:rsidRPr="003B65CE" w:rsidRDefault="003B65CE" w:rsidP="00414B67">
      <w:pPr>
        <w:spacing w:line="276" w:lineRule="auto"/>
        <w:ind w:left="540" w:hanging="540"/>
        <w:rPr>
          <w:sz w:val="24"/>
          <w:szCs w:val="24"/>
        </w:rPr>
      </w:pPr>
    </w:p>
    <w:p w14:paraId="56F8BFE6" w14:textId="0C0FF905" w:rsidR="003B65CE" w:rsidRDefault="003B65CE" w:rsidP="00414B67">
      <w:pPr>
        <w:pStyle w:val="Prrafodelista"/>
        <w:numPr>
          <w:ilvl w:val="0"/>
          <w:numId w:val="10"/>
        </w:numPr>
        <w:spacing w:line="276" w:lineRule="auto"/>
        <w:ind w:left="540" w:hanging="540"/>
        <w:rPr>
          <w:sz w:val="24"/>
          <w:szCs w:val="24"/>
        </w:rPr>
      </w:pPr>
      <w:r>
        <w:rPr>
          <w:sz w:val="24"/>
          <w:szCs w:val="24"/>
        </w:rPr>
        <w:t>C</w:t>
      </w:r>
      <w:r w:rsidR="00095FD2" w:rsidRPr="003B65CE">
        <w:rPr>
          <w:sz w:val="24"/>
          <w:szCs w:val="24"/>
        </w:rPr>
        <w:t xml:space="preserve">ertificado de existencia y representación legal de </w:t>
      </w:r>
      <w:proofErr w:type="spellStart"/>
      <w:r w:rsidR="00095FD2" w:rsidRPr="003B65CE">
        <w:rPr>
          <w:sz w:val="24"/>
          <w:szCs w:val="24"/>
        </w:rPr>
        <w:t>Saludvida</w:t>
      </w:r>
      <w:proofErr w:type="spellEnd"/>
      <w:r w:rsidR="00095FD2" w:rsidRPr="003B65CE">
        <w:rPr>
          <w:sz w:val="24"/>
          <w:szCs w:val="24"/>
        </w:rPr>
        <w:t xml:space="preserve"> E.P.S.</w:t>
      </w:r>
      <w:r w:rsidR="00095FD2">
        <w:rPr>
          <w:rStyle w:val="Refdenotaalpie"/>
          <w:sz w:val="24"/>
          <w:szCs w:val="24"/>
        </w:rPr>
        <w:footnoteReference w:id="11"/>
      </w:r>
      <w:r w:rsidR="00095FD2" w:rsidRPr="003B65CE">
        <w:rPr>
          <w:sz w:val="24"/>
          <w:szCs w:val="24"/>
        </w:rPr>
        <w:t>;</w:t>
      </w:r>
    </w:p>
    <w:p w14:paraId="5BD0DD20" w14:textId="77777777" w:rsidR="003B65CE" w:rsidRPr="003B65CE" w:rsidRDefault="003B65CE" w:rsidP="00414B67">
      <w:pPr>
        <w:spacing w:line="276" w:lineRule="auto"/>
        <w:ind w:left="540" w:hanging="540"/>
        <w:rPr>
          <w:sz w:val="24"/>
          <w:szCs w:val="24"/>
        </w:rPr>
      </w:pPr>
    </w:p>
    <w:p w14:paraId="1D113901" w14:textId="221F90ED" w:rsidR="003B65CE" w:rsidRDefault="003B65CE" w:rsidP="00414B67">
      <w:pPr>
        <w:pStyle w:val="Prrafodelista"/>
        <w:numPr>
          <w:ilvl w:val="0"/>
          <w:numId w:val="10"/>
        </w:numPr>
        <w:spacing w:line="276" w:lineRule="auto"/>
        <w:ind w:left="540" w:hanging="540"/>
        <w:rPr>
          <w:sz w:val="24"/>
          <w:szCs w:val="24"/>
        </w:rPr>
      </w:pPr>
      <w:r>
        <w:rPr>
          <w:sz w:val="24"/>
          <w:szCs w:val="24"/>
        </w:rPr>
        <w:t>C</w:t>
      </w:r>
      <w:r w:rsidR="00095FD2" w:rsidRPr="003B65CE">
        <w:rPr>
          <w:sz w:val="24"/>
          <w:szCs w:val="24"/>
        </w:rPr>
        <w:t>ircular externa n.° 45 del 31 de diciembre de 2019, emitida por el Ministerio de Salud</w:t>
      </w:r>
      <w:r w:rsidR="00095FD2">
        <w:rPr>
          <w:rStyle w:val="Refdenotaalpie"/>
          <w:sz w:val="24"/>
          <w:szCs w:val="24"/>
        </w:rPr>
        <w:footnoteReference w:id="12"/>
      </w:r>
      <w:r w:rsidR="00095FD2" w:rsidRPr="003B65CE">
        <w:rPr>
          <w:sz w:val="24"/>
          <w:szCs w:val="24"/>
        </w:rPr>
        <w:t>;</w:t>
      </w:r>
    </w:p>
    <w:p w14:paraId="30079A02" w14:textId="77777777" w:rsidR="003B65CE" w:rsidRPr="003B65CE" w:rsidRDefault="003B65CE" w:rsidP="00414B67">
      <w:pPr>
        <w:spacing w:line="276" w:lineRule="auto"/>
        <w:ind w:left="540" w:hanging="540"/>
        <w:rPr>
          <w:sz w:val="24"/>
          <w:szCs w:val="24"/>
        </w:rPr>
      </w:pPr>
    </w:p>
    <w:p w14:paraId="7B85D7C5" w14:textId="4822B7A2" w:rsidR="003B65CE" w:rsidRDefault="003B65CE" w:rsidP="00414B67">
      <w:pPr>
        <w:pStyle w:val="Prrafodelista"/>
        <w:numPr>
          <w:ilvl w:val="0"/>
          <w:numId w:val="10"/>
        </w:numPr>
        <w:spacing w:line="276" w:lineRule="auto"/>
        <w:ind w:left="540" w:hanging="540"/>
        <w:rPr>
          <w:sz w:val="24"/>
          <w:szCs w:val="24"/>
        </w:rPr>
      </w:pPr>
      <w:r>
        <w:rPr>
          <w:sz w:val="24"/>
          <w:szCs w:val="24"/>
        </w:rPr>
        <w:t>C</w:t>
      </w:r>
      <w:r w:rsidR="00095FD2" w:rsidRPr="003B65CE">
        <w:rPr>
          <w:sz w:val="24"/>
          <w:szCs w:val="24"/>
        </w:rPr>
        <w:t xml:space="preserve">omunicado n.° 20 del 23 de marzo de 2020 suscrito por el liquidador de </w:t>
      </w:r>
      <w:proofErr w:type="spellStart"/>
      <w:r w:rsidR="00095FD2" w:rsidRPr="003B65CE">
        <w:rPr>
          <w:sz w:val="24"/>
          <w:szCs w:val="24"/>
        </w:rPr>
        <w:t>Saludvida</w:t>
      </w:r>
      <w:proofErr w:type="spellEnd"/>
      <w:r w:rsidR="00095FD2" w:rsidRPr="003B65CE">
        <w:rPr>
          <w:sz w:val="24"/>
          <w:szCs w:val="24"/>
        </w:rPr>
        <w:t xml:space="preserve"> E.P.S.</w:t>
      </w:r>
      <w:r w:rsidR="00095FD2">
        <w:rPr>
          <w:rStyle w:val="Refdenotaalpie"/>
          <w:sz w:val="24"/>
          <w:szCs w:val="24"/>
        </w:rPr>
        <w:footnoteReference w:id="13"/>
      </w:r>
      <w:r w:rsidR="00095FD2" w:rsidRPr="003B65CE">
        <w:rPr>
          <w:sz w:val="24"/>
          <w:szCs w:val="24"/>
        </w:rPr>
        <w:t>;</w:t>
      </w:r>
    </w:p>
    <w:p w14:paraId="76EBADAC" w14:textId="77777777" w:rsidR="003B65CE" w:rsidRPr="003B65CE" w:rsidRDefault="003B65CE" w:rsidP="00414B67">
      <w:pPr>
        <w:spacing w:line="276" w:lineRule="auto"/>
        <w:ind w:left="540" w:hanging="540"/>
        <w:rPr>
          <w:sz w:val="24"/>
          <w:szCs w:val="24"/>
        </w:rPr>
      </w:pPr>
    </w:p>
    <w:p w14:paraId="5228A42A" w14:textId="3216665E" w:rsidR="003B65CE" w:rsidRDefault="003B65CE" w:rsidP="00414B67">
      <w:pPr>
        <w:pStyle w:val="Prrafodelista"/>
        <w:numPr>
          <w:ilvl w:val="0"/>
          <w:numId w:val="10"/>
        </w:numPr>
        <w:spacing w:line="276" w:lineRule="auto"/>
        <w:ind w:left="540" w:hanging="540"/>
        <w:rPr>
          <w:sz w:val="24"/>
          <w:szCs w:val="24"/>
        </w:rPr>
      </w:pPr>
      <w:r>
        <w:rPr>
          <w:sz w:val="24"/>
          <w:szCs w:val="24"/>
        </w:rPr>
        <w:t>S</w:t>
      </w:r>
      <w:r w:rsidR="00095FD2" w:rsidRPr="003B65CE">
        <w:rPr>
          <w:sz w:val="24"/>
          <w:szCs w:val="24"/>
        </w:rPr>
        <w:t>entencia</w:t>
      </w:r>
      <w:r w:rsidR="00095FD2" w:rsidRPr="003B65CE">
        <w:rPr>
          <w:sz w:val="24"/>
          <w:szCs w:val="24"/>
          <w:vertAlign w:val="superscript"/>
        </w:rPr>
        <w:footnoteReference w:id="14"/>
      </w:r>
      <w:r w:rsidR="00095FD2" w:rsidRPr="003B65CE">
        <w:rPr>
          <w:sz w:val="24"/>
          <w:szCs w:val="24"/>
        </w:rPr>
        <w:t xml:space="preserve"> del 2 de septiembre de 2020, proferida por el Tribunal Superior del Distrito Judicial de Ibagué dentro de la acción de tutela identificada con el n.° único de radicación 73001-22-04-000-2020-00814-00;</w:t>
      </w:r>
    </w:p>
    <w:p w14:paraId="206204BC" w14:textId="77777777" w:rsidR="003B65CE" w:rsidRPr="003B65CE" w:rsidRDefault="003B65CE" w:rsidP="00414B67">
      <w:pPr>
        <w:spacing w:line="276" w:lineRule="auto"/>
        <w:ind w:left="540" w:hanging="540"/>
        <w:rPr>
          <w:sz w:val="24"/>
          <w:szCs w:val="24"/>
        </w:rPr>
      </w:pPr>
    </w:p>
    <w:p w14:paraId="72B07AB0" w14:textId="01C66270" w:rsidR="0036159F" w:rsidRDefault="003B65CE" w:rsidP="00414B67">
      <w:pPr>
        <w:pStyle w:val="Prrafodelista"/>
        <w:numPr>
          <w:ilvl w:val="0"/>
          <w:numId w:val="10"/>
        </w:numPr>
        <w:spacing w:line="276" w:lineRule="auto"/>
        <w:ind w:left="540" w:hanging="540"/>
        <w:rPr>
          <w:sz w:val="24"/>
          <w:szCs w:val="24"/>
        </w:rPr>
      </w:pPr>
      <w:r>
        <w:rPr>
          <w:sz w:val="24"/>
          <w:szCs w:val="24"/>
        </w:rPr>
        <w:t>S</w:t>
      </w:r>
      <w:r w:rsidR="00095FD2" w:rsidRPr="003B65CE">
        <w:rPr>
          <w:sz w:val="24"/>
          <w:szCs w:val="24"/>
        </w:rPr>
        <w:t>entencia</w:t>
      </w:r>
      <w:r w:rsidR="00095FD2">
        <w:rPr>
          <w:rStyle w:val="Refdenotaalpie"/>
          <w:sz w:val="24"/>
          <w:szCs w:val="24"/>
        </w:rPr>
        <w:footnoteReference w:id="15"/>
      </w:r>
      <w:r w:rsidRPr="003B65CE">
        <w:rPr>
          <w:sz w:val="24"/>
          <w:szCs w:val="24"/>
        </w:rPr>
        <w:t xml:space="preserve"> del 19 de octubre de 2020, proferida por el Tribunal Superior del Distrito Judicial de Cúcuta dentro de la acción de tutela identificada con el n.° único de radicación 54001-2213-000-2020-00206-00; </w:t>
      </w:r>
      <w:r>
        <w:rPr>
          <w:sz w:val="24"/>
          <w:szCs w:val="24"/>
        </w:rPr>
        <w:t>y</w:t>
      </w:r>
    </w:p>
    <w:p w14:paraId="32BB1E08" w14:textId="77777777" w:rsidR="003B65CE" w:rsidRPr="003B65CE" w:rsidRDefault="003B65CE" w:rsidP="00414B67">
      <w:pPr>
        <w:spacing w:line="276" w:lineRule="auto"/>
        <w:ind w:left="540" w:hanging="540"/>
        <w:rPr>
          <w:sz w:val="24"/>
          <w:szCs w:val="24"/>
        </w:rPr>
      </w:pPr>
    </w:p>
    <w:p w14:paraId="4B2B759F" w14:textId="452B6CA2" w:rsidR="003B65CE" w:rsidRPr="003B65CE" w:rsidRDefault="003B65CE" w:rsidP="00414B67">
      <w:pPr>
        <w:pStyle w:val="Prrafodelista"/>
        <w:numPr>
          <w:ilvl w:val="0"/>
          <w:numId w:val="10"/>
        </w:numPr>
        <w:spacing w:line="276" w:lineRule="auto"/>
        <w:ind w:left="540" w:hanging="540"/>
        <w:rPr>
          <w:sz w:val="24"/>
          <w:szCs w:val="24"/>
        </w:rPr>
      </w:pPr>
      <w:r w:rsidRPr="003B65CE">
        <w:rPr>
          <w:sz w:val="24"/>
          <w:szCs w:val="24"/>
        </w:rPr>
        <w:t>Sentencia</w:t>
      </w:r>
      <w:r w:rsidRPr="003B65CE">
        <w:rPr>
          <w:sz w:val="24"/>
          <w:szCs w:val="24"/>
          <w:vertAlign w:val="superscript"/>
        </w:rPr>
        <w:footnoteReference w:id="16"/>
      </w:r>
      <w:r w:rsidRPr="003B65CE">
        <w:rPr>
          <w:sz w:val="24"/>
          <w:szCs w:val="24"/>
        </w:rPr>
        <w:t xml:space="preserve"> del 19 de </w:t>
      </w:r>
      <w:r>
        <w:rPr>
          <w:sz w:val="24"/>
          <w:szCs w:val="24"/>
        </w:rPr>
        <w:t>agosto</w:t>
      </w:r>
      <w:r w:rsidRPr="003B65CE">
        <w:rPr>
          <w:sz w:val="24"/>
          <w:szCs w:val="24"/>
        </w:rPr>
        <w:t xml:space="preserve"> de 2020, proferida por el Tribunal Superior del Distrito Judicial de </w:t>
      </w:r>
      <w:r>
        <w:rPr>
          <w:sz w:val="24"/>
          <w:szCs w:val="24"/>
        </w:rPr>
        <w:t>Ibagu</w:t>
      </w:r>
      <w:r w:rsidRPr="003B65CE">
        <w:rPr>
          <w:sz w:val="24"/>
          <w:szCs w:val="24"/>
        </w:rPr>
        <w:t>é dentro de la acción de tutela identificada con el n.° único de radicación 73001-22-04-000-2020-00761-00</w:t>
      </w:r>
      <w:r>
        <w:rPr>
          <w:sz w:val="24"/>
          <w:szCs w:val="24"/>
        </w:rPr>
        <w:t>.</w:t>
      </w:r>
    </w:p>
    <w:p w14:paraId="132FEB01" w14:textId="5845EF48" w:rsidR="00FD1494" w:rsidRDefault="00FD1494" w:rsidP="0036159F">
      <w:pPr>
        <w:spacing w:line="276" w:lineRule="auto"/>
        <w:rPr>
          <w:sz w:val="24"/>
          <w:szCs w:val="24"/>
        </w:rPr>
      </w:pPr>
    </w:p>
    <w:p w14:paraId="0DF97DAB" w14:textId="42694E23" w:rsidR="003B65CE" w:rsidRDefault="003B65CE" w:rsidP="0036159F">
      <w:pPr>
        <w:spacing w:line="276" w:lineRule="auto"/>
        <w:rPr>
          <w:sz w:val="24"/>
          <w:szCs w:val="24"/>
        </w:rPr>
      </w:pPr>
      <w:r>
        <w:rPr>
          <w:sz w:val="24"/>
          <w:szCs w:val="24"/>
        </w:rPr>
        <w:t>Del escrito de tutela se avizora que esas piezas probatorias son consideradas como importantes por la actora para acreditar la veracidad de sus afirmaciones. Por tanto, serán tenidas como pruebas en la parte resolutiva del presente proveído.</w:t>
      </w:r>
    </w:p>
    <w:p w14:paraId="5D685954" w14:textId="77777777" w:rsidR="003B65CE" w:rsidRPr="00FD1494" w:rsidRDefault="003B65CE" w:rsidP="0036159F">
      <w:pPr>
        <w:spacing w:line="276" w:lineRule="auto"/>
        <w:rPr>
          <w:sz w:val="24"/>
          <w:szCs w:val="24"/>
        </w:rPr>
      </w:pPr>
    </w:p>
    <w:p w14:paraId="4E3D7090" w14:textId="77777777" w:rsidR="00211F0C" w:rsidRPr="00211F0C" w:rsidRDefault="00211F0C" w:rsidP="0036159F">
      <w:pPr>
        <w:pStyle w:val="Textoindependiente21"/>
        <w:spacing w:after="0" w:line="276" w:lineRule="auto"/>
        <w:ind w:left="0"/>
        <w:jc w:val="both"/>
        <w:rPr>
          <w:rFonts w:cs="Arial"/>
          <w:sz w:val="24"/>
          <w:szCs w:val="24"/>
        </w:rPr>
      </w:pPr>
      <w:r w:rsidRPr="00211F0C">
        <w:rPr>
          <w:rFonts w:cs="Arial"/>
          <w:sz w:val="24"/>
          <w:szCs w:val="24"/>
        </w:rPr>
        <w:t>El Despacho, al encontrar reunidos los requisitos previstos en el artículo 14 del Decreto 2591 de 1991</w:t>
      </w:r>
      <w:r w:rsidR="006C3BA5">
        <w:rPr>
          <w:rFonts w:cs="Arial"/>
          <w:sz w:val="24"/>
          <w:szCs w:val="24"/>
        </w:rPr>
        <w:t>,</w:t>
      </w:r>
      <w:r w:rsidRPr="00211F0C">
        <w:rPr>
          <w:rFonts w:cs="Arial"/>
          <w:sz w:val="24"/>
          <w:szCs w:val="24"/>
        </w:rPr>
        <w:t xml:space="preserve"> y por ser competente para conocer del trámite de la presente acción</w:t>
      </w:r>
      <w:r w:rsidR="006C3BA5">
        <w:rPr>
          <w:rFonts w:cs="Arial"/>
          <w:sz w:val="24"/>
          <w:szCs w:val="24"/>
        </w:rPr>
        <w:t>,</w:t>
      </w:r>
      <w:r w:rsidRPr="00211F0C">
        <w:rPr>
          <w:rFonts w:cs="Arial"/>
          <w:sz w:val="24"/>
          <w:szCs w:val="24"/>
        </w:rPr>
        <w:t xml:space="preserve"> de conformidad con lo establecido en el artículo 86 de la Constitución Política, en el Decreto 2591 de 1991, en el Decreto 1069 de 2015, modificado por el Decreto 1983 de 2017</w:t>
      </w:r>
      <w:r w:rsidR="00016A0D">
        <w:rPr>
          <w:rFonts w:cs="Arial"/>
          <w:sz w:val="24"/>
          <w:szCs w:val="24"/>
        </w:rPr>
        <w:t>,</w:t>
      </w:r>
      <w:r w:rsidRPr="00211F0C">
        <w:rPr>
          <w:rFonts w:cs="Arial"/>
          <w:sz w:val="24"/>
          <w:szCs w:val="24"/>
        </w:rPr>
        <w:t xml:space="preserve"> y en el Acuerdo </w:t>
      </w:r>
      <w:r w:rsidR="00016A0D">
        <w:rPr>
          <w:rFonts w:cs="Arial"/>
          <w:sz w:val="24"/>
          <w:szCs w:val="24"/>
        </w:rPr>
        <w:t xml:space="preserve">n.° </w:t>
      </w:r>
      <w:r w:rsidRPr="00211F0C">
        <w:rPr>
          <w:rFonts w:cs="Arial"/>
          <w:sz w:val="24"/>
          <w:szCs w:val="24"/>
        </w:rPr>
        <w:t>080 de</w:t>
      </w:r>
      <w:r w:rsidR="00016A0D">
        <w:rPr>
          <w:rFonts w:cs="Arial"/>
          <w:sz w:val="24"/>
          <w:szCs w:val="24"/>
        </w:rPr>
        <w:t>l</w:t>
      </w:r>
      <w:r w:rsidRPr="00211F0C">
        <w:rPr>
          <w:rFonts w:cs="Arial"/>
          <w:sz w:val="24"/>
          <w:szCs w:val="24"/>
        </w:rPr>
        <w:t xml:space="preserve"> 12 de marzo de 2019,</w:t>
      </w:r>
      <w:r w:rsidR="00016A0D">
        <w:rPr>
          <w:rFonts w:cs="Arial"/>
          <w:sz w:val="24"/>
          <w:szCs w:val="24"/>
        </w:rPr>
        <w:t xml:space="preserve"> expedido por la Sala Plena del Consejo de Estado,</w:t>
      </w:r>
    </w:p>
    <w:p w14:paraId="26143682" w14:textId="77777777" w:rsidR="00211F0C" w:rsidRPr="00211F0C" w:rsidRDefault="00211F0C" w:rsidP="0036159F">
      <w:pPr>
        <w:pStyle w:val="Textoindependiente21"/>
        <w:spacing w:after="0" w:line="276" w:lineRule="auto"/>
        <w:ind w:left="0"/>
        <w:jc w:val="both"/>
        <w:rPr>
          <w:rFonts w:cs="Arial"/>
          <w:sz w:val="24"/>
          <w:szCs w:val="24"/>
        </w:rPr>
      </w:pPr>
    </w:p>
    <w:p w14:paraId="707BD431" w14:textId="77777777" w:rsidR="00211F0C" w:rsidRPr="00211F0C" w:rsidRDefault="00211F0C" w:rsidP="0036159F">
      <w:pPr>
        <w:pStyle w:val="Textoindependiente21"/>
        <w:spacing w:after="0" w:line="276" w:lineRule="auto"/>
        <w:ind w:left="0"/>
        <w:jc w:val="center"/>
        <w:rPr>
          <w:rFonts w:cs="Arial"/>
          <w:b/>
          <w:sz w:val="24"/>
          <w:szCs w:val="24"/>
        </w:rPr>
      </w:pPr>
      <w:r w:rsidRPr="00211F0C">
        <w:rPr>
          <w:rFonts w:cs="Arial"/>
          <w:b/>
          <w:sz w:val="24"/>
          <w:szCs w:val="24"/>
        </w:rPr>
        <w:t>RESUELVE</w:t>
      </w:r>
    </w:p>
    <w:p w14:paraId="59885A21" w14:textId="77777777" w:rsidR="00211F0C" w:rsidRPr="00211F0C" w:rsidRDefault="00211F0C" w:rsidP="0036159F">
      <w:pPr>
        <w:pStyle w:val="Textoindependiente21"/>
        <w:spacing w:after="0" w:line="276" w:lineRule="auto"/>
        <w:ind w:left="0"/>
        <w:jc w:val="both"/>
        <w:rPr>
          <w:rFonts w:cs="Arial"/>
          <w:sz w:val="24"/>
          <w:szCs w:val="24"/>
          <w:highlight w:val="yellow"/>
        </w:rPr>
      </w:pPr>
    </w:p>
    <w:p w14:paraId="7DE00A32" w14:textId="69EA69C9" w:rsidR="00AE5A9B" w:rsidRDefault="00211F0C" w:rsidP="0036159F">
      <w:pPr>
        <w:pStyle w:val="Prrafodelista"/>
        <w:numPr>
          <w:ilvl w:val="0"/>
          <w:numId w:val="8"/>
        </w:numPr>
        <w:spacing w:line="276" w:lineRule="auto"/>
        <w:ind w:left="0" w:firstLine="0"/>
        <w:rPr>
          <w:sz w:val="24"/>
          <w:szCs w:val="24"/>
        </w:rPr>
      </w:pPr>
      <w:r w:rsidRPr="00AE5A9B">
        <w:rPr>
          <w:b/>
          <w:sz w:val="24"/>
          <w:szCs w:val="24"/>
        </w:rPr>
        <w:t>ADMITIR</w:t>
      </w:r>
      <w:r w:rsidRPr="00AE5A9B">
        <w:rPr>
          <w:sz w:val="24"/>
          <w:szCs w:val="24"/>
        </w:rPr>
        <w:t xml:space="preserve"> la </w:t>
      </w:r>
      <w:r w:rsidR="00AE5A9B">
        <w:rPr>
          <w:sz w:val="24"/>
          <w:szCs w:val="24"/>
        </w:rPr>
        <w:t>solicitud</w:t>
      </w:r>
      <w:r w:rsidR="006F7F36" w:rsidRPr="00AE5A9B">
        <w:rPr>
          <w:sz w:val="24"/>
          <w:szCs w:val="24"/>
        </w:rPr>
        <w:t xml:space="preserve"> instaurada, en ejercicio de la acción de tutela, por </w:t>
      </w:r>
      <w:r w:rsidR="003B65CE">
        <w:rPr>
          <w:sz w:val="24"/>
          <w:szCs w:val="24"/>
        </w:rPr>
        <w:t>Claudia Helena Díaz Lozano</w:t>
      </w:r>
      <w:r w:rsidR="006F7F36" w:rsidRPr="00AE5A9B">
        <w:rPr>
          <w:sz w:val="24"/>
          <w:szCs w:val="24"/>
        </w:rPr>
        <w:t xml:space="preserve"> contra </w:t>
      </w:r>
      <w:r w:rsidR="003B65CE" w:rsidRPr="003B65CE">
        <w:rPr>
          <w:sz w:val="24"/>
          <w:szCs w:val="24"/>
        </w:rPr>
        <w:t>el Tribunal Administrativo del Quindío, el Juzgado Quinto Administrativo del Circuito Judicial de Ibagué, la Superintendencia Nacional de Salud y el Consejo Superior de la Judicatura</w:t>
      </w:r>
      <w:r w:rsidR="00FF1225" w:rsidRPr="00AE5A9B">
        <w:rPr>
          <w:sz w:val="24"/>
          <w:szCs w:val="24"/>
        </w:rPr>
        <w:t>.</w:t>
      </w:r>
    </w:p>
    <w:p w14:paraId="1AD361F5" w14:textId="6145FEC3" w:rsidR="002248FD" w:rsidRDefault="002248FD" w:rsidP="0036159F">
      <w:pPr>
        <w:spacing w:line="276" w:lineRule="auto"/>
        <w:ind w:right="51"/>
        <w:rPr>
          <w:sz w:val="24"/>
          <w:szCs w:val="24"/>
        </w:rPr>
      </w:pPr>
    </w:p>
    <w:p w14:paraId="49647C8D" w14:textId="206CC5E3" w:rsidR="007A4375" w:rsidRPr="00AE5A9B" w:rsidRDefault="007A4375" w:rsidP="0036159F">
      <w:pPr>
        <w:pStyle w:val="Prrafodelista"/>
        <w:numPr>
          <w:ilvl w:val="0"/>
          <w:numId w:val="8"/>
        </w:numPr>
        <w:spacing w:line="276" w:lineRule="auto"/>
        <w:ind w:left="0" w:firstLine="0"/>
        <w:rPr>
          <w:sz w:val="24"/>
          <w:szCs w:val="24"/>
        </w:rPr>
      </w:pPr>
      <w:r w:rsidRPr="00AE5A9B">
        <w:rPr>
          <w:b/>
          <w:sz w:val="24"/>
          <w:szCs w:val="24"/>
        </w:rPr>
        <w:t>ORDENAR</w:t>
      </w:r>
      <w:r w:rsidRPr="00AE5A9B">
        <w:rPr>
          <w:sz w:val="24"/>
          <w:szCs w:val="24"/>
        </w:rPr>
        <w:t xml:space="preserve"> que, por conducto de la Secretaría General de esta Corporación, se notifique el presente proveído </w:t>
      </w:r>
      <w:r w:rsidRPr="00AB4AB0">
        <w:rPr>
          <w:i/>
          <w:iCs/>
          <w:sz w:val="24"/>
          <w:szCs w:val="24"/>
        </w:rPr>
        <w:t xml:space="preserve">a las partes </w:t>
      </w:r>
      <w:r w:rsidRPr="00AE5A9B">
        <w:rPr>
          <w:sz w:val="24"/>
          <w:szCs w:val="24"/>
        </w:rPr>
        <w:t>de la forma más expedita posible. Además, esta providencia deberá ser publicada en las páginas web del Consejo de Estado y la Rama Judicial.</w:t>
      </w:r>
    </w:p>
    <w:p w14:paraId="2F0B0C28" w14:textId="77777777" w:rsidR="007A4375" w:rsidRDefault="007A4375" w:rsidP="0036159F">
      <w:pPr>
        <w:pStyle w:val="Prrafodelista"/>
        <w:spacing w:line="276" w:lineRule="auto"/>
        <w:ind w:left="0"/>
        <w:rPr>
          <w:sz w:val="24"/>
          <w:szCs w:val="24"/>
        </w:rPr>
      </w:pPr>
    </w:p>
    <w:p w14:paraId="55DE39B0" w14:textId="7D1FACC5" w:rsidR="007A4375" w:rsidRDefault="007A4375" w:rsidP="0036159F">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w:t>
      </w:r>
      <w:r w:rsidR="00AB4AB0">
        <w:rPr>
          <w:sz w:val="24"/>
          <w:szCs w:val="24"/>
        </w:rPr>
        <w:t xml:space="preserve">todos </w:t>
      </w:r>
      <w:r w:rsidRPr="00857BD3">
        <w:rPr>
          <w:sz w:val="24"/>
          <w:szCs w:val="24"/>
        </w:rPr>
        <w:t>los sujetos procesales</w:t>
      </w:r>
      <w:r w:rsidR="00AB4AB0">
        <w:rPr>
          <w:sz w:val="24"/>
          <w:szCs w:val="24"/>
        </w:rPr>
        <w:t xml:space="preserve"> indicados arriba</w:t>
      </w:r>
      <w:r w:rsidRPr="00857BD3">
        <w:rPr>
          <w:sz w:val="24"/>
          <w:szCs w:val="24"/>
        </w:rPr>
        <w:t>.</w:t>
      </w:r>
    </w:p>
    <w:p w14:paraId="16DF243E" w14:textId="77777777" w:rsidR="007A4375" w:rsidRPr="00857BD3" w:rsidRDefault="007A4375" w:rsidP="0036159F">
      <w:pPr>
        <w:pStyle w:val="Prrafodelista"/>
        <w:spacing w:line="276" w:lineRule="auto"/>
        <w:ind w:left="0"/>
        <w:rPr>
          <w:sz w:val="24"/>
          <w:szCs w:val="24"/>
        </w:rPr>
      </w:pPr>
    </w:p>
    <w:p w14:paraId="22ADB584" w14:textId="0AA2744C" w:rsidR="00FD5981" w:rsidRDefault="007A4375" w:rsidP="0036159F">
      <w:pPr>
        <w:pStyle w:val="Prrafodelista"/>
        <w:numPr>
          <w:ilvl w:val="0"/>
          <w:numId w:val="8"/>
        </w:numPr>
        <w:spacing w:line="276" w:lineRule="auto"/>
        <w:ind w:left="0" w:firstLine="0"/>
        <w:rPr>
          <w:sz w:val="24"/>
          <w:szCs w:val="24"/>
        </w:rPr>
      </w:pPr>
      <w:r w:rsidRPr="00857BD3">
        <w:rPr>
          <w:b/>
          <w:color w:val="000000"/>
          <w:sz w:val="24"/>
          <w:szCs w:val="24"/>
        </w:rPr>
        <w:t xml:space="preserve">COMUNICAR </w:t>
      </w:r>
      <w:r w:rsidRPr="00414B67">
        <w:rPr>
          <w:bCs/>
          <w:i/>
          <w:iCs/>
          <w:color w:val="000000"/>
          <w:sz w:val="24"/>
          <w:szCs w:val="24"/>
        </w:rPr>
        <w:t xml:space="preserve">a </w:t>
      </w:r>
      <w:r w:rsidR="003B65CE" w:rsidRPr="00414B67">
        <w:rPr>
          <w:bCs/>
          <w:i/>
          <w:iCs/>
          <w:color w:val="000000"/>
          <w:sz w:val="24"/>
          <w:szCs w:val="24"/>
        </w:rPr>
        <w:t>todas las autoridades accionadas</w:t>
      </w:r>
      <w:r w:rsidRPr="00857BD3">
        <w:rPr>
          <w:bCs/>
          <w:color w:val="000000"/>
          <w:sz w:val="24"/>
          <w:szCs w:val="24"/>
        </w:rPr>
        <w:t xml:space="preserve"> que</w:t>
      </w:r>
      <w:r>
        <w:rPr>
          <w:bCs/>
          <w:color w:val="000000"/>
          <w:sz w:val="24"/>
          <w:szCs w:val="24"/>
        </w:rPr>
        <w:t xml:space="preserve"> </w:t>
      </w:r>
      <w:r w:rsidRPr="00857BD3">
        <w:rPr>
          <w:bCs/>
          <w:color w:val="000000"/>
          <w:sz w:val="24"/>
          <w:szCs w:val="24"/>
        </w:rPr>
        <w:t>podrá</w:t>
      </w:r>
      <w:r w:rsidR="003B65CE">
        <w:rPr>
          <w:bCs/>
          <w:color w:val="000000"/>
          <w:sz w:val="24"/>
          <w:szCs w:val="24"/>
        </w:rPr>
        <w:t>n</w:t>
      </w:r>
      <w:r w:rsidRPr="00857BD3">
        <w:rPr>
          <w:bCs/>
          <w:color w:val="000000"/>
          <w:sz w:val="24"/>
          <w:szCs w:val="24"/>
        </w:rPr>
        <w:t xml:space="preserve"> presentar informe sobre los hechos en los que se sustenta la presente acción en el término de </w:t>
      </w:r>
      <w:r>
        <w:rPr>
          <w:bCs/>
          <w:color w:val="000000"/>
          <w:sz w:val="24"/>
          <w:szCs w:val="24"/>
        </w:rPr>
        <w:t>tres</w:t>
      </w:r>
      <w:r w:rsidRPr="00857BD3">
        <w:rPr>
          <w:bCs/>
          <w:color w:val="000000"/>
          <w:sz w:val="24"/>
          <w:szCs w:val="24"/>
        </w:rPr>
        <w:t xml:space="preserve"> (</w:t>
      </w:r>
      <w:r>
        <w:rPr>
          <w:bCs/>
          <w:color w:val="000000"/>
          <w:sz w:val="24"/>
          <w:szCs w:val="24"/>
        </w:rPr>
        <w:t>3</w:t>
      </w:r>
      <w:r w:rsidRPr="00857BD3">
        <w:rPr>
          <w:bCs/>
          <w:color w:val="000000"/>
          <w:sz w:val="24"/>
          <w:szCs w:val="24"/>
        </w:rPr>
        <w:t>) días, contados a partir del recibo de la notificación. Ést</w:t>
      </w:r>
      <w:r>
        <w:rPr>
          <w:bCs/>
          <w:color w:val="000000"/>
          <w:sz w:val="24"/>
          <w:szCs w:val="24"/>
        </w:rPr>
        <w:t>e</w:t>
      </w:r>
      <w:r w:rsidRPr="00857BD3">
        <w:rPr>
          <w:bCs/>
          <w:color w:val="000000"/>
          <w:sz w:val="24"/>
          <w:szCs w:val="24"/>
        </w:rPr>
        <w:t xml:space="preserve"> se considerará rendido bajo juramento</w:t>
      </w:r>
      <w:r w:rsidRPr="00857BD3">
        <w:rPr>
          <w:color w:val="000000"/>
          <w:sz w:val="24"/>
          <w:szCs w:val="24"/>
        </w:rPr>
        <w:t xml:space="preserve"> (</w:t>
      </w:r>
      <w:r w:rsidRPr="00857BD3">
        <w:rPr>
          <w:sz w:val="24"/>
          <w:szCs w:val="24"/>
        </w:rPr>
        <w:t>artículos 19 y 20 del Decreto 2591 de 1991).</w:t>
      </w:r>
    </w:p>
    <w:p w14:paraId="60809615" w14:textId="77777777" w:rsidR="00A7173B" w:rsidRPr="001F3B52" w:rsidRDefault="00A7173B" w:rsidP="001F3B52">
      <w:pPr>
        <w:rPr>
          <w:b/>
          <w:sz w:val="24"/>
          <w:szCs w:val="24"/>
          <w:lang w:val="es-ES" w:eastAsia="en-US"/>
        </w:rPr>
      </w:pPr>
    </w:p>
    <w:p w14:paraId="4C3CF026" w14:textId="15B5ADF6" w:rsidR="00A7173B" w:rsidRPr="003A54CF" w:rsidRDefault="008412FB" w:rsidP="0036159F">
      <w:pPr>
        <w:pStyle w:val="Prrafodelista"/>
        <w:numPr>
          <w:ilvl w:val="0"/>
          <w:numId w:val="8"/>
        </w:numPr>
        <w:spacing w:line="276" w:lineRule="auto"/>
        <w:ind w:left="0" w:firstLine="0"/>
        <w:rPr>
          <w:sz w:val="24"/>
          <w:szCs w:val="24"/>
        </w:rPr>
      </w:pPr>
      <w:r w:rsidRPr="00A7173B">
        <w:rPr>
          <w:b/>
          <w:sz w:val="24"/>
          <w:szCs w:val="24"/>
          <w:lang w:val="es-ES" w:eastAsia="en-US"/>
        </w:rPr>
        <w:t xml:space="preserve">NEGAR </w:t>
      </w:r>
      <w:r w:rsidRPr="00A7173B">
        <w:rPr>
          <w:sz w:val="24"/>
          <w:szCs w:val="24"/>
          <w:lang w:val="es-ES" w:eastAsia="en-US"/>
        </w:rPr>
        <w:t>la solicitud de medida provisional, por las razones expuestas en la parte motiva de esta providencia.</w:t>
      </w:r>
    </w:p>
    <w:p w14:paraId="1A956AFC" w14:textId="77777777" w:rsidR="003A54CF" w:rsidRPr="001F3B52" w:rsidRDefault="003A54CF" w:rsidP="001F3B52">
      <w:pPr>
        <w:rPr>
          <w:sz w:val="24"/>
          <w:szCs w:val="24"/>
        </w:rPr>
      </w:pPr>
    </w:p>
    <w:p w14:paraId="58D5AC82" w14:textId="0C6816F8" w:rsidR="00A7173B" w:rsidRDefault="000C07CD" w:rsidP="001F3B52">
      <w:pPr>
        <w:pStyle w:val="Prrafodelista"/>
        <w:numPr>
          <w:ilvl w:val="0"/>
          <w:numId w:val="8"/>
        </w:numPr>
        <w:spacing w:line="276" w:lineRule="auto"/>
        <w:ind w:left="0" w:firstLine="0"/>
        <w:rPr>
          <w:sz w:val="24"/>
          <w:szCs w:val="24"/>
        </w:rPr>
      </w:pPr>
      <w:r>
        <w:rPr>
          <w:b/>
          <w:bCs/>
          <w:sz w:val="24"/>
          <w:szCs w:val="24"/>
        </w:rPr>
        <w:t>TENER</w:t>
      </w:r>
      <w:r w:rsidR="003A54CF">
        <w:rPr>
          <w:sz w:val="24"/>
          <w:szCs w:val="24"/>
        </w:rPr>
        <w:t xml:space="preserve"> </w:t>
      </w:r>
      <w:r>
        <w:rPr>
          <w:sz w:val="24"/>
          <w:szCs w:val="24"/>
        </w:rPr>
        <w:t>como pruebas los documentos adjuntos al escrito de tutela</w:t>
      </w:r>
      <w:r w:rsidR="003A54CF">
        <w:rPr>
          <w:sz w:val="24"/>
          <w:szCs w:val="24"/>
        </w:rPr>
        <w:t>.</w:t>
      </w:r>
    </w:p>
    <w:p w14:paraId="4A5799C8" w14:textId="77777777" w:rsidR="001F3B52" w:rsidRPr="001F3B52" w:rsidRDefault="001F3B52" w:rsidP="001F3B52">
      <w:pPr>
        <w:pStyle w:val="Prrafodelista"/>
        <w:spacing w:line="276" w:lineRule="auto"/>
        <w:ind w:left="0"/>
        <w:rPr>
          <w:sz w:val="24"/>
          <w:szCs w:val="24"/>
        </w:rPr>
      </w:pPr>
    </w:p>
    <w:p w14:paraId="22E10068" w14:textId="5B81CC28" w:rsidR="00211F0C" w:rsidRPr="00A7173B" w:rsidRDefault="00EB557D" w:rsidP="0036159F">
      <w:pPr>
        <w:pStyle w:val="Prrafodelista"/>
        <w:numPr>
          <w:ilvl w:val="0"/>
          <w:numId w:val="8"/>
        </w:numPr>
        <w:spacing w:line="276" w:lineRule="auto"/>
        <w:ind w:left="0" w:firstLine="0"/>
        <w:rPr>
          <w:sz w:val="24"/>
          <w:szCs w:val="24"/>
        </w:rPr>
      </w:pPr>
      <w:r w:rsidRPr="00A7173B">
        <w:rPr>
          <w:b/>
          <w:sz w:val="24"/>
          <w:szCs w:val="24"/>
        </w:rPr>
        <w:t>SUSPENDER</w:t>
      </w:r>
      <w:r w:rsidRPr="00A7173B">
        <w:rPr>
          <w:sz w:val="24"/>
          <w:szCs w:val="24"/>
        </w:rPr>
        <w:t xml:space="preserve"> </w:t>
      </w:r>
      <w:r w:rsidR="00537386" w:rsidRPr="00A7173B">
        <w:rPr>
          <w:sz w:val="24"/>
          <w:szCs w:val="24"/>
          <w:lang w:val="es-ES"/>
        </w:rPr>
        <w:t>los términos de la presente acción constitucional hasta tanto se dé cumplimiento a las órdenes impartidas en esta providencia y el expediente</w:t>
      </w:r>
      <w:r w:rsidR="00041C53" w:rsidRPr="00A7173B">
        <w:rPr>
          <w:sz w:val="24"/>
          <w:szCs w:val="24"/>
          <w:lang w:val="es-ES"/>
        </w:rPr>
        <w:t xml:space="preserve"> </w:t>
      </w:r>
      <w:r w:rsidR="00537386" w:rsidRPr="00A7173B">
        <w:rPr>
          <w:sz w:val="24"/>
          <w:szCs w:val="24"/>
          <w:lang w:val="es-ES"/>
        </w:rPr>
        <w:t>regrese al Despacho desde la Secretaría General</w:t>
      </w:r>
      <w:r w:rsidR="00041C53" w:rsidRPr="00A7173B">
        <w:rPr>
          <w:sz w:val="24"/>
          <w:szCs w:val="24"/>
          <w:lang w:val="es-ES"/>
        </w:rPr>
        <w:t xml:space="preserve"> de esta Corporación</w:t>
      </w:r>
      <w:r w:rsidR="001F52D2" w:rsidRPr="00A7173B">
        <w:rPr>
          <w:sz w:val="24"/>
          <w:szCs w:val="24"/>
          <w:lang w:val="es-ES"/>
        </w:rPr>
        <w:t>.</w:t>
      </w:r>
    </w:p>
    <w:p w14:paraId="50104E02" w14:textId="77777777" w:rsidR="006C3BA5" w:rsidRPr="00A7173B" w:rsidRDefault="006C3BA5" w:rsidP="0036159F">
      <w:pPr>
        <w:pStyle w:val="Textoindependiente21"/>
        <w:spacing w:after="0" w:line="276" w:lineRule="auto"/>
        <w:ind w:left="0"/>
        <w:jc w:val="both"/>
        <w:rPr>
          <w:rFonts w:cs="Arial"/>
          <w:b/>
          <w:sz w:val="24"/>
          <w:szCs w:val="24"/>
          <w:lang w:val="es-CO"/>
        </w:rPr>
      </w:pPr>
    </w:p>
    <w:p w14:paraId="1C8D846F" w14:textId="77777777" w:rsidR="00211F0C" w:rsidRPr="00211F0C" w:rsidRDefault="00041C53" w:rsidP="0036159F">
      <w:pPr>
        <w:pStyle w:val="Textoindependiente21"/>
        <w:spacing w:after="0" w:line="276" w:lineRule="auto"/>
        <w:ind w:left="0"/>
        <w:jc w:val="center"/>
        <w:rPr>
          <w:rFonts w:cs="Arial"/>
          <w:sz w:val="24"/>
          <w:szCs w:val="24"/>
        </w:rPr>
      </w:pPr>
      <w:r w:rsidRPr="00211F0C">
        <w:rPr>
          <w:rFonts w:cs="Arial"/>
          <w:b/>
          <w:sz w:val="24"/>
          <w:szCs w:val="24"/>
        </w:rPr>
        <w:t>NOTIFÍQUESE Y CÚMPLASE</w:t>
      </w:r>
      <w:r w:rsidRPr="00211F0C">
        <w:rPr>
          <w:rFonts w:cs="Arial"/>
          <w:sz w:val="24"/>
          <w:szCs w:val="24"/>
        </w:rPr>
        <w:t>,</w:t>
      </w:r>
    </w:p>
    <w:p w14:paraId="4011D7DF" w14:textId="77777777" w:rsidR="00041C53" w:rsidRDefault="00041C53" w:rsidP="0036159F">
      <w:pPr>
        <w:pStyle w:val="Textoindependiente21"/>
        <w:spacing w:after="0" w:line="276" w:lineRule="auto"/>
        <w:ind w:left="0"/>
        <w:jc w:val="center"/>
        <w:rPr>
          <w:rFonts w:cs="Arial"/>
          <w:b/>
          <w:sz w:val="24"/>
          <w:szCs w:val="24"/>
        </w:rPr>
      </w:pPr>
    </w:p>
    <w:p w14:paraId="07936D91" w14:textId="77777777" w:rsidR="00411A7A" w:rsidRDefault="00411A7A" w:rsidP="0036159F">
      <w:pPr>
        <w:pStyle w:val="Textoindependiente21"/>
        <w:spacing w:after="0" w:line="276" w:lineRule="auto"/>
        <w:ind w:left="0"/>
        <w:jc w:val="center"/>
        <w:rPr>
          <w:rFonts w:cs="Arial"/>
          <w:b/>
          <w:sz w:val="24"/>
          <w:szCs w:val="24"/>
        </w:rPr>
      </w:pPr>
    </w:p>
    <w:p w14:paraId="3DDF0833" w14:textId="77777777" w:rsidR="00211F0C" w:rsidRPr="00211F0C" w:rsidRDefault="00211F0C" w:rsidP="0036159F">
      <w:pPr>
        <w:pStyle w:val="Textoindependiente21"/>
        <w:spacing w:after="0" w:line="276" w:lineRule="auto"/>
        <w:ind w:left="0"/>
        <w:jc w:val="center"/>
        <w:rPr>
          <w:rFonts w:cs="Arial"/>
          <w:b/>
          <w:sz w:val="24"/>
          <w:szCs w:val="24"/>
        </w:rPr>
      </w:pPr>
      <w:r w:rsidRPr="00211F0C">
        <w:rPr>
          <w:rFonts w:cs="Arial"/>
          <w:b/>
          <w:sz w:val="24"/>
          <w:szCs w:val="24"/>
        </w:rPr>
        <w:t>JAIME ENRIQUE RODRÍGUEZ NAVAS</w:t>
      </w:r>
    </w:p>
    <w:p w14:paraId="304A7308" w14:textId="77777777" w:rsidR="004849BB" w:rsidRPr="002248FD" w:rsidRDefault="00211F0C" w:rsidP="0036159F">
      <w:pPr>
        <w:pStyle w:val="Textoindependiente21"/>
        <w:spacing w:after="0" w:line="276" w:lineRule="auto"/>
        <w:ind w:left="0"/>
        <w:jc w:val="center"/>
        <w:rPr>
          <w:rFonts w:cs="Arial"/>
          <w:sz w:val="24"/>
          <w:szCs w:val="24"/>
        </w:rPr>
      </w:pPr>
      <w:r w:rsidRPr="00211F0C">
        <w:rPr>
          <w:rFonts w:cs="Arial"/>
          <w:b/>
          <w:sz w:val="24"/>
          <w:szCs w:val="24"/>
        </w:rPr>
        <w:t>Magistrado</w:t>
      </w:r>
    </w:p>
    <w:sectPr w:rsidR="004849BB" w:rsidRPr="002248FD" w:rsidSect="006A6312">
      <w:headerReference w:type="default" r:id="rId11"/>
      <w:footerReference w:type="default" r:id="rId12"/>
      <w:headerReference w:type="first" r:id="rId13"/>
      <w:footerReference w:type="first" r:id="rId14"/>
      <w:pgSz w:w="12242" w:h="18722" w:code="119"/>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18BC" w14:textId="77777777" w:rsidR="00644521" w:rsidRDefault="00644521" w:rsidP="00117091">
      <w:r>
        <w:separator/>
      </w:r>
    </w:p>
  </w:endnote>
  <w:endnote w:type="continuationSeparator" w:id="0">
    <w:p w14:paraId="41A9862E" w14:textId="77777777" w:rsidR="00644521" w:rsidRDefault="00644521"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5BEF73AC" w14:textId="77777777" w:rsidTr="00B82AE5">
      <w:trPr>
        <w:jc w:val="right"/>
      </w:trPr>
      <w:tc>
        <w:tcPr>
          <w:tcW w:w="4795" w:type="dxa"/>
          <w:vAlign w:val="center"/>
        </w:tcPr>
        <w:p w14:paraId="2D85C4D5"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7FDCDF4A"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76F17C3"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2A4ED9" w:rsidRPr="002A4ED9">
            <w:rPr>
              <w:noProof/>
              <w:lang w:val="es-ES"/>
            </w:rPr>
            <w:t>2</w:t>
          </w:r>
          <w:r w:rsidRPr="00B6429B">
            <w:fldChar w:fldCharType="end"/>
          </w:r>
        </w:p>
      </w:tc>
    </w:tr>
  </w:tbl>
  <w:p w14:paraId="0C35738A" w14:textId="77777777" w:rsidR="00EC38ED" w:rsidRPr="00C53B7C" w:rsidRDefault="00EC38ED"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3929B168" w14:textId="77777777" w:rsidTr="00B82AE5">
      <w:trPr>
        <w:jc w:val="right"/>
      </w:trPr>
      <w:tc>
        <w:tcPr>
          <w:tcW w:w="4795" w:type="dxa"/>
          <w:vAlign w:val="center"/>
        </w:tcPr>
        <w:p w14:paraId="2593D061"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32ADF075"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5EE7C76"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2A4ED9" w:rsidRPr="002A4ED9">
            <w:rPr>
              <w:noProof/>
              <w:lang w:val="es-ES"/>
            </w:rPr>
            <w:t>1</w:t>
          </w:r>
          <w:r w:rsidRPr="00B6429B">
            <w:fldChar w:fldCharType="end"/>
          </w:r>
        </w:p>
      </w:tc>
    </w:tr>
  </w:tbl>
  <w:p w14:paraId="0F87A3E6" w14:textId="77777777" w:rsidR="00F91B32" w:rsidRPr="00C53B7C" w:rsidRDefault="00F91B32"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B838" w14:textId="77777777" w:rsidR="00644521" w:rsidRDefault="00644521" w:rsidP="00117091">
      <w:r>
        <w:separator/>
      </w:r>
    </w:p>
  </w:footnote>
  <w:footnote w:type="continuationSeparator" w:id="0">
    <w:p w14:paraId="72F19F9A" w14:textId="77777777" w:rsidR="00644521" w:rsidRDefault="00644521" w:rsidP="00117091">
      <w:r>
        <w:continuationSeparator/>
      </w:r>
    </w:p>
  </w:footnote>
  <w:footnote w:id="1">
    <w:p w14:paraId="038AE1D4" w14:textId="149CFB56" w:rsidR="007F09F8" w:rsidRPr="007F09F8" w:rsidRDefault="007F09F8">
      <w:pPr>
        <w:pStyle w:val="Textonotapie"/>
      </w:pPr>
      <w:r>
        <w:rPr>
          <w:rStyle w:val="Refdenotaalpie"/>
        </w:rPr>
        <w:footnoteRef/>
      </w:r>
      <w:r>
        <w:t xml:space="preserve"> Ver, archivo con certificado </w:t>
      </w:r>
      <w:r w:rsidR="00FD6DC9" w:rsidRPr="00FD6DC9">
        <w:t>A0F0E4F715B1AB59 93331178B399358A 09D4DDB5BABDC18F 5E5EFE1226334649</w:t>
      </w:r>
      <w:r>
        <w:t>.</w:t>
      </w:r>
    </w:p>
  </w:footnote>
  <w:footnote w:id="2">
    <w:p w14:paraId="74659879" w14:textId="00F53AAA" w:rsidR="004A6EC1" w:rsidRPr="004A6EC1" w:rsidRDefault="004A6EC1">
      <w:pPr>
        <w:pStyle w:val="Textonotapie"/>
      </w:pPr>
      <w:r>
        <w:rPr>
          <w:rStyle w:val="Refdenotaalpie"/>
        </w:rPr>
        <w:footnoteRef/>
      </w:r>
      <w:r>
        <w:t xml:space="preserve"> </w:t>
      </w:r>
      <w:r w:rsidRPr="004A6EC1">
        <w:t>Identificado con el n</w:t>
      </w:r>
      <w:r>
        <w:t xml:space="preserve">.° único de radicación </w:t>
      </w:r>
      <w:r w:rsidRPr="004A6EC1">
        <w:t>73001</w:t>
      </w:r>
      <w:r>
        <w:t>-</w:t>
      </w:r>
      <w:r w:rsidRPr="004A6EC1">
        <w:t>33</w:t>
      </w:r>
      <w:r>
        <w:t>-</w:t>
      </w:r>
      <w:r w:rsidRPr="004A6EC1">
        <w:t>33</w:t>
      </w:r>
      <w:r>
        <w:t>-</w:t>
      </w:r>
      <w:r w:rsidRPr="004A6EC1">
        <w:t>005</w:t>
      </w:r>
      <w:r>
        <w:t>-</w:t>
      </w:r>
      <w:r w:rsidRPr="004A6EC1">
        <w:t>2014</w:t>
      </w:r>
      <w:r>
        <w:t>-</w:t>
      </w:r>
      <w:r w:rsidRPr="004A6EC1">
        <w:t>00215</w:t>
      </w:r>
      <w:r>
        <w:t>-</w:t>
      </w:r>
      <w:r w:rsidRPr="004A6EC1">
        <w:t>00</w:t>
      </w:r>
      <w:r>
        <w:t>.</w:t>
      </w:r>
    </w:p>
  </w:footnote>
  <w:footnote w:id="3">
    <w:p w14:paraId="5B7654ED" w14:textId="053F2E0A" w:rsidR="00056018" w:rsidRDefault="00056018" w:rsidP="00056018">
      <w:pPr>
        <w:pStyle w:val="Textonotapie"/>
      </w:pPr>
      <w:r>
        <w:rPr>
          <w:rStyle w:val="Refdenotaalpie"/>
        </w:rPr>
        <w:footnoteRef/>
      </w:r>
      <w:r>
        <w:t xml:space="preserve"> “Artículo </w:t>
      </w:r>
      <w:r w:rsidRPr="00056018">
        <w:rPr>
          <w:u w:val="single"/>
        </w:rPr>
        <w:t>7</w:t>
      </w:r>
      <w:r>
        <w:t xml:space="preserve">.° </w:t>
      </w:r>
      <w:r>
        <w:rPr>
          <w:i/>
          <w:iCs/>
        </w:rPr>
        <w:t>M</w:t>
      </w:r>
      <w:r w:rsidRPr="00056018">
        <w:rPr>
          <w:i/>
          <w:iCs/>
        </w:rPr>
        <w:t>edidas provisionales para proteger un derecho</w:t>
      </w:r>
      <w:r>
        <w:t>. Desde la presentación de la solicitud, cuando el juez expresamente lo considere necesario y urgente para proteger el derecho, suspenderá la aplicación del acto concreto que lo amenace o vulnere.</w:t>
      </w:r>
    </w:p>
    <w:p w14:paraId="0148C831" w14:textId="67FE59C6" w:rsidR="00056018" w:rsidRDefault="00056018" w:rsidP="00056018">
      <w:pPr>
        <w:pStyle w:val="Textonotapie"/>
      </w:pPr>
      <w:r>
        <w:t xml:space="preserve">  “Sin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14:paraId="605B81A3" w14:textId="21485E3E" w:rsidR="00056018" w:rsidRDefault="00056018" w:rsidP="00056018">
      <w:pPr>
        <w:pStyle w:val="Textonotapie"/>
      </w:pPr>
      <w:r>
        <w:t xml:space="preserve">  “La suspensión de la aplicación se notificará inmediatamente a aquél contra quien se hubiere hecho la solicitud por el medio más expedito posible.</w:t>
      </w:r>
    </w:p>
    <w:p w14:paraId="78947816" w14:textId="1F648200" w:rsidR="00056018" w:rsidRDefault="00056018" w:rsidP="00056018">
      <w:pPr>
        <w:pStyle w:val="Textonotapie"/>
      </w:pPr>
      <w:r>
        <w:t xml:space="preserve">  “El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56804E18" w14:textId="510CAAC7" w:rsidR="00056018" w:rsidRPr="00056018" w:rsidRDefault="00056018" w:rsidP="00056018">
      <w:pPr>
        <w:pStyle w:val="Textonotapie"/>
      </w:pPr>
      <w:r>
        <w:t xml:space="preserve">  “El juez podrá, de oficio o a petición de parte, por resolución debidamente fundada, hacer cesar en cualquier momento la autorización de ejecución o las otras medidas cautelares que hubiere dictado”.</w:t>
      </w:r>
    </w:p>
  </w:footnote>
  <w:footnote w:id="4">
    <w:p w14:paraId="5207E771" w14:textId="77777777" w:rsidR="00056018" w:rsidRDefault="00056018" w:rsidP="00056018">
      <w:pPr>
        <w:pStyle w:val="Textonotapie"/>
      </w:pPr>
      <w:r>
        <w:rPr>
          <w:rStyle w:val="Refdenotaalpie"/>
        </w:rPr>
        <w:footnoteRef/>
      </w:r>
      <w:r>
        <w:t xml:space="preserve"> “P</w:t>
      </w:r>
      <w:r w:rsidRPr="00B46A0E">
        <w:t>or el cual se reglamenta la acción de tutela consagrada en el artículo</w:t>
      </w:r>
      <w:r>
        <w:t xml:space="preserve"> 86 de la Constitución Política”.</w:t>
      </w:r>
    </w:p>
  </w:footnote>
  <w:footnote w:id="5">
    <w:p w14:paraId="28BB5956" w14:textId="3D9B40CB" w:rsidR="00B46A0E" w:rsidRPr="00CB74DF" w:rsidRDefault="00B46A0E" w:rsidP="00B46A0E">
      <w:pPr>
        <w:pStyle w:val="Textonotapie"/>
      </w:pPr>
      <w:r w:rsidRPr="00CB74DF">
        <w:rPr>
          <w:rStyle w:val="Refdenotaalpie"/>
        </w:rPr>
        <w:footnoteRef/>
      </w:r>
      <w:r w:rsidRPr="00CB74DF">
        <w:t xml:space="preserve"> </w:t>
      </w:r>
      <w:r w:rsidR="00414B67">
        <w:t xml:space="preserve">Ver, </w:t>
      </w:r>
      <w:r w:rsidRPr="00CB74DF">
        <w:t>Corte Constitucional</w:t>
      </w:r>
      <w:r w:rsidR="00932ED9">
        <w:t>.</w:t>
      </w:r>
      <w:r w:rsidRPr="00CB74DF">
        <w:t xml:space="preserve"> </w:t>
      </w:r>
      <w:r w:rsidR="00932ED9">
        <w:t>S</w:t>
      </w:r>
      <w:r w:rsidRPr="00CB74DF">
        <w:t>entencia T</w:t>
      </w:r>
      <w:r>
        <w:t>-103</w:t>
      </w:r>
      <w:r w:rsidR="00FD1494">
        <w:t xml:space="preserve"> de </w:t>
      </w:r>
      <w:r w:rsidR="00932ED9">
        <w:t>2018.</w:t>
      </w:r>
    </w:p>
  </w:footnote>
  <w:footnote w:id="6">
    <w:p w14:paraId="77B4D5A2" w14:textId="2C9DDAAA" w:rsidR="00FD1494" w:rsidRPr="00FD1494" w:rsidRDefault="00FD1494">
      <w:pPr>
        <w:pStyle w:val="Textonotapie"/>
      </w:pPr>
      <w:r>
        <w:rPr>
          <w:rStyle w:val="Refdenotaalpie"/>
        </w:rPr>
        <w:footnoteRef/>
      </w:r>
      <w:r>
        <w:t xml:space="preserve"> </w:t>
      </w:r>
      <w:r w:rsidRPr="00FD1494">
        <w:t>Ver, archiv</w:t>
      </w:r>
      <w:r w:rsidR="00095FD2">
        <w:t>o</w:t>
      </w:r>
      <w:r w:rsidRPr="00FD1494">
        <w:t xml:space="preserve"> con certificado 386A00736838E6EF 6B9C2A7B7242F247 440F1554BD4A3A35 BB8311158715346A</w:t>
      </w:r>
      <w:r>
        <w:t>.</w:t>
      </w:r>
    </w:p>
  </w:footnote>
  <w:footnote w:id="7">
    <w:p w14:paraId="7F320A67" w14:textId="0507BAC8" w:rsidR="00E40406" w:rsidRPr="00E40406" w:rsidRDefault="00E40406">
      <w:pPr>
        <w:pStyle w:val="Textonotapie"/>
      </w:pPr>
      <w:r>
        <w:rPr>
          <w:rStyle w:val="Refdenotaalpie"/>
        </w:rPr>
        <w:footnoteRef/>
      </w:r>
      <w:r>
        <w:t xml:space="preserve"> </w:t>
      </w:r>
      <w:r w:rsidRPr="00E40406">
        <w:t>Ver</w:t>
      </w:r>
      <w:r w:rsidR="00095FD2">
        <w:t>,</w:t>
      </w:r>
      <w:r w:rsidRPr="00E40406">
        <w:t xml:space="preserve"> archivo con certificado 78E7C22CAE3D3BB2 13DC23560DA1ABF3 836EA5A51CB83D3A 657F1DCCEAECE4F6</w:t>
      </w:r>
      <w:r>
        <w:t>.</w:t>
      </w:r>
    </w:p>
  </w:footnote>
  <w:footnote w:id="8">
    <w:p w14:paraId="0CCDD852" w14:textId="149535F8" w:rsidR="00095FD2" w:rsidRPr="00095FD2" w:rsidRDefault="00095FD2">
      <w:pPr>
        <w:pStyle w:val="Textonotapie"/>
      </w:pPr>
      <w:r>
        <w:rPr>
          <w:rStyle w:val="Refdenotaalpie"/>
        </w:rPr>
        <w:footnoteRef/>
      </w:r>
      <w:r>
        <w:t xml:space="preserve"> </w:t>
      </w:r>
      <w:r w:rsidRPr="00095FD2">
        <w:t>Ver</w:t>
      </w:r>
      <w:r>
        <w:t>,</w:t>
      </w:r>
      <w:r w:rsidRPr="00095FD2">
        <w:t xml:space="preserve"> archivo con certificado 9C4BF4813E16C8A0 8DD765E2081506C2 29DA0D28E5FB2193 AC683B5C05D79F1D</w:t>
      </w:r>
      <w:r>
        <w:t>.</w:t>
      </w:r>
    </w:p>
  </w:footnote>
  <w:footnote w:id="9">
    <w:p w14:paraId="077BF44A" w14:textId="3B441E1F" w:rsidR="00095FD2" w:rsidRPr="00095FD2" w:rsidRDefault="00095FD2">
      <w:pPr>
        <w:pStyle w:val="Textonotapie"/>
      </w:pPr>
      <w:r>
        <w:rPr>
          <w:rStyle w:val="Refdenotaalpie"/>
        </w:rPr>
        <w:footnoteRef/>
      </w:r>
      <w:r>
        <w:t xml:space="preserve"> </w:t>
      </w:r>
      <w:r w:rsidRPr="00095FD2">
        <w:t>Ver</w:t>
      </w:r>
      <w:r>
        <w:t>,</w:t>
      </w:r>
      <w:r w:rsidRPr="00095FD2">
        <w:t xml:space="preserve"> archivo con certificado E88B25F601EB7958 B276D9214F667EE2 76B7798171322719 2DC48324C7C08BD1</w:t>
      </w:r>
      <w:r>
        <w:t>.</w:t>
      </w:r>
    </w:p>
  </w:footnote>
  <w:footnote w:id="10">
    <w:p w14:paraId="7BC3CA7F" w14:textId="3F44597D" w:rsidR="00095FD2" w:rsidRPr="00095FD2" w:rsidRDefault="00095FD2">
      <w:pPr>
        <w:pStyle w:val="Textonotapie"/>
      </w:pPr>
      <w:r>
        <w:rPr>
          <w:rStyle w:val="Refdenotaalpie"/>
        </w:rPr>
        <w:footnoteRef/>
      </w:r>
      <w:r>
        <w:t xml:space="preserve"> </w:t>
      </w:r>
      <w:r w:rsidRPr="00095FD2">
        <w:t>Ver</w:t>
      </w:r>
      <w:r>
        <w:t>,</w:t>
      </w:r>
      <w:r w:rsidRPr="00095FD2">
        <w:t xml:space="preserve"> archivo con certificado 6E54D283869940E9 F5EFEBB9160661C3 4F8C62E5FD54F88A E777865911E948F9</w:t>
      </w:r>
      <w:r>
        <w:t>.</w:t>
      </w:r>
    </w:p>
  </w:footnote>
  <w:footnote w:id="11">
    <w:p w14:paraId="48B6C488" w14:textId="61A50DF5" w:rsidR="00095FD2" w:rsidRPr="00095FD2" w:rsidRDefault="00095FD2">
      <w:pPr>
        <w:pStyle w:val="Textonotapie"/>
      </w:pPr>
      <w:r>
        <w:rPr>
          <w:rStyle w:val="Refdenotaalpie"/>
        </w:rPr>
        <w:footnoteRef/>
      </w:r>
      <w:r>
        <w:t xml:space="preserve"> </w:t>
      </w:r>
      <w:r w:rsidRPr="00095FD2">
        <w:t>Ver, archivo con certificado D2B5098A8F28B34A 7EB125329F2A0691 C5DEB0DA32383BFA B79B7031426133DA</w:t>
      </w:r>
      <w:r>
        <w:t>.</w:t>
      </w:r>
    </w:p>
  </w:footnote>
  <w:footnote w:id="12">
    <w:p w14:paraId="0225328D" w14:textId="13DB4E5A" w:rsidR="00095FD2" w:rsidRPr="00095FD2" w:rsidRDefault="00095FD2">
      <w:pPr>
        <w:pStyle w:val="Textonotapie"/>
      </w:pPr>
      <w:r>
        <w:rPr>
          <w:rStyle w:val="Refdenotaalpie"/>
        </w:rPr>
        <w:footnoteRef/>
      </w:r>
      <w:r>
        <w:t xml:space="preserve"> </w:t>
      </w:r>
      <w:r w:rsidRPr="00095FD2">
        <w:t>Ver, archivo con certificado BE4325A96DB86C34 DC497A2F9D790769 A57B74FA766C1D75 089A5ED215E21B72</w:t>
      </w:r>
      <w:r>
        <w:t>.</w:t>
      </w:r>
    </w:p>
  </w:footnote>
  <w:footnote w:id="13">
    <w:p w14:paraId="486EC5D5" w14:textId="2A1A147D" w:rsidR="00095FD2" w:rsidRPr="00095FD2" w:rsidRDefault="00095FD2">
      <w:pPr>
        <w:pStyle w:val="Textonotapie"/>
      </w:pPr>
      <w:r>
        <w:rPr>
          <w:rStyle w:val="Refdenotaalpie"/>
        </w:rPr>
        <w:footnoteRef/>
      </w:r>
      <w:r>
        <w:t xml:space="preserve"> </w:t>
      </w:r>
      <w:r w:rsidRPr="00095FD2">
        <w:t>Ver, archivo con certificado 07B1F84DE2C1F73F AFAED093D69CED8F 82A129FD2F6B7E4C E11978C89983C499</w:t>
      </w:r>
      <w:r>
        <w:t>.</w:t>
      </w:r>
    </w:p>
  </w:footnote>
  <w:footnote w:id="14">
    <w:p w14:paraId="3616ABFF" w14:textId="52EED68F" w:rsidR="00095FD2" w:rsidRPr="00FD1494" w:rsidRDefault="00095FD2" w:rsidP="00095FD2">
      <w:pPr>
        <w:pStyle w:val="Textonotapie"/>
      </w:pPr>
      <w:r>
        <w:rPr>
          <w:rStyle w:val="Refdenotaalpie"/>
        </w:rPr>
        <w:footnoteRef/>
      </w:r>
      <w:r>
        <w:t xml:space="preserve"> </w:t>
      </w:r>
      <w:r w:rsidRPr="00FD1494">
        <w:t>Ver, archiv</w:t>
      </w:r>
      <w:r>
        <w:t>o</w:t>
      </w:r>
      <w:r w:rsidRPr="00FD1494">
        <w:t xml:space="preserve"> con certificado </w:t>
      </w:r>
      <w:r w:rsidRPr="00095FD2">
        <w:t>9FB14E0B6694E2CE CBB33E0220289B1D CA35ABCFA6281497 9E56A8CA141405DD</w:t>
      </w:r>
      <w:r>
        <w:t>.</w:t>
      </w:r>
    </w:p>
  </w:footnote>
  <w:footnote w:id="15">
    <w:p w14:paraId="53F7A545" w14:textId="4A8A7377" w:rsidR="00095FD2" w:rsidRPr="003B65CE" w:rsidRDefault="00095FD2">
      <w:pPr>
        <w:pStyle w:val="Textonotapie"/>
      </w:pPr>
      <w:r>
        <w:rPr>
          <w:rStyle w:val="Refdenotaalpie"/>
        </w:rPr>
        <w:footnoteRef/>
      </w:r>
      <w:r>
        <w:t xml:space="preserve"> </w:t>
      </w:r>
      <w:r w:rsidR="003B65CE" w:rsidRPr="003B65CE">
        <w:t>Ver, archivo con certificado</w:t>
      </w:r>
      <w:r w:rsidR="003B65CE">
        <w:t xml:space="preserve"> </w:t>
      </w:r>
      <w:r w:rsidR="003B65CE" w:rsidRPr="003B65CE">
        <w:t>CD8B64F542848828 D65FDB414A90662C 65A6C5EB2D32D61A C8DA8ECD1688D4B5</w:t>
      </w:r>
      <w:r w:rsidR="003B65CE">
        <w:t>.</w:t>
      </w:r>
    </w:p>
  </w:footnote>
  <w:footnote w:id="16">
    <w:p w14:paraId="7D90B125" w14:textId="73B088A9" w:rsidR="003B65CE" w:rsidRPr="003B65CE" w:rsidRDefault="003B65CE" w:rsidP="003B65CE">
      <w:pPr>
        <w:pStyle w:val="Textonotapie"/>
      </w:pPr>
      <w:r>
        <w:rPr>
          <w:rStyle w:val="Refdenotaalpie"/>
        </w:rPr>
        <w:footnoteRef/>
      </w:r>
      <w:r>
        <w:t xml:space="preserve"> </w:t>
      </w:r>
      <w:r w:rsidRPr="003B65CE">
        <w:t>Ver, archivo con certificado</w:t>
      </w:r>
      <w:r>
        <w:t xml:space="preserve"> </w:t>
      </w:r>
      <w:r w:rsidRPr="003B65CE">
        <w:t>A312E4F343E3832D 5646F7A88CFB671B 22786622E72BCEC9 0260BB985AC89154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F0B4" w14:textId="77777777" w:rsidR="00117091" w:rsidRPr="00A15ACE" w:rsidRDefault="00973BB6" w:rsidP="006462FB">
    <w:pPr>
      <w:pStyle w:val="Encabezado"/>
      <w:tabs>
        <w:tab w:val="clear" w:pos="4252"/>
        <w:tab w:val="clear" w:pos="8504"/>
      </w:tabs>
    </w:pPr>
    <w:r>
      <w:rPr>
        <w:noProof/>
        <w:lang w:eastAsia="es-CO"/>
      </w:rPr>
      <w:drawing>
        <wp:anchor distT="0" distB="0" distL="114300" distR="114300" simplePos="0" relativeHeight="251657728" behindDoc="0" locked="0" layoutInCell="1" allowOverlap="1" wp14:anchorId="59DDBFCB" wp14:editId="2B13A5E4">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0E3D6" w14:textId="77777777" w:rsidR="00117091" w:rsidRPr="00A15ACE" w:rsidRDefault="00117091" w:rsidP="006462FB">
    <w:pPr>
      <w:pStyle w:val="Encabezado"/>
      <w:tabs>
        <w:tab w:val="clear" w:pos="4252"/>
        <w:tab w:val="clear" w:pos="8504"/>
      </w:tabs>
    </w:pPr>
  </w:p>
  <w:p w14:paraId="5651564B" w14:textId="77777777" w:rsidR="00117091" w:rsidRPr="00A15ACE" w:rsidRDefault="00973BB6" w:rsidP="006462FB">
    <w:pPr>
      <w:pStyle w:val="Encabezado"/>
      <w:tabs>
        <w:tab w:val="clear" w:pos="4252"/>
        <w:tab w:val="clear" w:pos="8504"/>
      </w:tabs>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BCFD8D2" wp14:editId="5FBDC495">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FCA54F"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09685504" w14:textId="7E7AD862" w:rsidR="00117091" w:rsidRPr="00F532EA" w:rsidRDefault="00041C53" w:rsidP="006462FB">
    <w:pPr>
      <w:pStyle w:val="Encabezado"/>
      <w:tabs>
        <w:tab w:val="clear" w:pos="4252"/>
        <w:tab w:val="clear" w:pos="8504"/>
      </w:tabs>
      <w:jc w:val="right"/>
      <w:rPr>
        <w:color w:val="767171"/>
        <w:sz w:val="20"/>
        <w:szCs w:val="20"/>
      </w:rPr>
    </w:pPr>
    <w:r>
      <w:rPr>
        <w:color w:val="767171"/>
        <w:sz w:val="20"/>
        <w:szCs w:val="20"/>
      </w:rPr>
      <w:t>Radicado: 11001-03-15-000-202</w:t>
    </w:r>
    <w:r w:rsidR="006462FB">
      <w:rPr>
        <w:color w:val="767171"/>
        <w:sz w:val="20"/>
        <w:szCs w:val="20"/>
      </w:rPr>
      <w:t>1</w:t>
    </w:r>
    <w:r>
      <w:rPr>
        <w:color w:val="767171"/>
        <w:sz w:val="20"/>
        <w:szCs w:val="20"/>
      </w:rPr>
      <w:t>-0</w:t>
    </w:r>
    <w:r w:rsidR="00E40406">
      <w:rPr>
        <w:color w:val="767171"/>
        <w:sz w:val="20"/>
        <w:szCs w:val="20"/>
      </w:rPr>
      <w:t>2138</w:t>
    </w:r>
    <w:r>
      <w:rPr>
        <w:color w:val="767171"/>
        <w:sz w:val="20"/>
        <w:szCs w:val="20"/>
      </w:rPr>
      <w:t>-00</w:t>
    </w:r>
  </w:p>
  <w:p w14:paraId="02921ECC" w14:textId="25D7FF8E" w:rsidR="00117091" w:rsidRPr="00F532EA" w:rsidRDefault="0054069D" w:rsidP="006462FB">
    <w:pPr>
      <w:pStyle w:val="Encabezado"/>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sidR="006462FB">
      <w:rPr>
        <w:color w:val="767171"/>
        <w:sz w:val="20"/>
        <w:szCs w:val="20"/>
      </w:rPr>
      <w:t>Accionante</w:t>
    </w:r>
    <w:r w:rsidR="00293EAE">
      <w:rPr>
        <w:color w:val="767171"/>
        <w:sz w:val="20"/>
        <w:szCs w:val="20"/>
      </w:rPr>
      <w:t>:</w:t>
    </w:r>
    <w:r w:rsidR="00041C53">
      <w:rPr>
        <w:color w:val="767171"/>
        <w:sz w:val="20"/>
        <w:szCs w:val="20"/>
      </w:rPr>
      <w:t xml:space="preserve"> </w:t>
    </w:r>
    <w:r w:rsidR="00E40406">
      <w:rPr>
        <w:color w:val="767171"/>
        <w:sz w:val="20"/>
        <w:szCs w:val="20"/>
      </w:rPr>
      <w:t>Claudia Helena Díaz Lozano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6038" w14:textId="77777777" w:rsidR="00F1441F" w:rsidRPr="00A15ACE" w:rsidRDefault="00973BB6" w:rsidP="00F1441F">
    <w:pPr>
      <w:pStyle w:val="Encabezado"/>
    </w:pPr>
    <w:r>
      <w:rPr>
        <w:noProof/>
        <w:lang w:eastAsia="es-CO"/>
      </w:rPr>
      <w:drawing>
        <wp:anchor distT="0" distB="0" distL="114300" distR="114300" simplePos="0" relativeHeight="251658752" behindDoc="0" locked="0" layoutInCell="1" allowOverlap="1" wp14:anchorId="0E2B6F3C" wp14:editId="335701E0">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12945" w14:textId="77777777" w:rsidR="00F1441F" w:rsidRPr="00A15ACE" w:rsidRDefault="00F1441F" w:rsidP="00F1441F">
    <w:pPr>
      <w:pStyle w:val="Encabezado"/>
      <w:rPr>
        <w:color w:val="767171"/>
      </w:rPr>
    </w:pPr>
  </w:p>
  <w:p w14:paraId="28C92F9C" w14:textId="77777777" w:rsidR="0074235D" w:rsidRPr="007F276C" w:rsidRDefault="0074235D" w:rsidP="002A4ED9">
    <w:pPr>
      <w:pStyle w:val="Sinespaciado"/>
    </w:pPr>
    <w:r w:rsidRPr="007F276C">
      <w:t>CONSEJO DE ESTADO</w:t>
    </w:r>
  </w:p>
  <w:p w14:paraId="49342ABE" w14:textId="77777777" w:rsidR="0074235D" w:rsidRPr="007F276C" w:rsidRDefault="0074235D" w:rsidP="002A4ED9">
    <w:pPr>
      <w:pStyle w:val="Sinespaciado"/>
    </w:pPr>
    <w:r w:rsidRPr="007F276C">
      <w:t>SALA DE LO CONTENCIOSO ADMINISTRATIVO</w:t>
    </w:r>
  </w:p>
  <w:p w14:paraId="7158A844" w14:textId="77777777" w:rsidR="0074235D" w:rsidRPr="007F276C" w:rsidRDefault="0074235D" w:rsidP="002A4ED9">
    <w:pPr>
      <w:pStyle w:val="Sinespaciado"/>
    </w:pPr>
    <w:r w:rsidRPr="007F276C">
      <w:t>SECCIÓN TERCERA – SUBSECCIÓN C</w:t>
    </w:r>
  </w:p>
  <w:p w14:paraId="713C3275"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02031C"/>
    <w:multiLevelType w:val="hybridMultilevel"/>
    <w:tmpl w:val="4BD0EB88"/>
    <w:lvl w:ilvl="0" w:tplc="7AA47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4A3EB8"/>
    <w:multiLevelType w:val="hybridMultilevel"/>
    <w:tmpl w:val="88664F26"/>
    <w:lvl w:ilvl="0" w:tplc="C81674E2">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9"/>
  </w:num>
  <w:num w:numId="7">
    <w:abstractNumId w:val="7"/>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6A0D"/>
    <w:rsid w:val="00020F1A"/>
    <w:rsid w:val="00040C04"/>
    <w:rsid w:val="00041C53"/>
    <w:rsid w:val="000523B9"/>
    <w:rsid w:val="00056018"/>
    <w:rsid w:val="0007063E"/>
    <w:rsid w:val="000728E0"/>
    <w:rsid w:val="00073869"/>
    <w:rsid w:val="00083B8F"/>
    <w:rsid w:val="00094E7B"/>
    <w:rsid w:val="00095FD2"/>
    <w:rsid w:val="000C07CD"/>
    <w:rsid w:val="000C2B43"/>
    <w:rsid w:val="000C3226"/>
    <w:rsid w:val="000C5DB7"/>
    <w:rsid w:val="000C7B4F"/>
    <w:rsid w:val="00117091"/>
    <w:rsid w:val="001314F6"/>
    <w:rsid w:val="00133F91"/>
    <w:rsid w:val="00136349"/>
    <w:rsid w:val="0014485E"/>
    <w:rsid w:val="00155E78"/>
    <w:rsid w:val="00166AF6"/>
    <w:rsid w:val="001C3C1F"/>
    <w:rsid w:val="001D4E62"/>
    <w:rsid w:val="001E07B8"/>
    <w:rsid w:val="001E087B"/>
    <w:rsid w:val="001F3B52"/>
    <w:rsid w:val="001F52D2"/>
    <w:rsid w:val="00201EC3"/>
    <w:rsid w:val="00211F0C"/>
    <w:rsid w:val="002230E3"/>
    <w:rsid w:val="002248FD"/>
    <w:rsid w:val="00246239"/>
    <w:rsid w:val="00272A62"/>
    <w:rsid w:val="00281874"/>
    <w:rsid w:val="0028665C"/>
    <w:rsid w:val="00293EAE"/>
    <w:rsid w:val="002A4ED9"/>
    <w:rsid w:val="002C12BC"/>
    <w:rsid w:val="002D480B"/>
    <w:rsid w:val="002E1978"/>
    <w:rsid w:val="0031514A"/>
    <w:rsid w:val="00360658"/>
    <w:rsid w:val="00361478"/>
    <w:rsid w:val="0036159F"/>
    <w:rsid w:val="00374674"/>
    <w:rsid w:val="00383425"/>
    <w:rsid w:val="00384507"/>
    <w:rsid w:val="00387BBC"/>
    <w:rsid w:val="00394A69"/>
    <w:rsid w:val="0039526F"/>
    <w:rsid w:val="003A12C4"/>
    <w:rsid w:val="003A34D0"/>
    <w:rsid w:val="003A54CF"/>
    <w:rsid w:val="003B4515"/>
    <w:rsid w:val="003B65CE"/>
    <w:rsid w:val="003D1B94"/>
    <w:rsid w:val="003E0BD3"/>
    <w:rsid w:val="003F2BA3"/>
    <w:rsid w:val="003F7FF5"/>
    <w:rsid w:val="00402998"/>
    <w:rsid w:val="00411A7A"/>
    <w:rsid w:val="00414600"/>
    <w:rsid w:val="00414B67"/>
    <w:rsid w:val="004211FA"/>
    <w:rsid w:val="00424723"/>
    <w:rsid w:val="00430389"/>
    <w:rsid w:val="00430D89"/>
    <w:rsid w:val="00457483"/>
    <w:rsid w:val="004849BB"/>
    <w:rsid w:val="004857F6"/>
    <w:rsid w:val="004861DF"/>
    <w:rsid w:val="00491910"/>
    <w:rsid w:val="00494241"/>
    <w:rsid w:val="00497735"/>
    <w:rsid w:val="004A1D38"/>
    <w:rsid w:val="004A59E5"/>
    <w:rsid w:val="004A6EC1"/>
    <w:rsid w:val="004D5983"/>
    <w:rsid w:val="004D63F2"/>
    <w:rsid w:val="004E3D73"/>
    <w:rsid w:val="00522073"/>
    <w:rsid w:val="00530CAD"/>
    <w:rsid w:val="00537386"/>
    <w:rsid w:val="0054069D"/>
    <w:rsid w:val="00541BA0"/>
    <w:rsid w:val="00566726"/>
    <w:rsid w:val="00585CA2"/>
    <w:rsid w:val="005D1791"/>
    <w:rsid w:val="005F3CB1"/>
    <w:rsid w:val="00621F3E"/>
    <w:rsid w:val="006371BF"/>
    <w:rsid w:val="00644521"/>
    <w:rsid w:val="006462FB"/>
    <w:rsid w:val="00651F05"/>
    <w:rsid w:val="006615F2"/>
    <w:rsid w:val="00663267"/>
    <w:rsid w:val="00664A8F"/>
    <w:rsid w:val="00685672"/>
    <w:rsid w:val="006976AD"/>
    <w:rsid w:val="006A6312"/>
    <w:rsid w:val="006A6B54"/>
    <w:rsid w:val="006C3BA5"/>
    <w:rsid w:val="006D4799"/>
    <w:rsid w:val="006E2D82"/>
    <w:rsid w:val="006F6047"/>
    <w:rsid w:val="006F7F36"/>
    <w:rsid w:val="0070023E"/>
    <w:rsid w:val="0072475A"/>
    <w:rsid w:val="00734AE7"/>
    <w:rsid w:val="0074235D"/>
    <w:rsid w:val="00745D63"/>
    <w:rsid w:val="00760DAF"/>
    <w:rsid w:val="00773A85"/>
    <w:rsid w:val="007751B7"/>
    <w:rsid w:val="007A4375"/>
    <w:rsid w:val="007B7E8B"/>
    <w:rsid w:val="007D4A96"/>
    <w:rsid w:val="007F09F8"/>
    <w:rsid w:val="007F276C"/>
    <w:rsid w:val="007F3540"/>
    <w:rsid w:val="00817A38"/>
    <w:rsid w:val="00822EDC"/>
    <w:rsid w:val="00823E1F"/>
    <w:rsid w:val="00835345"/>
    <w:rsid w:val="00840EF9"/>
    <w:rsid w:val="008412FB"/>
    <w:rsid w:val="0085611F"/>
    <w:rsid w:val="00871943"/>
    <w:rsid w:val="008879C5"/>
    <w:rsid w:val="008C0DBE"/>
    <w:rsid w:val="008C4606"/>
    <w:rsid w:val="008C64B2"/>
    <w:rsid w:val="008D34AC"/>
    <w:rsid w:val="008D5505"/>
    <w:rsid w:val="008D7532"/>
    <w:rsid w:val="00900BD2"/>
    <w:rsid w:val="00911C03"/>
    <w:rsid w:val="00911C2B"/>
    <w:rsid w:val="009210E8"/>
    <w:rsid w:val="009214E2"/>
    <w:rsid w:val="00932ED9"/>
    <w:rsid w:val="00940813"/>
    <w:rsid w:val="00973BB6"/>
    <w:rsid w:val="0097486A"/>
    <w:rsid w:val="00986FEF"/>
    <w:rsid w:val="00996286"/>
    <w:rsid w:val="009A4799"/>
    <w:rsid w:val="009A5798"/>
    <w:rsid w:val="009F5813"/>
    <w:rsid w:val="00A0511A"/>
    <w:rsid w:val="00A15ACE"/>
    <w:rsid w:val="00A25C52"/>
    <w:rsid w:val="00A26DEE"/>
    <w:rsid w:val="00A467BD"/>
    <w:rsid w:val="00A7173B"/>
    <w:rsid w:val="00A73868"/>
    <w:rsid w:val="00A8250B"/>
    <w:rsid w:val="00A8702B"/>
    <w:rsid w:val="00AB33F4"/>
    <w:rsid w:val="00AB4AB0"/>
    <w:rsid w:val="00AB57F7"/>
    <w:rsid w:val="00AE30B0"/>
    <w:rsid w:val="00AE5822"/>
    <w:rsid w:val="00AE5A9B"/>
    <w:rsid w:val="00AF634C"/>
    <w:rsid w:val="00B00068"/>
    <w:rsid w:val="00B00445"/>
    <w:rsid w:val="00B14389"/>
    <w:rsid w:val="00B251D5"/>
    <w:rsid w:val="00B46A0E"/>
    <w:rsid w:val="00B82AE5"/>
    <w:rsid w:val="00B9314A"/>
    <w:rsid w:val="00B97E8B"/>
    <w:rsid w:val="00BB0DD6"/>
    <w:rsid w:val="00BB79AE"/>
    <w:rsid w:val="00BD67B1"/>
    <w:rsid w:val="00BF1E08"/>
    <w:rsid w:val="00BF2ACB"/>
    <w:rsid w:val="00C018AC"/>
    <w:rsid w:val="00C43CA0"/>
    <w:rsid w:val="00C53B7C"/>
    <w:rsid w:val="00C54A33"/>
    <w:rsid w:val="00C72633"/>
    <w:rsid w:val="00C7549A"/>
    <w:rsid w:val="00C87516"/>
    <w:rsid w:val="00C95B5A"/>
    <w:rsid w:val="00CB3811"/>
    <w:rsid w:val="00CC3C21"/>
    <w:rsid w:val="00D03C11"/>
    <w:rsid w:val="00D0678C"/>
    <w:rsid w:val="00D163C7"/>
    <w:rsid w:val="00D2756B"/>
    <w:rsid w:val="00D31837"/>
    <w:rsid w:val="00D45ADF"/>
    <w:rsid w:val="00D53A8F"/>
    <w:rsid w:val="00D6559A"/>
    <w:rsid w:val="00D729A8"/>
    <w:rsid w:val="00D77846"/>
    <w:rsid w:val="00DB4688"/>
    <w:rsid w:val="00DB6EC4"/>
    <w:rsid w:val="00DB7A08"/>
    <w:rsid w:val="00DE7123"/>
    <w:rsid w:val="00E40406"/>
    <w:rsid w:val="00E4328A"/>
    <w:rsid w:val="00E45687"/>
    <w:rsid w:val="00E5454A"/>
    <w:rsid w:val="00E560B5"/>
    <w:rsid w:val="00E70863"/>
    <w:rsid w:val="00E800E8"/>
    <w:rsid w:val="00E85ADA"/>
    <w:rsid w:val="00E87355"/>
    <w:rsid w:val="00EA58FA"/>
    <w:rsid w:val="00EB27E9"/>
    <w:rsid w:val="00EB557D"/>
    <w:rsid w:val="00EB57EA"/>
    <w:rsid w:val="00EC38ED"/>
    <w:rsid w:val="00ED72BB"/>
    <w:rsid w:val="00F01167"/>
    <w:rsid w:val="00F0772F"/>
    <w:rsid w:val="00F1441F"/>
    <w:rsid w:val="00F159E2"/>
    <w:rsid w:val="00F16FD3"/>
    <w:rsid w:val="00F329CA"/>
    <w:rsid w:val="00F41540"/>
    <w:rsid w:val="00F532EA"/>
    <w:rsid w:val="00F62082"/>
    <w:rsid w:val="00F713AF"/>
    <w:rsid w:val="00F91B32"/>
    <w:rsid w:val="00FA5BD0"/>
    <w:rsid w:val="00FD00DE"/>
    <w:rsid w:val="00FD1494"/>
    <w:rsid w:val="00FD3474"/>
    <w:rsid w:val="00FD5981"/>
    <w:rsid w:val="00FD6DC9"/>
    <w:rsid w:val="00FE09DF"/>
    <w:rsid w:val="00FE3D08"/>
    <w:rsid w:val="00FF0BD7"/>
    <w:rsid w:val="00FF1225"/>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F4CD"/>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AE5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5734">
      <w:bodyDiv w:val="1"/>
      <w:marLeft w:val="0"/>
      <w:marRight w:val="0"/>
      <w:marTop w:val="0"/>
      <w:marBottom w:val="0"/>
      <w:divBdr>
        <w:top w:val="none" w:sz="0" w:space="0" w:color="auto"/>
        <w:left w:val="none" w:sz="0" w:space="0" w:color="auto"/>
        <w:bottom w:val="none" w:sz="0" w:space="0" w:color="auto"/>
        <w:right w:val="none" w:sz="0" w:space="0" w:color="auto"/>
      </w:divBdr>
    </w:div>
    <w:div w:id="389497402">
      <w:bodyDiv w:val="1"/>
      <w:marLeft w:val="0"/>
      <w:marRight w:val="0"/>
      <w:marTop w:val="0"/>
      <w:marBottom w:val="0"/>
      <w:divBdr>
        <w:top w:val="none" w:sz="0" w:space="0" w:color="auto"/>
        <w:left w:val="none" w:sz="0" w:space="0" w:color="auto"/>
        <w:bottom w:val="none" w:sz="0" w:space="0" w:color="auto"/>
        <w:right w:val="none" w:sz="0" w:space="0" w:color="auto"/>
      </w:divBdr>
    </w:div>
    <w:div w:id="435057018">
      <w:bodyDiv w:val="1"/>
      <w:marLeft w:val="0"/>
      <w:marRight w:val="0"/>
      <w:marTop w:val="0"/>
      <w:marBottom w:val="0"/>
      <w:divBdr>
        <w:top w:val="none" w:sz="0" w:space="0" w:color="auto"/>
        <w:left w:val="none" w:sz="0" w:space="0" w:color="auto"/>
        <w:bottom w:val="none" w:sz="0" w:space="0" w:color="auto"/>
        <w:right w:val="none" w:sz="0" w:space="0" w:color="auto"/>
      </w:divBdr>
    </w:div>
    <w:div w:id="624386520">
      <w:bodyDiv w:val="1"/>
      <w:marLeft w:val="0"/>
      <w:marRight w:val="0"/>
      <w:marTop w:val="0"/>
      <w:marBottom w:val="0"/>
      <w:divBdr>
        <w:top w:val="none" w:sz="0" w:space="0" w:color="auto"/>
        <w:left w:val="none" w:sz="0" w:space="0" w:color="auto"/>
        <w:bottom w:val="none" w:sz="0" w:space="0" w:color="auto"/>
        <w:right w:val="none" w:sz="0" w:space="0" w:color="auto"/>
      </w:divBdr>
    </w:div>
    <w:div w:id="917055047">
      <w:bodyDiv w:val="1"/>
      <w:marLeft w:val="0"/>
      <w:marRight w:val="0"/>
      <w:marTop w:val="0"/>
      <w:marBottom w:val="0"/>
      <w:divBdr>
        <w:top w:val="none" w:sz="0" w:space="0" w:color="auto"/>
        <w:left w:val="none" w:sz="0" w:space="0" w:color="auto"/>
        <w:bottom w:val="none" w:sz="0" w:space="0" w:color="auto"/>
        <w:right w:val="none" w:sz="0" w:space="0" w:color="auto"/>
      </w:divBdr>
    </w:div>
    <w:div w:id="991250036">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550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B337E-85CC-4CC4-9E08-ED7F98F464C2}">
  <ds:schemaRefs>
    <ds:schemaRef ds:uri="http://schemas.openxmlformats.org/officeDocument/2006/bibliography"/>
  </ds:schemaRefs>
</ds:datastoreItem>
</file>

<file path=customXml/itemProps2.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7311</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2021-05-05T14:55:00Z</dcterms:created>
  <dcterms:modified xsi:type="dcterms:W3CDTF">2021-05-05T14:55:00Z</dcterms:modified>
</cp:coreProperties>
</file>