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AF390" w14:textId="77777777" w:rsidR="00B36102" w:rsidRPr="00B810AE" w:rsidRDefault="00B36102" w:rsidP="00A304A7">
      <w:pPr>
        <w:jc w:val="center"/>
        <w:rPr>
          <w:b/>
          <w:caps/>
          <w:sz w:val="24"/>
          <w:szCs w:val="24"/>
        </w:rPr>
      </w:pPr>
      <w:r w:rsidRPr="00B810AE">
        <w:rPr>
          <w:b/>
          <w:caps/>
          <w:sz w:val="24"/>
          <w:szCs w:val="24"/>
        </w:rPr>
        <w:t>CONSEJERO PONENTE: JAIME ENRIQUE RODRÍGUEZ NAVAS</w:t>
      </w:r>
    </w:p>
    <w:p w14:paraId="192E9469" w14:textId="77777777" w:rsidR="00B36102" w:rsidRPr="00B810AE" w:rsidRDefault="00B36102" w:rsidP="00A304A7">
      <w:pPr>
        <w:contextualSpacing/>
        <w:rPr>
          <w:b/>
          <w:bCs/>
          <w:sz w:val="24"/>
          <w:szCs w:val="24"/>
        </w:rPr>
      </w:pPr>
    </w:p>
    <w:p w14:paraId="2B00435B" w14:textId="7D8B6B7E" w:rsidR="00B36102" w:rsidRPr="00B810AE" w:rsidRDefault="005342CA" w:rsidP="00A304A7">
      <w:pPr>
        <w:contextualSpacing/>
        <w:rPr>
          <w:bCs/>
          <w:sz w:val="24"/>
          <w:szCs w:val="24"/>
        </w:rPr>
      </w:pPr>
      <w:r>
        <w:rPr>
          <w:bCs/>
          <w:sz w:val="24"/>
          <w:szCs w:val="24"/>
        </w:rPr>
        <w:t xml:space="preserve">Bogotá D.C., </w:t>
      </w:r>
      <w:r w:rsidR="008878B7">
        <w:rPr>
          <w:bCs/>
          <w:sz w:val="24"/>
          <w:szCs w:val="24"/>
        </w:rPr>
        <w:t xml:space="preserve">treinta (30) </w:t>
      </w:r>
      <w:bookmarkStart w:id="0" w:name="_GoBack"/>
      <w:bookmarkEnd w:id="0"/>
      <w:r w:rsidR="008878B7">
        <w:rPr>
          <w:bCs/>
          <w:sz w:val="24"/>
          <w:szCs w:val="24"/>
        </w:rPr>
        <w:t xml:space="preserve">de julio de dos mil veintiuno (2021) </w:t>
      </w:r>
    </w:p>
    <w:p w14:paraId="4424D146" w14:textId="77777777" w:rsidR="00B36102" w:rsidRPr="00B810AE" w:rsidRDefault="00B36102" w:rsidP="00A304A7">
      <w:pPr>
        <w:contextualSpacing/>
        <w:rPr>
          <w:b/>
          <w:sz w:val="24"/>
          <w:szCs w:val="24"/>
        </w:rPr>
      </w:pPr>
    </w:p>
    <w:p w14:paraId="180FF21B" w14:textId="77777777" w:rsidR="00DF3FAD" w:rsidRPr="00B810AE" w:rsidRDefault="00DF3FAD" w:rsidP="00A304A7">
      <w:pPr>
        <w:ind w:left="1985" w:hanging="1985"/>
        <w:contextualSpacing/>
        <w:rPr>
          <w:b/>
          <w:sz w:val="24"/>
          <w:szCs w:val="24"/>
        </w:rPr>
      </w:pPr>
      <w:r w:rsidRPr="00B810AE">
        <w:rPr>
          <w:b/>
          <w:sz w:val="24"/>
          <w:szCs w:val="24"/>
        </w:rPr>
        <w:t xml:space="preserve">Referencia: </w:t>
      </w:r>
      <w:r w:rsidRPr="00B810AE">
        <w:rPr>
          <w:b/>
          <w:sz w:val="24"/>
          <w:szCs w:val="24"/>
        </w:rPr>
        <w:tab/>
      </w:r>
      <w:r w:rsidRPr="00B810AE">
        <w:rPr>
          <w:sz w:val="24"/>
          <w:szCs w:val="24"/>
        </w:rPr>
        <w:t>Acción de tutela.</w:t>
      </w:r>
    </w:p>
    <w:p w14:paraId="36C7A47D" w14:textId="77777777" w:rsidR="00DF3FAD" w:rsidRPr="00B810AE" w:rsidRDefault="00DF3FAD" w:rsidP="00A304A7">
      <w:pPr>
        <w:tabs>
          <w:tab w:val="left" w:pos="1985"/>
        </w:tabs>
        <w:contextualSpacing/>
        <w:rPr>
          <w:sz w:val="24"/>
          <w:szCs w:val="24"/>
        </w:rPr>
      </w:pPr>
      <w:r w:rsidRPr="00B810AE">
        <w:rPr>
          <w:b/>
          <w:sz w:val="24"/>
          <w:szCs w:val="24"/>
        </w:rPr>
        <w:t>Radicación:</w:t>
      </w:r>
      <w:r w:rsidRPr="00B810AE">
        <w:rPr>
          <w:b/>
          <w:sz w:val="24"/>
          <w:szCs w:val="24"/>
        </w:rPr>
        <w:tab/>
      </w:r>
      <w:r w:rsidRPr="00B810AE">
        <w:rPr>
          <w:sz w:val="24"/>
          <w:szCs w:val="24"/>
        </w:rPr>
        <w:t>11001-03-15-000-2021-01847-00.</w:t>
      </w:r>
    </w:p>
    <w:p w14:paraId="23FE2F78" w14:textId="6A5CE168" w:rsidR="00DF3FAD" w:rsidRPr="00B810AE" w:rsidRDefault="00DF3FAD" w:rsidP="00A304A7">
      <w:pPr>
        <w:tabs>
          <w:tab w:val="left" w:pos="1985"/>
        </w:tabs>
        <w:ind w:left="1980" w:hanging="1980"/>
        <w:contextualSpacing/>
        <w:rPr>
          <w:sz w:val="24"/>
          <w:szCs w:val="24"/>
        </w:rPr>
      </w:pPr>
      <w:r w:rsidRPr="00B810AE">
        <w:rPr>
          <w:b/>
          <w:sz w:val="24"/>
          <w:szCs w:val="24"/>
        </w:rPr>
        <w:t>Accionante:</w:t>
      </w:r>
      <w:r w:rsidRPr="00B810AE">
        <w:rPr>
          <w:b/>
          <w:sz w:val="24"/>
          <w:szCs w:val="24"/>
        </w:rPr>
        <w:tab/>
      </w:r>
      <w:r w:rsidRPr="00B810AE">
        <w:rPr>
          <w:sz w:val="24"/>
          <w:szCs w:val="24"/>
        </w:rPr>
        <w:t>Nación, Rama Judicial, Dirección Ejecutiva de Administración Judicial</w:t>
      </w:r>
      <w:r w:rsidR="00B6103A" w:rsidRPr="00B810AE">
        <w:rPr>
          <w:sz w:val="24"/>
          <w:szCs w:val="24"/>
        </w:rPr>
        <w:t xml:space="preserve"> (En adelante, DEAJ)</w:t>
      </w:r>
      <w:r w:rsidRPr="00B810AE">
        <w:rPr>
          <w:sz w:val="24"/>
          <w:szCs w:val="24"/>
        </w:rPr>
        <w:t>.</w:t>
      </w:r>
    </w:p>
    <w:p w14:paraId="696FE330" w14:textId="77777777" w:rsidR="00DF3FAD" w:rsidRPr="00B810AE" w:rsidRDefault="00DF3FAD" w:rsidP="00A304A7">
      <w:pPr>
        <w:tabs>
          <w:tab w:val="left" w:pos="1985"/>
        </w:tabs>
        <w:ind w:left="1985" w:right="51" w:hanging="1985"/>
        <w:contextualSpacing/>
        <w:rPr>
          <w:bCs/>
          <w:sz w:val="24"/>
          <w:szCs w:val="24"/>
        </w:rPr>
      </w:pPr>
      <w:r w:rsidRPr="00B810AE">
        <w:rPr>
          <w:b/>
          <w:sz w:val="24"/>
          <w:szCs w:val="24"/>
        </w:rPr>
        <w:t>Accionado:</w:t>
      </w:r>
      <w:r w:rsidRPr="00B810AE">
        <w:rPr>
          <w:b/>
          <w:sz w:val="24"/>
          <w:szCs w:val="24"/>
        </w:rPr>
        <w:tab/>
      </w:r>
      <w:r w:rsidRPr="00B810AE">
        <w:rPr>
          <w:sz w:val="24"/>
          <w:szCs w:val="24"/>
        </w:rPr>
        <w:t>Subsección B de la Sección Tercera del Consejo de Estado</w:t>
      </w:r>
      <w:r w:rsidRPr="00B810AE">
        <w:rPr>
          <w:bCs/>
          <w:sz w:val="24"/>
          <w:szCs w:val="24"/>
        </w:rPr>
        <w:t>.</w:t>
      </w:r>
    </w:p>
    <w:p w14:paraId="0569E336" w14:textId="77777777" w:rsidR="00B36102" w:rsidRPr="00B810AE" w:rsidRDefault="00B36102" w:rsidP="00A304A7">
      <w:pPr>
        <w:ind w:right="51"/>
        <w:contextualSpacing/>
        <w:rPr>
          <w:b/>
          <w:sz w:val="24"/>
          <w:szCs w:val="24"/>
        </w:rPr>
      </w:pPr>
    </w:p>
    <w:p w14:paraId="4A3E544D" w14:textId="77777777" w:rsidR="00B36102" w:rsidRPr="00B810AE" w:rsidRDefault="00B36102" w:rsidP="00A304A7">
      <w:pPr>
        <w:pBdr>
          <w:bottom w:val="single" w:sz="12" w:space="0" w:color="auto"/>
        </w:pBdr>
        <w:ind w:left="2832" w:hanging="2832"/>
        <w:contextualSpacing/>
        <w:rPr>
          <w:b/>
          <w:sz w:val="24"/>
          <w:szCs w:val="24"/>
        </w:rPr>
      </w:pPr>
      <w:r w:rsidRPr="00B810AE">
        <w:rPr>
          <w:b/>
          <w:sz w:val="24"/>
          <w:szCs w:val="24"/>
        </w:rPr>
        <w:t>AUTO INTERLOCUTORIO</w:t>
      </w:r>
    </w:p>
    <w:p w14:paraId="5434E4F7" w14:textId="77777777" w:rsidR="00B36102" w:rsidRPr="00B810AE" w:rsidRDefault="00B36102" w:rsidP="00A304A7">
      <w:pPr>
        <w:contextualSpacing/>
        <w:rPr>
          <w:b/>
          <w:sz w:val="24"/>
          <w:szCs w:val="24"/>
        </w:rPr>
      </w:pPr>
    </w:p>
    <w:p w14:paraId="0C40AD27" w14:textId="5C01F610" w:rsidR="00B36102" w:rsidRPr="00B810AE" w:rsidRDefault="00B6103A" w:rsidP="00A304A7">
      <w:pPr>
        <w:contextualSpacing/>
        <w:rPr>
          <w:sz w:val="24"/>
          <w:szCs w:val="24"/>
        </w:rPr>
      </w:pPr>
      <w:r w:rsidRPr="00B810AE">
        <w:rPr>
          <w:sz w:val="24"/>
          <w:szCs w:val="24"/>
        </w:rPr>
        <w:t xml:space="preserve">La Sala </w:t>
      </w:r>
      <w:r w:rsidR="0008615B">
        <w:rPr>
          <w:sz w:val="24"/>
          <w:szCs w:val="24"/>
        </w:rPr>
        <w:t>D</w:t>
      </w:r>
      <w:r w:rsidRPr="00B810AE">
        <w:rPr>
          <w:sz w:val="24"/>
          <w:szCs w:val="24"/>
        </w:rPr>
        <w:t>ual</w:t>
      </w:r>
      <w:r w:rsidR="00B36102" w:rsidRPr="00B810AE">
        <w:rPr>
          <w:sz w:val="24"/>
          <w:szCs w:val="24"/>
        </w:rPr>
        <w:t xml:space="preserve"> decide sobre el </w:t>
      </w:r>
      <w:r w:rsidR="00C46DB1">
        <w:rPr>
          <w:sz w:val="24"/>
          <w:szCs w:val="24"/>
        </w:rPr>
        <w:t>impedimento manifestado por el c</w:t>
      </w:r>
      <w:r w:rsidR="00B36102" w:rsidRPr="00B810AE">
        <w:rPr>
          <w:sz w:val="24"/>
          <w:szCs w:val="24"/>
        </w:rPr>
        <w:t>onsejero de Estado Nicolás Yepes Corrales para conocer de la solicitud de amparo de la referencia.</w:t>
      </w:r>
    </w:p>
    <w:p w14:paraId="283F6758" w14:textId="77777777" w:rsidR="00B36102" w:rsidRPr="00B810AE" w:rsidRDefault="00B36102" w:rsidP="00A304A7">
      <w:pPr>
        <w:contextualSpacing/>
        <w:rPr>
          <w:sz w:val="24"/>
          <w:szCs w:val="24"/>
        </w:rPr>
      </w:pPr>
    </w:p>
    <w:p w14:paraId="236C5AF6" w14:textId="77777777" w:rsidR="00B36102" w:rsidRPr="00B810AE" w:rsidRDefault="00B36102" w:rsidP="00A304A7">
      <w:pPr>
        <w:keepNext/>
        <w:numPr>
          <w:ilvl w:val="0"/>
          <w:numId w:val="5"/>
        </w:numPr>
        <w:ind w:left="714" w:hanging="357"/>
        <w:jc w:val="center"/>
        <w:outlineLvl w:val="0"/>
        <w:rPr>
          <w:rFonts w:eastAsia="Times New Roman"/>
          <w:b/>
          <w:bCs/>
          <w:caps/>
          <w:kern w:val="32"/>
          <w:sz w:val="24"/>
          <w:szCs w:val="24"/>
        </w:rPr>
      </w:pPr>
      <w:r w:rsidRPr="00B810AE">
        <w:rPr>
          <w:rFonts w:eastAsia="Times New Roman"/>
          <w:b/>
          <w:bCs/>
          <w:caps/>
          <w:kern w:val="32"/>
          <w:sz w:val="24"/>
          <w:szCs w:val="24"/>
        </w:rPr>
        <w:t>ANTECEDENTES</w:t>
      </w:r>
    </w:p>
    <w:p w14:paraId="57F8F113" w14:textId="77777777" w:rsidR="00B6103A" w:rsidRPr="00B810AE" w:rsidRDefault="00B6103A" w:rsidP="00A304A7">
      <w:pPr>
        <w:keepNext/>
        <w:jc w:val="left"/>
        <w:outlineLvl w:val="1"/>
        <w:rPr>
          <w:rFonts w:eastAsia="Times New Roman"/>
          <w:b/>
          <w:bCs/>
          <w:iCs/>
          <w:sz w:val="24"/>
          <w:szCs w:val="24"/>
          <w:lang w:eastAsia="es-ES"/>
        </w:rPr>
      </w:pPr>
    </w:p>
    <w:p w14:paraId="4CC5621F" w14:textId="0445425E" w:rsidR="00B36102" w:rsidRPr="00B810AE" w:rsidRDefault="00B6103A" w:rsidP="00A304A7">
      <w:pPr>
        <w:keepNext/>
        <w:jc w:val="left"/>
        <w:outlineLvl w:val="1"/>
        <w:rPr>
          <w:rFonts w:eastAsia="Times New Roman"/>
          <w:b/>
          <w:bCs/>
          <w:iCs/>
          <w:sz w:val="24"/>
          <w:szCs w:val="24"/>
          <w:lang w:eastAsia="es-ES"/>
        </w:rPr>
      </w:pPr>
      <w:r w:rsidRPr="00B810AE">
        <w:rPr>
          <w:rFonts w:eastAsia="Times New Roman"/>
          <w:b/>
          <w:bCs/>
          <w:iCs/>
          <w:sz w:val="24"/>
          <w:szCs w:val="24"/>
          <w:lang w:eastAsia="es-ES"/>
        </w:rPr>
        <w:t xml:space="preserve">1.1. </w:t>
      </w:r>
      <w:r w:rsidR="00B36102" w:rsidRPr="00B810AE">
        <w:rPr>
          <w:rFonts w:eastAsia="Times New Roman"/>
          <w:b/>
          <w:bCs/>
          <w:iCs/>
          <w:sz w:val="24"/>
          <w:szCs w:val="24"/>
          <w:lang w:eastAsia="es-ES"/>
        </w:rPr>
        <w:t>Solicitud de tutela</w:t>
      </w:r>
    </w:p>
    <w:p w14:paraId="4B5225B0" w14:textId="77777777" w:rsidR="00B36102" w:rsidRPr="00B810AE" w:rsidRDefault="00B36102" w:rsidP="00A304A7">
      <w:pPr>
        <w:overflowPunct w:val="0"/>
        <w:autoSpaceDE w:val="0"/>
        <w:autoSpaceDN w:val="0"/>
        <w:adjustRightInd w:val="0"/>
        <w:contextualSpacing/>
        <w:textAlignment w:val="baseline"/>
        <w:rPr>
          <w:sz w:val="24"/>
          <w:szCs w:val="24"/>
        </w:rPr>
      </w:pPr>
    </w:p>
    <w:p w14:paraId="7752EF8E" w14:textId="702919DA" w:rsidR="00EC4734" w:rsidRDefault="00B6103A" w:rsidP="00A304A7">
      <w:pPr>
        <w:tabs>
          <w:tab w:val="left" w:pos="1985"/>
        </w:tabs>
        <w:rPr>
          <w:sz w:val="24"/>
          <w:szCs w:val="24"/>
        </w:rPr>
      </w:pPr>
      <w:r w:rsidRPr="00B810AE">
        <w:rPr>
          <w:sz w:val="24"/>
          <w:szCs w:val="24"/>
        </w:rPr>
        <w:t>La Nación, Rama Judicial, DEAJ</w:t>
      </w:r>
      <w:r w:rsidRPr="00B810AE">
        <w:rPr>
          <w:sz w:val="24"/>
          <w:szCs w:val="24"/>
          <w:lang w:val="es-MX" w:eastAsia="ja-JP"/>
        </w:rPr>
        <w:t xml:space="preserve">, a través de apoderada judicial, solicitó el amparo constitucional de sus derechos fundamentales </w:t>
      </w:r>
      <w:r w:rsidRPr="00B810AE">
        <w:rPr>
          <w:sz w:val="24"/>
          <w:szCs w:val="24"/>
        </w:rPr>
        <w:t>al debido proceso, a la defensa, a la contradicción y a la igualdad, que consideró fueron vulnerados por la Subsección B de la Sección Tercera del Consejo de Estado, con ocasión de la sentencia de segunda instancia del 28 de agosto de 2020 que fue proferida dentro del proceso con radicado núm. 25000-23-26-000-2011-00544-01</w:t>
      </w:r>
      <w:r w:rsidR="00EC4734">
        <w:rPr>
          <w:sz w:val="24"/>
          <w:szCs w:val="24"/>
        </w:rPr>
        <w:t xml:space="preserve">. </w:t>
      </w:r>
    </w:p>
    <w:p w14:paraId="45D9AA3D" w14:textId="77777777" w:rsidR="00EC4734" w:rsidRDefault="00EC4734" w:rsidP="00A304A7">
      <w:pPr>
        <w:tabs>
          <w:tab w:val="left" w:pos="1985"/>
        </w:tabs>
        <w:rPr>
          <w:sz w:val="24"/>
          <w:szCs w:val="24"/>
        </w:rPr>
      </w:pPr>
    </w:p>
    <w:p w14:paraId="19B259F9" w14:textId="627DFFCF" w:rsidR="009D0F4C" w:rsidRDefault="00EC4734" w:rsidP="00A304A7">
      <w:pPr>
        <w:pStyle w:val="Textoindependiente21"/>
        <w:spacing w:after="0"/>
        <w:ind w:left="0"/>
        <w:jc w:val="both"/>
        <w:rPr>
          <w:rFonts w:eastAsia="Calibri" w:cs="Arial"/>
          <w:sz w:val="24"/>
          <w:szCs w:val="24"/>
          <w:lang w:val="es-CO" w:eastAsia="es-ES_tradnl"/>
        </w:rPr>
      </w:pPr>
      <w:r>
        <w:rPr>
          <w:sz w:val="24"/>
          <w:szCs w:val="24"/>
        </w:rPr>
        <w:t>El mencionado proceso fue iniciado por</w:t>
      </w:r>
      <w:r w:rsidR="00723F25" w:rsidRPr="00B810AE">
        <w:rPr>
          <w:sz w:val="24"/>
          <w:szCs w:val="24"/>
        </w:rPr>
        <w:t xml:space="preserve"> Yamil Antonio Bolívar Cervantes y algunos integrantes de su núcleo familiar</w:t>
      </w:r>
      <w:r>
        <w:rPr>
          <w:sz w:val="24"/>
          <w:szCs w:val="24"/>
        </w:rPr>
        <w:t>,</w:t>
      </w:r>
      <w:r w:rsidR="00B3562E">
        <w:rPr>
          <w:sz w:val="24"/>
          <w:szCs w:val="24"/>
        </w:rPr>
        <w:t xml:space="preserve"> en ejercicio de la acción de reparación directa,</w:t>
      </w:r>
      <w:r>
        <w:rPr>
          <w:sz w:val="24"/>
          <w:szCs w:val="24"/>
        </w:rPr>
        <w:t xml:space="preserve"> en contra de la </w:t>
      </w:r>
      <w:r w:rsidRPr="00B810AE">
        <w:rPr>
          <w:sz w:val="24"/>
          <w:szCs w:val="24"/>
        </w:rPr>
        <w:t>DEAJ</w:t>
      </w:r>
      <w:r>
        <w:rPr>
          <w:sz w:val="24"/>
          <w:szCs w:val="24"/>
        </w:rPr>
        <w:t>, de la Fiscalía General de la Nación y de la Dirección de Impuestos y Aduanas Nacionales</w:t>
      </w:r>
      <w:r w:rsidR="00A304A7">
        <w:rPr>
          <w:sz w:val="24"/>
          <w:szCs w:val="24"/>
        </w:rPr>
        <w:t xml:space="preserve"> (en adelante, DIAN)</w:t>
      </w:r>
      <w:r>
        <w:rPr>
          <w:sz w:val="24"/>
          <w:szCs w:val="24"/>
        </w:rPr>
        <w:t>.</w:t>
      </w:r>
      <w:r>
        <w:rPr>
          <w:rFonts w:eastAsia="Calibri" w:cs="Arial"/>
          <w:sz w:val="24"/>
          <w:szCs w:val="24"/>
          <w:lang w:val="es-CO" w:eastAsia="es-ES_tradnl"/>
        </w:rPr>
        <w:t xml:space="preserve"> </w:t>
      </w:r>
    </w:p>
    <w:p w14:paraId="2AC3C0E4" w14:textId="77777777" w:rsidR="009D0F4C" w:rsidRDefault="009D0F4C" w:rsidP="00A304A7">
      <w:pPr>
        <w:pStyle w:val="Textoindependiente21"/>
        <w:spacing w:after="0"/>
        <w:ind w:left="0"/>
        <w:jc w:val="both"/>
        <w:rPr>
          <w:rFonts w:eastAsia="Calibri" w:cs="Arial"/>
          <w:sz w:val="24"/>
          <w:szCs w:val="24"/>
          <w:lang w:val="es-CO" w:eastAsia="es-ES_tradnl"/>
        </w:rPr>
      </w:pPr>
    </w:p>
    <w:p w14:paraId="45548ED9" w14:textId="181D1840" w:rsidR="00B6103A" w:rsidRPr="009D0F4C" w:rsidRDefault="00EC4734" w:rsidP="00A304A7">
      <w:pPr>
        <w:pStyle w:val="Textoindependiente21"/>
        <w:spacing w:after="0"/>
        <w:ind w:left="0"/>
        <w:jc w:val="both"/>
        <w:rPr>
          <w:rFonts w:eastAsia="Calibri" w:cs="Arial"/>
          <w:sz w:val="24"/>
          <w:szCs w:val="24"/>
          <w:lang w:val="es-CO" w:eastAsia="es-ES_tradnl"/>
        </w:rPr>
      </w:pPr>
      <w:r>
        <w:rPr>
          <w:rFonts w:eastAsia="Calibri" w:cs="Arial"/>
          <w:sz w:val="24"/>
          <w:szCs w:val="24"/>
          <w:lang w:val="es-CO" w:eastAsia="es-ES_tradnl"/>
        </w:rPr>
        <w:t xml:space="preserve">En la sentencia del 28 de agosto de 2020, la Subsección B de la Sección Tercera de esta Corporación revocó el fallo de primera instancia proferido el 13 de febrero de 2014 por el Tribunal Administrativo de Cundinamarca y, en consecuencia, declaró a la Fiscalía General de la Nación y a la </w:t>
      </w:r>
      <w:r w:rsidR="009D0F4C">
        <w:rPr>
          <w:rFonts w:eastAsia="Calibri" w:cs="Arial"/>
          <w:sz w:val="24"/>
          <w:szCs w:val="24"/>
          <w:lang w:val="es-CO" w:eastAsia="es-ES_tradnl"/>
        </w:rPr>
        <w:t>DEAJ</w:t>
      </w:r>
      <w:r>
        <w:rPr>
          <w:rFonts w:eastAsia="Calibri" w:cs="Arial"/>
          <w:sz w:val="24"/>
          <w:szCs w:val="24"/>
          <w:lang w:val="es-CO" w:eastAsia="es-ES_tradnl"/>
        </w:rPr>
        <w:t xml:space="preserve"> administrativamente responsables por la privación injusta de la libertad de la que fue objeto el señor </w:t>
      </w:r>
      <w:r>
        <w:rPr>
          <w:sz w:val="24"/>
          <w:szCs w:val="24"/>
        </w:rPr>
        <w:t>Bolívar Cervantes</w:t>
      </w:r>
      <w:r w:rsidR="00B3562E">
        <w:rPr>
          <w:rFonts w:eastAsia="Calibri" w:cs="Arial"/>
          <w:sz w:val="24"/>
          <w:szCs w:val="24"/>
          <w:lang w:val="es-CO" w:eastAsia="es-ES_tradnl"/>
        </w:rPr>
        <w:t>.</w:t>
      </w:r>
    </w:p>
    <w:p w14:paraId="297CB664" w14:textId="7BA35DDB" w:rsidR="00B36102" w:rsidRPr="00B810AE" w:rsidRDefault="00B36102" w:rsidP="00A304A7">
      <w:pPr>
        <w:tabs>
          <w:tab w:val="left" w:pos="1985"/>
        </w:tabs>
        <w:rPr>
          <w:sz w:val="24"/>
          <w:szCs w:val="24"/>
        </w:rPr>
      </w:pPr>
    </w:p>
    <w:p w14:paraId="204198EB" w14:textId="6CFA8E97" w:rsidR="00B36102" w:rsidRPr="00B810AE" w:rsidRDefault="00B3562E" w:rsidP="00A304A7">
      <w:pPr>
        <w:contextualSpacing/>
        <w:rPr>
          <w:sz w:val="24"/>
          <w:szCs w:val="24"/>
        </w:rPr>
      </w:pPr>
      <w:bookmarkStart w:id="1" w:name="_Hlk35262464"/>
      <w:r>
        <w:rPr>
          <w:sz w:val="24"/>
          <w:szCs w:val="24"/>
        </w:rPr>
        <w:t>Agotado el trámite de rigor, el</w:t>
      </w:r>
      <w:r w:rsidR="00B6103A" w:rsidRPr="00B810AE">
        <w:rPr>
          <w:sz w:val="24"/>
          <w:szCs w:val="24"/>
        </w:rPr>
        <w:t xml:space="preserve"> Despacho del magistrado ponente </w:t>
      </w:r>
      <w:r w:rsidR="00EA7E01">
        <w:rPr>
          <w:sz w:val="24"/>
          <w:szCs w:val="24"/>
        </w:rPr>
        <w:t>sometió</w:t>
      </w:r>
      <w:r w:rsidR="00B6103A" w:rsidRPr="00B810AE">
        <w:rPr>
          <w:sz w:val="24"/>
          <w:szCs w:val="24"/>
        </w:rPr>
        <w:t xml:space="preserve"> a consideración de la Subsección C de la Sección Tercera de esta Corporación</w:t>
      </w:r>
      <w:r w:rsidR="009D0F4C" w:rsidRPr="009D0F4C">
        <w:rPr>
          <w:sz w:val="24"/>
          <w:szCs w:val="24"/>
        </w:rPr>
        <w:t xml:space="preserve"> </w:t>
      </w:r>
      <w:r w:rsidR="009D0F4C" w:rsidRPr="00B810AE">
        <w:rPr>
          <w:sz w:val="24"/>
          <w:szCs w:val="24"/>
        </w:rPr>
        <w:t>proyecto de fallo</w:t>
      </w:r>
      <w:r w:rsidR="00B6103A" w:rsidRPr="00B810AE">
        <w:rPr>
          <w:sz w:val="24"/>
          <w:szCs w:val="24"/>
        </w:rPr>
        <w:t xml:space="preserve"> en la Sala virtual llevada</w:t>
      </w:r>
      <w:r w:rsidR="00F10D56" w:rsidRPr="00B810AE">
        <w:rPr>
          <w:sz w:val="24"/>
          <w:szCs w:val="24"/>
        </w:rPr>
        <w:t xml:space="preserve"> a cabo el 25 de junio de 2021,</w:t>
      </w:r>
      <w:r>
        <w:rPr>
          <w:sz w:val="24"/>
          <w:szCs w:val="24"/>
        </w:rPr>
        <w:t xml:space="preserve"> sin embargo, en dicha</w:t>
      </w:r>
      <w:r w:rsidR="00F10D56" w:rsidRPr="00B810AE">
        <w:rPr>
          <w:sz w:val="24"/>
          <w:szCs w:val="24"/>
        </w:rPr>
        <w:t xml:space="preserve"> </w:t>
      </w:r>
      <w:r w:rsidR="00B6103A" w:rsidRPr="00B810AE">
        <w:rPr>
          <w:sz w:val="24"/>
          <w:szCs w:val="24"/>
        </w:rPr>
        <w:t>oportunidad</w:t>
      </w:r>
      <w:r w:rsidR="00F10D56" w:rsidRPr="00B810AE">
        <w:rPr>
          <w:sz w:val="24"/>
          <w:szCs w:val="24"/>
        </w:rPr>
        <w:t xml:space="preserve"> </w:t>
      </w:r>
      <w:r w:rsidR="00B6103A" w:rsidRPr="00B810AE">
        <w:rPr>
          <w:sz w:val="24"/>
          <w:szCs w:val="24"/>
        </w:rPr>
        <w:t>el Consej</w:t>
      </w:r>
      <w:r w:rsidR="00B133CA">
        <w:rPr>
          <w:sz w:val="24"/>
          <w:szCs w:val="24"/>
        </w:rPr>
        <w:t>ero</w:t>
      </w:r>
      <w:r w:rsidR="00B6103A" w:rsidRPr="00B810AE">
        <w:rPr>
          <w:sz w:val="24"/>
          <w:szCs w:val="24"/>
        </w:rPr>
        <w:t xml:space="preserve"> de Estado Nicolás Yepes Corrales manifestó </w:t>
      </w:r>
      <w:r w:rsidR="00611EEA" w:rsidRPr="00B810AE">
        <w:rPr>
          <w:sz w:val="24"/>
          <w:szCs w:val="24"/>
        </w:rPr>
        <w:t>que se encontraba</w:t>
      </w:r>
      <w:r w:rsidR="00B6103A" w:rsidRPr="00B810AE">
        <w:rPr>
          <w:sz w:val="24"/>
          <w:szCs w:val="24"/>
        </w:rPr>
        <w:t xml:space="preserve"> </w:t>
      </w:r>
      <w:r w:rsidR="00611EEA" w:rsidRPr="00B810AE">
        <w:rPr>
          <w:sz w:val="24"/>
          <w:szCs w:val="24"/>
        </w:rPr>
        <w:t>impedido</w:t>
      </w:r>
      <w:r w:rsidR="009F292E" w:rsidRPr="00B810AE">
        <w:rPr>
          <w:sz w:val="24"/>
          <w:szCs w:val="24"/>
        </w:rPr>
        <w:t xml:space="preserve"> para conocer </w:t>
      </w:r>
      <w:r w:rsidR="00EA7E01" w:rsidRPr="00B810AE">
        <w:rPr>
          <w:sz w:val="24"/>
          <w:szCs w:val="24"/>
        </w:rPr>
        <w:t xml:space="preserve">de fondo </w:t>
      </w:r>
      <w:r w:rsidR="009F292E" w:rsidRPr="00B810AE">
        <w:rPr>
          <w:sz w:val="24"/>
          <w:szCs w:val="24"/>
        </w:rPr>
        <w:t>el asunto</w:t>
      </w:r>
      <w:r w:rsidR="00F10D56" w:rsidRPr="00B810AE">
        <w:rPr>
          <w:sz w:val="24"/>
          <w:szCs w:val="24"/>
        </w:rPr>
        <w:t>. Por el anterior</w:t>
      </w:r>
      <w:r w:rsidR="00B6103A" w:rsidRPr="00B810AE">
        <w:rPr>
          <w:sz w:val="24"/>
          <w:szCs w:val="24"/>
        </w:rPr>
        <w:t xml:space="preserve"> </w:t>
      </w:r>
      <w:r w:rsidR="00F10D56" w:rsidRPr="00B810AE">
        <w:rPr>
          <w:sz w:val="24"/>
          <w:szCs w:val="24"/>
        </w:rPr>
        <w:t>motivo,</w:t>
      </w:r>
      <w:r w:rsidR="00B6103A" w:rsidRPr="00B810AE">
        <w:rPr>
          <w:sz w:val="24"/>
          <w:szCs w:val="24"/>
        </w:rPr>
        <w:t xml:space="preserve"> </w:t>
      </w:r>
      <w:r w:rsidR="00F10D56" w:rsidRPr="00B810AE">
        <w:rPr>
          <w:sz w:val="24"/>
          <w:szCs w:val="24"/>
        </w:rPr>
        <w:t>el</w:t>
      </w:r>
      <w:r w:rsidR="00B6103A" w:rsidRPr="00B810AE">
        <w:rPr>
          <w:sz w:val="24"/>
          <w:szCs w:val="24"/>
        </w:rPr>
        <w:t xml:space="preserve"> </w:t>
      </w:r>
      <w:r w:rsidR="00F10D56" w:rsidRPr="00B810AE">
        <w:rPr>
          <w:sz w:val="24"/>
          <w:szCs w:val="24"/>
        </w:rPr>
        <w:t xml:space="preserve">estudio </w:t>
      </w:r>
      <w:r w:rsidR="006E50CD" w:rsidRPr="00B810AE">
        <w:rPr>
          <w:sz w:val="24"/>
          <w:szCs w:val="24"/>
        </w:rPr>
        <w:t xml:space="preserve">del referido proyecto </w:t>
      </w:r>
      <w:r w:rsidR="00F10D56" w:rsidRPr="00B810AE">
        <w:rPr>
          <w:sz w:val="24"/>
          <w:szCs w:val="24"/>
        </w:rPr>
        <w:t>fue aplazado</w:t>
      </w:r>
      <w:r w:rsidR="00B6103A" w:rsidRPr="00B810AE">
        <w:rPr>
          <w:sz w:val="24"/>
          <w:szCs w:val="24"/>
        </w:rPr>
        <w:t>.</w:t>
      </w:r>
    </w:p>
    <w:p w14:paraId="33ECE735" w14:textId="77777777" w:rsidR="00B6103A" w:rsidRPr="00B810AE" w:rsidRDefault="00B6103A" w:rsidP="00A304A7">
      <w:pPr>
        <w:contextualSpacing/>
        <w:rPr>
          <w:rFonts w:eastAsia="Verdana"/>
          <w:sz w:val="24"/>
          <w:szCs w:val="24"/>
        </w:rPr>
      </w:pPr>
    </w:p>
    <w:p w14:paraId="0F94325C" w14:textId="53077CCC" w:rsidR="00B36102" w:rsidRPr="00B810AE" w:rsidRDefault="003E7406" w:rsidP="00A304A7">
      <w:pPr>
        <w:overflowPunct w:val="0"/>
        <w:autoSpaceDE w:val="0"/>
        <w:autoSpaceDN w:val="0"/>
        <w:adjustRightInd w:val="0"/>
        <w:contextualSpacing/>
        <w:rPr>
          <w:rFonts w:eastAsia="Times New Roman"/>
          <w:b/>
          <w:sz w:val="24"/>
          <w:szCs w:val="24"/>
          <w:lang w:eastAsia="es-ES"/>
        </w:rPr>
      </w:pPr>
      <w:r w:rsidRPr="00B810AE">
        <w:rPr>
          <w:b/>
          <w:sz w:val="24"/>
          <w:szCs w:val="24"/>
        </w:rPr>
        <w:t>1</w:t>
      </w:r>
      <w:r w:rsidR="00B6103A" w:rsidRPr="00B810AE">
        <w:rPr>
          <w:b/>
          <w:sz w:val="24"/>
          <w:szCs w:val="24"/>
        </w:rPr>
        <w:t xml:space="preserve">.2. </w:t>
      </w:r>
      <w:r w:rsidR="00B36102" w:rsidRPr="00B810AE">
        <w:rPr>
          <w:b/>
          <w:sz w:val="24"/>
          <w:szCs w:val="24"/>
        </w:rPr>
        <w:t>Manifestación del impedimento</w:t>
      </w:r>
    </w:p>
    <w:p w14:paraId="435CB5BC" w14:textId="77777777" w:rsidR="00B36102" w:rsidRPr="00B810AE" w:rsidRDefault="00B36102" w:rsidP="00A304A7">
      <w:pPr>
        <w:overflowPunct w:val="0"/>
        <w:autoSpaceDE w:val="0"/>
        <w:autoSpaceDN w:val="0"/>
        <w:adjustRightInd w:val="0"/>
        <w:contextualSpacing/>
        <w:rPr>
          <w:b/>
          <w:sz w:val="24"/>
          <w:szCs w:val="24"/>
        </w:rPr>
      </w:pPr>
    </w:p>
    <w:bookmarkEnd w:id="1"/>
    <w:p w14:paraId="3FA9345E" w14:textId="633D1CE8" w:rsidR="00B6103A" w:rsidRPr="00B810AE" w:rsidRDefault="009F292E" w:rsidP="00A304A7">
      <w:pPr>
        <w:overflowPunct w:val="0"/>
        <w:autoSpaceDE w:val="0"/>
        <w:autoSpaceDN w:val="0"/>
        <w:adjustRightInd w:val="0"/>
        <w:rPr>
          <w:rFonts w:eastAsia="Verdana"/>
          <w:sz w:val="24"/>
          <w:szCs w:val="24"/>
        </w:rPr>
      </w:pPr>
      <w:r w:rsidRPr="00B810AE">
        <w:rPr>
          <w:rFonts w:eastAsia="Verdana"/>
          <w:sz w:val="24"/>
          <w:szCs w:val="24"/>
        </w:rPr>
        <w:t>El 30 de mayo de 2021 pasó al Despacho del magistrado ponente escrito</w:t>
      </w:r>
      <w:r w:rsidR="00EA7E01">
        <w:rPr>
          <w:rFonts w:eastAsia="Verdana"/>
          <w:sz w:val="24"/>
          <w:szCs w:val="24"/>
        </w:rPr>
        <w:t xml:space="preserve"> en el que se explicaron </w:t>
      </w:r>
      <w:r w:rsidRPr="00B810AE">
        <w:rPr>
          <w:rFonts w:eastAsia="Verdana"/>
          <w:sz w:val="24"/>
          <w:szCs w:val="24"/>
        </w:rPr>
        <w:t>las razon</w:t>
      </w:r>
      <w:r w:rsidR="00F10D56" w:rsidRPr="00B810AE">
        <w:rPr>
          <w:rFonts w:eastAsia="Verdana"/>
          <w:sz w:val="24"/>
          <w:szCs w:val="24"/>
        </w:rPr>
        <w:t xml:space="preserve">es </w:t>
      </w:r>
      <w:r w:rsidR="00EA7E01">
        <w:rPr>
          <w:rFonts w:eastAsia="Verdana"/>
          <w:sz w:val="24"/>
          <w:szCs w:val="24"/>
        </w:rPr>
        <w:t xml:space="preserve">del </w:t>
      </w:r>
      <w:r w:rsidR="00F10D56" w:rsidRPr="00B810AE">
        <w:rPr>
          <w:rFonts w:eastAsia="Verdana"/>
          <w:sz w:val="24"/>
          <w:szCs w:val="24"/>
        </w:rPr>
        <w:t xml:space="preserve">impedimento. </w:t>
      </w:r>
      <w:r w:rsidR="00C46DB1">
        <w:rPr>
          <w:rFonts w:eastAsia="Verdana"/>
          <w:sz w:val="24"/>
          <w:szCs w:val="24"/>
        </w:rPr>
        <w:t>El c</w:t>
      </w:r>
      <w:r w:rsidR="00EA7E01">
        <w:rPr>
          <w:rFonts w:eastAsia="Verdana"/>
          <w:sz w:val="24"/>
          <w:szCs w:val="24"/>
        </w:rPr>
        <w:t>onsejero de Estado Nicolás Yepes Corrales sostuvo que,</w:t>
      </w:r>
      <w:r w:rsidR="00723F25" w:rsidRPr="00B810AE">
        <w:rPr>
          <w:rFonts w:eastAsia="Verdana"/>
          <w:sz w:val="24"/>
          <w:szCs w:val="24"/>
        </w:rPr>
        <w:t xml:space="preserve"> </w:t>
      </w:r>
      <w:r w:rsidR="00611EEA" w:rsidRPr="00B810AE">
        <w:rPr>
          <w:rFonts w:eastAsia="Verdana"/>
          <w:sz w:val="24"/>
          <w:szCs w:val="24"/>
        </w:rPr>
        <w:t xml:space="preserve">en su condición de Procurador 11 Judicial Administrativo II ante el Tribunal Administrativo de Cundinamarca, </w:t>
      </w:r>
      <w:r w:rsidR="00723F25" w:rsidRPr="00B810AE">
        <w:rPr>
          <w:rFonts w:eastAsia="Verdana"/>
          <w:sz w:val="24"/>
          <w:szCs w:val="24"/>
        </w:rPr>
        <w:t xml:space="preserve">presidió </w:t>
      </w:r>
      <w:r w:rsidR="004A0740" w:rsidRPr="00B810AE">
        <w:rPr>
          <w:rFonts w:eastAsia="Verdana"/>
          <w:sz w:val="24"/>
          <w:szCs w:val="24"/>
        </w:rPr>
        <w:t>“la audiencia de conciliación extrajudicial celebrada el 2 de junio de 2011</w:t>
      </w:r>
      <w:r w:rsidR="00BB3784" w:rsidRPr="00B810AE">
        <w:rPr>
          <w:rFonts w:eastAsia="Verdana"/>
          <w:sz w:val="24"/>
          <w:szCs w:val="24"/>
        </w:rPr>
        <w:t xml:space="preserve"> [sic]</w:t>
      </w:r>
      <w:r w:rsidR="004A0740" w:rsidRPr="00B810AE">
        <w:rPr>
          <w:rFonts w:eastAsia="Verdana"/>
          <w:sz w:val="24"/>
          <w:szCs w:val="24"/>
        </w:rPr>
        <w:t xml:space="preserve">, entre la [DEAJ], la Fiscalía General </w:t>
      </w:r>
      <w:r w:rsidR="004A0740" w:rsidRPr="00B810AE">
        <w:rPr>
          <w:rFonts w:eastAsia="Verdana"/>
          <w:sz w:val="24"/>
          <w:szCs w:val="24"/>
        </w:rPr>
        <w:lastRenderedPageBreak/>
        <w:t>de la Nación, la [DIAN] y Yamil Antonio Bolívar Cervantes, al interior del proceso de reparación directa de radicado No.</w:t>
      </w:r>
      <w:r w:rsidR="00EA7E01">
        <w:rPr>
          <w:rFonts w:eastAsia="Verdana"/>
          <w:sz w:val="24"/>
          <w:szCs w:val="24"/>
        </w:rPr>
        <w:t xml:space="preserve"> 25000-23-26-000-2011-00544-01”; situación que</w:t>
      </w:r>
      <w:r w:rsidR="00C46DB1">
        <w:rPr>
          <w:rFonts w:eastAsia="Verdana"/>
          <w:sz w:val="24"/>
          <w:szCs w:val="24"/>
        </w:rPr>
        <w:t>, en su concepto,</w:t>
      </w:r>
      <w:r w:rsidR="00EA7E01">
        <w:rPr>
          <w:rFonts w:eastAsia="Verdana"/>
          <w:sz w:val="24"/>
          <w:szCs w:val="24"/>
        </w:rPr>
        <w:t xml:space="preserve"> </w:t>
      </w:r>
      <w:r w:rsidR="00C46DB1">
        <w:rPr>
          <w:rFonts w:eastAsia="Verdana"/>
          <w:sz w:val="24"/>
          <w:szCs w:val="24"/>
        </w:rPr>
        <w:t>configura</w:t>
      </w:r>
      <w:r w:rsidR="00B133CA">
        <w:rPr>
          <w:rFonts w:eastAsia="Verdana"/>
          <w:sz w:val="24"/>
          <w:szCs w:val="24"/>
        </w:rPr>
        <w:t>ba</w:t>
      </w:r>
      <w:r w:rsidR="00EA7E01">
        <w:rPr>
          <w:rFonts w:eastAsia="Verdana"/>
          <w:sz w:val="24"/>
          <w:szCs w:val="24"/>
        </w:rPr>
        <w:t xml:space="preserve"> </w:t>
      </w:r>
      <w:r w:rsidR="00A304A7">
        <w:rPr>
          <w:rFonts w:eastAsia="Verdana"/>
          <w:sz w:val="24"/>
          <w:szCs w:val="24"/>
        </w:rPr>
        <w:t xml:space="preserve">el segundo supuesto de hecho previsto en </w:t>
      </w:r>
      <w:r w:rsidR="00EA7E01">
        <w:rPr>
          <w:rFonts w:eastAsia="Verdana"/>
          <w:sz w:val="24"/>
          <w:szCs w:val="24"/>
        </w:rPr>
        <w:t>la causal contenida en el numeral 6 del artículo 56 del Código de Procedimiento Penal.</w:t>
      </w:r>
    </w:p>
    <w:p w14:paraId="6645ADAE" w14:textId="77777777" w:rsidR="00B36102" w:rsidRPr="00B810AE" w:rsidRDefault="00B36102" w:rsidP="00A304A7">
      <w:pPr>
        <w:overflowPunct w:val="0"/>
        <w:autoSpaceDE w:val="0"/>
        <w:autoSpaceDN w:val="0"/>
        <w:adjustRightInd w:val="0"/>
        <w:rPr>
          <w:rFonts w:eastAsia="Verdana"/>
          <w:sz w:val="24"/>
          <w:szCs w:val="24"/>
        </w:rPr>
      </w:pPr>
    </w:p>
    <w:p w14:paraId="1A24DF3A" w14:textId="77777777" w:rsidR="00B36102" w:rsidRPr="00B810AE" w:rsidRDefault="00B36102" w:rsidP="00A304A7">
      <w:pPr>
        <w:keepNext/>
        <w:numPr>
          <w:ilvl w:val="0"/>
          <w:numId w:val="5"/>
        </w:numPr>
        <w:ind w:left="714" w:hanging="357"/>
        <w:jc w:val="center"/>
        <w:outlineLvl w:val="0"/>
        <w:rPr>
          <w:rFonts w:eastAsia="Times New Roman"/>
          <w:b/>
          <w:bCs/>
          <w:caps/>
          <w:kern w:val="32"/>
          <w:sz w:val="24"/>
          <w:szCs w:val="24"/>
          <w:lang w:val="es-ES_tradnl"/>
        </w:rPr>
      </w:pPr>
      <w:r w:rsidRPr="00B810AE">
        <w:rPr>
          <w:rFonts w:eastAsia="Times New Roman"/>
          <w:b/>
          <w:bCs/>
          <w:caps/>
          <w:kern w:val="32"/>
          <w:sz w:val="24"/>
          <w:szCs w:val="24"/>
          <w:lang w:val="es-ES_tradnl"/>
        </w:rPr>
        <w:t>CONSIDERACIONES</w:t>
      </w:r>
    </w:p>
    <w:p w14:paraId="139486F2" w14:textId="77777777" w:rsidR="00B36102" w:rsidRPr="00B810AE" w:rsidRDefault="00B36102" w:rsidP="00A304A7">
      <w:pPr>
        <w:rPr>
          <w:sz w:val="24"/>
          <w:szCs w:val="24"/>
          <w:lang w:val="es-ES_tradnl"/>
        </w:rPr>
      </w:pPr>
    </w:p>
    <w:p w14:paraId="4409A158" w14:textId="614B75D9" w:rsidR="00B36102" w:rsidRPr="00B810AE" w:rsidRDefault="003E7406" w:rsidP="00A304A7">
      <w:pPr>
        <w:contextualSpacing/>
        <w:rPr>
          <w:b/>
          <w:sz w:val="24"/>
          <w:szCs w:val="24"/>
          <w:lang w:val="es-ES_tradnl"/>
        </w:rPr>
      </w:pPr>
      <w:r w:rsidRPr="00B810AE">
        <w:rPr>
          <w:b/>
          <w:sz w:val="24"/>
          <w:szCs w:val="24"/>
          <w:lang w:val="es-ES_tradnl"/>
        </w:rPr>
        <w:t xml:space="preserve">2.1. </w:t>
      </w:r>
      <w:r w:rsidR="00B36102" w:rsidRPr="00B810AE">
        <w:rPr>
          <w:b/>
          <w:sz w:val="24"/>
          <w:szCs w:val="24"/>
          <w:lang w:val="es-ES_tradnl"/>
        </w:rPr>
        <w:t>Competencia</w:t>
      </w:r>
    </w:p>
    <w:p w14:paraId="407F85FC" w14:textId="77777777" w:rsidR="00B36102" w:rsidRPr="00B810AE" w:rsidRDefault="00B36102" w:rsidP="00A304A7">
      <w:pPr>
        <w:contextualSpacing/>
        <w:rPr>
          <w:b/>
          <w:sz w:val="24"/>
          <w:szCs w:val="24"/>
          <w:lang w:val="es-ES_tradnl"/>
        </w:rPr>
      </w:pPr>
    </w:p>
    <w:p w14:paraId="7743E64A" w14:textId="13E0D389" w:rsidR="00B36102" w:rsidRPr="00B810AE" w:rsidRDefault="00B36102" w:rsidP="00A304A7">
      <w:pPr>
        <w:contextualSpacing/>
        <w:rPr>
          <w:rFonts w:eastAsia="Times New Roman"/>
          <w:sz w:val="24"/>
          <w:szCs w:val="24"/>
          <w:lang w:val="es-ES_tradnl"/>
        </w:rPr>
      </w:pPr>
      <w:r w:rsidRPr="00B810AE">
        <w:rPr>
          <w:rFonts w:eastAsia="Times New Roman"/>
          <w:sz w:val="24"/>
          <w:szCs w:val="24"/>
          <w:lang w:val="es-ES_tradnl"/>
        </w:rPr>
        <w:t xml:space="preserve">De conformidad con lo dispuesto en el artículo 58A del Código de Procedimiento Penal, codificación aplicable al caso concreto por remisión expresa efectuada por el artículo 39 del Decreto 2591 de 1991, esta Sala </w:t>
      </w:r>
      <w:r w:rsidR="00C46DB1">
        <w:rPr>
          <w:rFonts w:eastAsia="Times New Roman"/>
          <w:sz w:val="24"/>
          <w:szCs w:val="24"/>
          <w:lang w:val="es-ES_tradnl"/>
        </w:rPr>
        <w:t>tiene competencia</w:t>
      </w:r>
      <w:r w:rsidRPr="00B810AE">
        <w:rPr>
          <w:rFonts w:eastAsia="Times New Roman"/>
          <w:sz w:val="24"/>
          <w:szCs w:val="24"/>
          <w:lang w:val="es-ES_tradnl"/>
        </w:rPr>
        <w:t xml:space="preserve"> para conocer y decidir el impedimento manifestado por el consejero de Estado Nicolás Yepes Corrales. </w:t>
      </w:r>
    </w:p>
    <w:p w14:paraId="02E6AB9C" w14:textId="77777777" w:rsidR="00B36102" w:rsidRPr="00B810AE" w:rsidRDefault="00B36102" w:rsidP="00A304A7">
      <w:pPr>
        <w:contextualSpacing/>
        <w:rPr>
          <w:rFonts w:eastAsia="Verdana"/>
          <w:sz w:val="24"/>
          <w:szCs w:val="24"/>
        </w:rPr>
      </w:pPr>
    </w:p>
    <w:p w14:paraId="6652238F" w14:textId="26F4FA92" w:rsidR="00B36102" w:rsidRPr="00B810AE" w:rsidRDefault="003E7406" w:rsidP="00A304A7">
      <w:pPr>
        <w:overflowPunct w:val="0"/>
        <w:autoSpaceDE w:val="0"/>
        <w:autoSpaceDN w:val="0"/>
        <w:adjustRightInd w:val="0"/>
        <w:contextualSpacing/>
        <w:rPr>
          <w:rFonts w:eastAsia="Times New Roman"/>
          <w:b/>
          <w:sz w:val="24"/>
          <w:szCs w:val="24"/>
          <w:lang w:eastAsia="es-ES"/>
        </w:rPr>
      </w:pPr>
      <w:r w:rsidRPr="00B810AE">
        <w:rPr>
          <w:b/>
          <w:sz w:val="24"/>
          <w:szCs w:val="24"/>
        </w:rPr>
        <w:t xml:space="preserve">2.2. </w:t>
      </w:r>
      <w:r w:rsidR="00B36102" w:rsidRPr="00B810AE">
        <w:rPr>
          <w:b/>
          <w:sz w:val="24"/>
          <w:szCs w:val="24"/>
        </w:rPr>
        <w:t>Análisis del impedimento</w:t>
      </w:r>
    </w:p>
    <w:p w14:paraId="782B2560" w14:textId="77777777" w:rsidR="00B36102" w:rsidRPr="00B810AE" w:rsidRDefault="00B36102" w:rsidP="00A304A7">
      <w:pPr>
        <w:overflowPunct w:val="0"/>
        <w:autoSpaceDE w:val="0"/>
        <w:autoSpaceDN w:val="0"/>
        <w:adjustRightInd w:val="0"/>
        <w:contextualSpacing/>
        <w:rPr>
          <w:bCs/>
          <w:sz w:val="24"/>
          <w:szCs w:val="24"/>
        </w:rPr>
      </w:pPr>
    </w:p>
    <w:p w14:paraId="53813977" w14:textId="67B8FED2" w:rsidR="00B36102" w:rsidRPr="00B810AE" w:rsidRDefault="003E7406" w:rsidP="00A304A7">
      <w:pPr>
        <w:rPr>
          <w:sz w:val="24"/>
          <w:szCs w:val="24"/>
        </w:rPr>
      </w:pPr>
      <w:r w:rsidRPr="00B810AE">
        <w:rPr>
          <w:sz w:val="24"/>
          <w:szCs w:val="24"/>
        </w:rPr>
        <w:t xml:space="preserve">La causal de impedimento </w:t>
      </w:r>
      <w:r w:rsidR="00C46DB1">
        <w:rPr>
          <w:sz w:val="24"/>
          <w:szCs w:val="24"/>
        </w:rPr>
        <w:t xml:space="preserve">invocada </w:t>
      </w:r>
      <w:r w:rsidRPr="00B810AE">
        <w:rPr>
          <w:sz w:val="24"/>
          <w:szCs w:val="24"/>
        </w:rPr>
        <w:t>contenida en el numeral 6 del artículo 56 del Código de Procedimiento Penal</w:t>
      </w:r>
      <w:r w:rsidR="00B133CA">
        <w:rPr>
          <w:sz w:val="24"/>
          <w:szCs w:val="24"/>
        </w:rPr>
        <w:t xml:space="preserve">, </w:t>
      </w:r>
      <w:r w:rsidRPr="00B810AE">
        <w:rPr>
          <w:sz w:val="24"/>
          <w:szCs w:val="24"/>
        </w:rPr>
        <w:t>consiste en que, el respectivo funcionario que se considera impedido</w:t>
      </w:r>
      <w:r w:rsidR="002707B4" w:rsidRPr="00B810AE">
        <w:rPr>
          <w:sz w:val="24"/>
          <w:szCs w:val="24"/>
        </w:rPr>
        <w:t>,</w:t>
      </w:r>
      <w:r w:rsidRPr="00B810AE">
        <w:rPr>
          <w:sz w:val="24"/>
          <w:szCs w:val="24"/>
        </w:rPr>
        <w:t xml:space="preserve"> “[…]</w:t>
      </w:r>
      <w:r w:rsidR="00B133CA">
        <w:rPr>
          <w:sz w:val="24"/>
          <w:szCs w:val="24"/>
        </w:rPr>
        <w:t xml:space="preserve"> </w:t>
      </w:r>
      <w:r w:rsidRPr="00B810AE">
        <w:rPr>
          <w:sz w:val="24"/>
          <w:szCs w:val="24"/>
          <w:u w:val="single"/>
        </w:rPr>
        <w:t>hubiere participado dentro del proceso</w:t>
      </w:r>
      <w:r w:rsidRPr="00B810AE">
        <w:rPr>
          <w:sz w:val="24"/>
          <w:szCs w:val="24"/>
        </w:rPr>
        <w:t>, o sea cónyuge o compañero o compañera permanente o pariente dentro del cuarto grado de consa</w:t>
      </w:r>
      <w:r w:rsidR="00BE4154" w:rsidRPr="00B810AE">
        <w:rPr>
          <w:sz w:val="24"/>
          <w:szCs w:val="24"/>
        </w:rPr>
        <w:t>n</w:t>
      </w:r>
      <w:r w:rsidRPr="00B810AE">
        <w:rPr>
          <w:sz w:val="24"/>
          <w:szCs w:val="24"/>
        </w:rPr>
        <w:t>guinidad o civil, o segundo de afinidad, del funcionario que dictó la providencia a revisar” (La Sala subraya).</w:t>
      </w:r>
    </w:p>
    <w:p w14:paraId="1C56B76F" w14:textId="77777777" w:rsidR="00A8198E" w:rsidRPr="00B810AE" w:rsidRDefault="00A8198E" w:rsidP="00A304A7">
      <w:pPr>
        <w:rPr>
          <w:sz w:val="24"/>
          <w:szCs w:val="24"/>
        </w:rPr>
      </w:pPr>
    </w:p>
    <w:p w14:paraId="45C7D1D9" w14:textId="063A3653" w:rsidR="00A8198E" w:rsidRPr="00B810AE" w:rsidRDefault="00B810AE" w:rsidP="00A304A7">
      <w:pPr>
        <w:rPr>
          <w:sz w:val="24"/>
          <w:szCs w:val="24"/>
        </w:rPr>
      </w:pPr>
      <w:r w:rsidRPr="00B810AE">
        <w:rPr>
          <w:sz w:val="24"/>
          <w:szCs w:val="24"/>
        </w:rPr>
        <w:t>S</w:t>
      </w:r>
      <w:r w:rsidR="00A8198E" w:rsidRPr="00B810AE">
        <w:rPr>
          <w:sz w:val="24"/>
          <w:szCs w:val="24"/>
        </w:rPr>
        <w:t>obre esta causal, la Corte Constitucional</w:t>
      </w:r>
      <w:r>
        <w:rPr>
          <w:sz w:val="24"/>
          <w:szCs w:val="24"/>
        </w:rPr>
        <w:t>,</w:t>
      </w:r>
      <w:r w:rsidR="00A8198E" w:rsidRPr="00B810AE">
        <w:rPr>
          <w:sz w:val="24"/>
          <w:szCs w:val="24"/>
        </w:rPr>
        <w:t xml:space="preserve"> en la sentencia T-305 de 2017</w:t>
      </w:r>
      <w:r>
        <w:rPr>
          <w:sz w:val="24"/>
          <w:szCs w:val="24"/>
        </w:rPr>
        <w:t xml:space="preserve">, </w:t>
      </w:r>
      <w:r w:rsidRPr="00B810AE">
        <w:rPr>
          <w:sz w:val="24"/>
          <w:szCs w:val="24"/>
        </w:rPr>
        <w:t>destacó</w:t>
      </w:r>
      <w:r w:rsidR="00A8198E" w:rsidRPr="00B810AE">
        <w:rPr>
          <w:sz w:val="24"/>
          <w:szCs w:val="24"/>
        </w:rPr>
        <w:t xml:space="preserve">: </w:t>
      </w:r>
    </w:p>
    <w:p w14:paraId="22A23739" w14:textId="77777777" w:rsidR="00A8198E" w:rsidRPr="00B810AE" w:rsidRDefault="00A8198E" w:rsidP="00A304A7">
      <w:pPr>
        <w:rPr>
          <w:sz w:val="24"/>
          <w:szCs w:val="24"/>
        </w:rPr>
      </w:pPr>
    </w:p>
    <w:p w14:paraId="6ADEA1BD" w14:textId="0FFE1991" w:rsidR="00587611" w:rsidRPr="00B810AE" w:rsidRDefault="00587611" w:rsidP="00A304A7">
      <w:pPr>
        <w:ind w:left="706"/>
        <w:rPr>
          <w:sz w:val="22"/>
          <w:szCs w:val="22"/>
        </w:rPr>
      </w:pPr>
      <w:r w:rsidRPr="00B810AE">
        <w:rPr>
          <w:sz w:val="22"/>
          <w:szCs w:val="22"/>
        </w:rPr>
        <w:t>&lt; […] en relación con que el funcionario recusado participó dentro del proceso, la Sala Penal de la Corte Suprema de Justicia ha señalado:</w:t>
      </w:r>
    </w:p>
    <w:p w14:paraId="0104585E" w14:textId="54BFF6AE" w:rsidR="00587611" w:rsidRPr="00B810AE" w:rsidRDefault="00587611" w:rsidP="00A304A7">
      <w:pPr>
        <w:ind w:left="706"/>
        <w:rPr>
          <w:sz w:val="22"/>
          <w:szCs w:val="22"/>
        </w:rPr>
      </w:pPr>
    </w:p>
    <w:p w14:paraId="442D5235" w14:textId="39787FF2" w:rsidR="00A8198E" w:rsidRPr="00B810AE" w:rsidRDefault="00587611" w:rsidP="00A304A7">
      <w:pPr>
        <w:ind w:left="1412"/>
        <w:rPr>
          <w:sz w:val="24"/>
          <w:szCs w:val="24"/>
        </w:rPr>
      </w:pPr>
      <w:r w:rsidRPr="00B810AE">
        <w:rPr>
          <w:sz w:val="22"/>
          <w:szCs w:val="22"/>
        </w:rPr>
        <w:t>“Frente a esta causal, la Sala tiene establecido que la comprensión de este concepto no debe asumirse en sentido literal sino que es preciso que esa intervención, para que adquiera un efecto trascendente acorde con los fines de la norma, tenga la aptitud suficiente para comprometer la ecuanimidad y la rectitud del funcionario. Su actividad dentro del proceso, debe haber sido esen</w:t>
      </w:r>
      <w:r w:rsidR="00B810AE">
        <w:rPr>
          <w:sz w:val="22"/>
          <w:szCs w:val="22"/>
        </w:rPr>
        <w:t>cial y no simplemente formal</w:t>
      </w:r>
      <w:r w:rsidRPr="00B810AE">
        <w:rPr>
          <w:sz w:val="22"/>
          <w:szCs w:val="22"/>
        </w:rPr>
        <w:t>, de fondo, sustancial, trascendente, que lo vincule con la actuación puesta a su consideración de tal manera que le impida actuar con la imparcialidad y la ponderación que de él esperan no solamente los sujetos procesales sino la comunidad en general &gt;</w:t>
      </w:r>
      <w:r w:rsidRPr="00B810AE">
        <w:rPr>
          <w:rStyle w:val="Refdenotaalpie"/>
          <w:sz w:val="22"/>
          <w:szCs w:val="22"/>
        </w:rPr>
        <w:footnoteReference w:id="1"/>
      </w:r>
      <w:r w:rsidRPr="00B810AE">
        <w:rPr>
          <w:sz w:val="22"/>
          <w:szCs w:val="22"/>
        </w:rPr>
        <w:t>”</w:t>
      </w:r>
    </w:p>
    <w:p w14:paraId="174CA5AC" w14:textId="77777777" w:rsidR="003E7406" w:rsidRPr="00B810AE" w:rsidRDefault="003E7406" w:rsidP="00A304A7">
      <w:pPr>
        <w:rPr>
          <w:sz w:val="24"/>
          <w:szCs w:val="24"/>
        </w:rPr>
      </w:pPr>
    </w:p>
    <w:p w14:paraId="166A78D6" w14:textId="5001C1B5" w:rsidR="004610DF" w:rsidRDefault="005006C4" w:rsidP="00A304A7">
      <w:pPr>
        <w:rPr>
          <w:sz w:val="24"/>
          <w:szCs w:val="24"/>
        </w:rPr>
      </w:pPr>
      <w:r w:rsidRPr="00B810AE">
        <w:rPr>
          <w:sz w:val="24"/>
          <w:szCs w:val="24"/>
        </w:rPr>
        <w:t xml:space="preserve">En el caso concreto, </w:t>
      </w:r>
      <w:r w:rsidR="00553964">
        <w:rPr>
          <w:sz w:val="24"/>
          <w:szCs w:val="24"/>
        </w:rPr>
        <w:t xml:space="preserve">una vez </w:t>
      </w:r>
      <w:r w:rsidR="0041326F">
        <w:rPr>
          <w:sz w:val="24"/>
          <w:szCs w:val="24"/>
        </w:rPr>
        <w:t xml:space="preserve">fue </w:t>
      </w:r>
      <w:r w:rsidR="00553964">
        <w:rPr>
          <w:sz w:val="24"/>
          <w:szCs w:val="24"/>
        </w:rPr>
        <w:t>consultado el expediente ordinario de reparación directa por medio del Tribunal Administrativo de Cundinamarca</w:t>
      </w:r>
      <w:r w:rsidR="0041326F">
        <w:rPr>
          <w:sz w:val="24"/>
          <w:szCs w:val="24"/>
        </w:rPr>
        <w:t>, la Sala</w:t>
      </w:r>
      <w:r w:rsidR="0052680E">
        <w:rPr>
          <w:sz w:val="24"/>
          <w:szCs w:val="24"/>
        </w:rPr>
        <w:t xml:space="preserve"> Dual </w:t>
      </w:r>
      <w:r w:rsidR="0041326F">
        <w:rPr>
          <w:sz w:val="24"/>
          <w:szCs w:val="24"/>
        </w:rPr>
        <w:t>observó</w:t>
      </w:r>
      <w:r w:rsidR="004610DF">
        <w:rPr>
          <w:sz w:val="24"/>
          <w:szCs w:val="24"/>
        </w:rPr>
        <w:t xml:space="preserve"> lo siguiente</w:t>
      </w:r>
      <w:r w:rsidR="0041326F">
        <w:rPr>
          <w:sz w:val="24"/>
          <w:szCs w:val="24"/>
        </w:rPr>
        <w:t>:</w:t>
      </w:r>
    </w:p>
    <w:p w14:paraId="79CEBD59" w14:textId="77777777" w:rsidR="004610DF" w:rsidRDefault="004610DF" w:rsidP="00A304A7">
      <w:pPr>
        <w:rPr>
          <w:sz w:val="24"/>
          <w:szCs w:val="24"/>
        </w:rPr>
      </w:pPr>
    </w:p>
    <w:p w14:paraId="0E13ECE5" w14:textId="5528B55D" w:rsidR="004610DF" w:rsidRDefault="0041326F" w:rsidP="00A304A7">
      <w:pPr>
        <w:ind w:left="706"/>
        <w:rPr>
          <w:sz w:val="24"/>
          <w:szCs w:val="24"/>
        </w:rPr>
      </w:pPr>
      <w:r>
        <w:rPr>
          <w:sz w:val="24"/>
          <w:szCs w:val="24"/>
        </w:rPr>
        <w:t>i)</w:t>
      </w:r>
      <w:r w:rsidR="004610DF">
        <w:rPr>
          <w:sz w:val="24"/>
          <w:szCs w:val="24"/>
        </w:rPr>
        <w:t xml:space="preserve"> El </w:t>
      </w:r>
      <w:r>
        <w:rPr>
          <w:sz w:val="24"/>
          <w:szCs w:val="24"/>
        </w:rPr>
        <w:t>12 de mayo de 2011,</w:t>
      </w:r>
      <w:r w:rsidR="00C46DB1">
        <w:rPr>
          <w:sz w:val="24"/>
          <w:szCs w:val="24"/>
        </w:rPr>
        <w:t xml:space="preserve"> el c</w:t>
      </w:r>
      <w:r w:rsidR="004610DF">
        <w:rPr>
          <w:sz w:val="24"/>
          <w:szCs w:val="24"/>
        </w:rPr>
        <w:t>onsejero</w:t>
      </w:r>
      <w:r>
        <w:rPr>
          <w:sz w:val="24"/>
          <w:szCs w:val="24"/>
        </w:rPr>
        <w:t xml:space="preserve"> Nicolás Yepes Corrales, en su condición de </w:t>
      </w:r>
      <w:r w:rsidRPr="00B810AE">
        <w:rPr>
          <w:rFonts w:eastAsia="Verdana"/>
          <w:sz w:val="24"/>
          <w:szCs w:val="24"/>
        </w:rPr>
        <w:t>Procurado</w:t>
      </w:r>
      <w:r>
        <w:rPr>
          <w:rFonts w:eastAsia="Verdana"/>
          <w:sz w:val="24"/>
          <w:szCs w:val="24"/>
        </w:rPr>
        <w:t xml:space="preserve">r 11 Judicial Administrativo II, </w:t>
      </w:r>
      <w:r w:rsidR="00A304A7">
        <w:rPr>
          <w:sz w:val="24"/>
          <w:szCs w:val="24"/>
        </w:rPr>
        <w:t xml:space="preserve">convocó a la Fiscalía General de la Nación, a la DEAJ y a la DIAN </w:t>
      </w:r>
      <w:r w:rsidR="00A668F9">
        <w:rPr>
          <w:sz w:val="24"/>
          <w:szCs w:val="24"/>
        </w:rPr>
        <w:t>a</w:t>
      </w:r>
      <w:r>
        <w:rPr>
          <w:sz w:val="24"/>
          <w:szCs w:val="24"/>
        </w:rPr>
        <w:t xml:space="preserve"> conciliación</w:t>
      </w:r>
      <w:r w:rsidR="00A304A7">
        <w:rPr>
          <w:sz w:val="24"/>
          <w:szCs w:val="24"/>
        </w:rPr>
        <w:t>,</w:t>
      </w:r>
      <w:r w:rsidR="0052680E">
        <w:rPr>
          <w:sz w:val="24"/>
          <w:szCs w:val="24"/>
        </w:rPr>
        <w:t xml:space="preserve"> por solicitud del señor Bolívar Cervantes y algunos integrantes de su núcleo familiar</w:t>
      </w:r>
      <w:r w:rsidR="004610DF">
        <w:rPr>
          <w:sz w:val="24"/>
          <w:szCs w:val="24"/>
        </w:rPr>
        <w:t>.</w:t>
      </w:r>
    </w:p>
    <w:p w14:paraId="26C84520" w14:textId="77777777" w:rsidR="004610DF" w:rsidRDefault="00B415EA" w:rsidP="00A304A7">
      <w:pPr>
        <w:ind w:left="706"/>
        <w:rPr>
          <w:sz w:val="24"/>
          <w:szCs w:val="24"/>
        </w:rPr>
      </w:pPr>
      <w:r>
        <w:rPr>
          <w:sz w:val="24"/>
          <w:szCs w:val="24"/>
        </w:rPr>
        <w:t xml:space="preserve">ii) </w:t>
      </w:r>
      <w:r w:rsidR="004610DF">
        <w:rPr>
          <w:sz w:val="24"/>
          <w:szCs w:val="24"/>
        </w:rPr>
        <w:t xml:space="preserve">El </w:t>
      </w:r>
      <w:r>
        <w:rPr>
          <w:sz w:val="24"/>
          <w:szCs w:val="24"/>
        </w:rPr>
        <w:t>24 de mayo siguiente</w:t>
      </w:r>
      <w:r w:rsidR="0052680E">
        <w:rPr>
          <w:sz w:val="24"/>
          <w:szCs w:val="24"/>
        </w:rPr>
        <w:t>,</w:t>
      </w:r>
      <w:r>
        <w:rPr>
          <w:sz w:val="24"/>
          <w:szCs w:val="24"/>
        </w:rPr>
        <w:t xml:space="preserve"> se llevó a cabo </w:t>
      </w:r>
      <w:r w:rsidR="00A668F9">
        <w:rPr>
          <w:sz w:val="24"/>
          <w:szCs w:val="24"/>
        </w:rPr>
        <w:t>la</w:t>
      </w:r>
      <w:r w:rsidR="0052680E">
        <w:rPr>
          <w:sz w:val="24"/>
          <w:szCs w:val="24"/>
        </w:rPr>
        <w:t xml:space="preserve"> referida</w:t>
      </w:r>
      <w:r w:rsidR="00A668F9">
        <w:rPr>
          <w:sz w:val="24"/>
          <w:szCs w:val="24"/>
        </w:rPr>
        <w:t xml:space="preserve"> </w:t>
      </w:r>
      <w:r>
        <w:rPr>
          <w:sz w:val="24"/>
          <w:szCs w:val="24"/>
        </w:rPr>
        <w:t xml:space="preserve">audiencia, no obstante, no comparecieron las </w:t>
      </w:r>
      <w:r w:rsidR="0052680E">
        <w:rPr>
          <w:sz w:val="24"/>
          <w:szCs w:val="24"/>
        </w:rPr>
        <w:t xml:space="preserve">autoridades </w:t>
      </w:r>
      <w:r>
        <w:rPr>
          <w:sz w:val="24"/>
          <w:szCs w:val="24"/>
        </w:rPr>
        <w:t>citadas</w:t>
      </w:r>
      <w:r w:rsidR="004610DF">
        <w:rPr>
          <w:sz w:val="24"/>
          <w:szCs w:val="24"/>
        </w:rPr>
        <w:t>.</w:t>
      </w:r>
    </w:p>
    <w:p w14:paraId="168AC7CE" w14:textId="65825A68" w:rsidR="00553964" w:rsidRDefault="0091598E" w:rsidP="00A304A7">
      <w:pPr>
        <w:ind w:left="706"/>
        <w:rPr>
          <w:sz w:val="24"/>
          <w:szCs w:val="24"/>
        </w:rPr>
      </w:pPr>
      <w:r>
        <w:rPr>
          <w:sz w:val="24"/>
          <w:szCs w:val="24"/>
        </w:rPr>
        <w:lastRenderedPageBreak/>
        <w:t>iii)</w:t>
      </w:r>
      <w:r w:rsidR="0052680E">
        <w:rPr>
          <w:sz w:val="24"/>
          <w:szCs w:val="24"/>
        </w:rPr>
        <w:t xml:space="preserve"> </w:t>
      </w:r>
      <w:r w:rsidR="004610DF">
        <w:rPr>
          <w:sz w:val="24"/>
          <w:szCs w:val="24"/>
        </w:rPr>
        <w:t>E</w:t>
      </w:r>
      <w:r w:rsidR="0052680E">
        <w:rPr>
          <w:sz w:val="24"/>
          <w:szCs w:val="24"/>
        </w:rPr>
        <w:t xml:space="preserve">l 2 de junio del mismo año, </w:t>
      </w:r>
      <w:r w:rsidR="0071655C">
        <w:rPr>
          <w:sz w:val="24"/>
          <w:szCs w:val="24"/>
        </w:rPr>
        <w:t xml:space="preserve">el </w:t>
      </w:r>
      <w:r w:rsidR="0071655C" w:rsidRPr="00B810AE">
        <w:rPr>
          <w:rFonts w:eastAsia="Verdana"/>
          <w:sz w:val="24"/>
          <w:szCs w:val="24"/>
        </w:rPr>
        <w:t>Procurador 11 Judicial Administrativo II ante el Tribunal Administrativo de Cundinamarca</w:t>
      </w:r>
      <w:r w:rsidR="005A5E72">
        <w:rPr>
          <w:sz w:val="24"/>
          <w:szCs w:val="24"/>
        </w:rPr>
        <w:t xml:space="preserve"> suscribió</w:t>
      </w:r>
      <w:r w:rsidR="0052680E">
        <w:rPr>
          <w:sz w:val="24"/>
          <w:szCs w:val="24"/>
        </w:rPr>
        <w:t xml:space="preserve"> acta </w:t>
      </w:r>
      <w:r w:rsidR="00C87039">
        <w:rPr>
          <w:sz w:val="24"/>
          <w:szCs w:val="24"/>
        </w:rPr>
        <w:t xml:space="preserve">en la </w:t>
      </w:r>
      <w:r w:rsidR="0052680E">
        <w:rPr>
          <w:sz w:val="24"/>
          <w:szCs w:val="24"/>
        </w:rPr>
        <w:t>que</w:t>
      </w:r>
      <w:r w:rsidR="00C87039">
        <w:rPr>
          <w:sz w:val="24"/>
          <w:szCs w:val="24"/>
        </w:rPr>
        <w:t xml:space="preserve"> </w:t>
      </w:r>
      <w:r w:rsidR="0052680E">
        <w:rPr>
          <w:sz w:val="24"/>
          <w:szCs w:val="24"/>
        </w:rPr>
        <w:t>declaró fallida la diligencia</w:t>
      </w:r>
      <w:r w:rsidR="005A5E72">
        <w:rPr>
          <w:sz w:val="24"/>
          <w:szCs w:val="24"/>
        </w:rPr>
        <w:t xml:space="preserve"> de conciliación</w:t>
      </w:r>
      <w:r w:rsidR="0052680E">
        <w:rPr>
          <w:sz w:val="24"/>
          <w:szCs w:val="24"/>
        </w:rPr>
        <w:t xml:space="preserve">, en atención a que no fueron justificadas las ausencias </w:t>
      </w:r>
      <w:r w:rsidR="005A5E72">
        <w:rPr>
          <w:sz w:val="24"/>
          <w:szCs w:val="24"/>
        </w:rPr>
        <w:t xml:space="preserve">de las autoridades convocadas </w:t>
      </w:r>
      <w:r w:rsidR="0052680E">
        <w:rPr>
          <w:sz w:val="24"/>
          <w:szCs w:val="24"/>
        </w:rPr>
        <w:t>dentro del</w:t>
      </w:r>
      <w:r w:rsidR="005A5E72">
        <w:rPr>
          <w:sz w:val="24"/>
          <w:szCs w:val="24"/>
        </w:rPr>
        <w:t xml:space="preserve"> término previsto para tal fin.</w:t>
      </w:r>
    </w:p>
    <w:p w14:paraId="27EADC87" w14:textId="77777777" w:rsidR="00883242" w:rsidRPr="00B810AE" w:rsidRDefault="00883242" w:rsidP="00A304A7">
      <w:pPr>
        <w:rPr>
          <w:sz w:val="24"/>
          <w:szCs w:val="24"/>
        </w:rPr>
      </w:pPr>
    </w:p>
    <w:p w14:paraId="3D79A13C" w14:textId="577DDF65" w:rsidR="00883242" w:rsidRPr="00B810AE" w:rsidRDefault="005A5E72" w:rsidP="00A304A7">
      <w:pPr>
        <w:rPr>
          <w:sz w:val="24"/>
          <w:szCs w:val="24"/>
        </w:rPr>
      </w:pPr>
      <w:r w:rsidRPr="00B810AE">
        <w:rPr>
          <w:sz w:val="24"/>
          <w:szCs w:val="24"/>
        </w:rPr>
        <w:t xml:space="preserve">Visto </w:t>
      </w:r>
      <w:r w:rsidR="00883242" w:rsidRPr="00B810AE">
        <w:rPr>
          <w:sz w:val="24"/>
          <w:szCs w:val="24"/>
        </w:rPr>
        <w:t>lo ant</w:t>
      </w:r>
      <w:r w:rsidR="00A304A7">
        <w:rPr>
          <w:sz w:val="24"/>
          <w:szCs w:val="24"/>
        </w:rPr>
        <w:t xml:space="preserve">erior, la Sala Dual </w:t>
      </w:r>
      <w:r>
        <w:rPr>
          <w:sz w:val="24"/>
          <w:szCs w:val="24"/>
        </w:rPr>
        <w:t>encuentra</w:t>
      </w:r>
      <w:r w:rsidR="00A304A7">
        <w:rPr>
          <w:sz w:val="24"/>
          <w:szCs w:val="24"/>
        </w:rPr>
        <w:t xml:space="preserve"> que, </w:t>
      </w:r>
      <w:r w:rsidR="00CD203E">
        <w:rPr>
          <w:sz w:val="24"/>
          <w:szCs w:val="24"/>
        </w:rPr>
        <w:t xml:space="preserve">si bien el </w:t>
      </w:r>
      <w:r w:rsidR="00A304A7">
        <w:rPr>
          <w:sz w:val="24"/>
          <w:szCs w:val="24"/>
        </w:rPr>
        <w:t xml:space="preserve">consejero de Estado Nicolás Yepes Corrales </w:t>
      </w:r>
      <w:r w:rsidR="00CD203E">
        <w:rPr>
          <w:sz w:val="24"/>
          <w:szCs w:val="24"/>
        </w:rPr>
        <w:t>presidió el</w:t>
      </w:r>
      <w:r w:rsidR="00C87039">
        <w:rPr>
          <w:sz w:val="24"/>
          <w:szCs w:val="24"/>
        </w:rPr>
        <w:t xml:space="preserve"> </w:t>
      </w:r>
      <w:r w:rsidR="00B12691">
        <w:rPr>
          <w:sz w:val="24"/>
          <w:szCs w:val="24"/>
        </w:rPr>
        <w:t xml:space="preserve">mencionado </w:t>
      </w:r>
      <w:r w:rsidR="00C87039">
        <w:rPr>
          <w:sz w:val="24"/>
          <w:szCs w:val="24"/>
        </w:rPr>
        <w:t>trámite conciliatorio</w:t>
      </w:r>
      <w:r w:rsidR="00CD203E">
        <w:rPr>
          <w:sz w:val="24"/>
          <w:szCs w:val="24"/>
        </w:rPr>
        <w:t>, lo cierto es que su intervención</w:t>
      </w:r>
      <w:r w:rsidR="00A304A7">
        <w:rPr>
          <w:sz w:val="24"/>
          <w:szCs w:val="24"/>
        </w:rPr>
        <w:t xml:space="preserve"> en dicha oportunidad</w:t>
      </w:r>
      <w:r w:rsidR="00CD203E">
        <w:rPr>
          <w:sz w:val="24"/>
          <w:szCs w:val="24"/>
        </w:rPr>
        <w:t xml:space="preserve">, por un lado, </w:t>
      </w:r>
      <w:r w:rsidR="001A63FD" w:rsidRPr="00B810AE">
        <w:rPr>
          <w:sz w:val="24"/>
          <w:szCs w:val="24"/>
        </w:rPr>
        <w:t xml:space="preserve">no se dio </w:t>
      </w:r>
      <w:r w:rsidR="00C87039">
        <w:rPr>
          <w:sz w:val="24"/>
          <w:szCs w:val="24"/>
        </w:rPr>
        <w:t>al interior</w:t>
      </w:r>
      <w:r w:rsidR="001A63FD" w:rsidRPr="00B810AE">
        <w:rPr>
          <w:sz w:val="24"/>
          <w:szCs w:val="24"/>
        </w:rPr>
        <w:t xml:space="preserve"> del </w:t>
      </w:r>
      <w:r w:rsidR="001A63FD" w:rsidRPr="00C87039">
        <w:rPr>
          <w:i/>
          <w:sz w:val="24"/>
          <w:szCs w:val="24"/>
          <w:u w:val="single"/>
        </w:rPr>
        <w:t>proceso</w:t>
      </w:r>
      <w:r w:rsidR="001A63FD" w:rsidRPr="00B810AE">
        <w:rPr>
          <w:sz w:val="24"/>
          <w:szCs w:val="24"/>
        </w:rPr>
        <w:t xml:space="preserve"> de reparación directa</w:t>
      </w:r>
      <w:r w:rsidR="00C87039">
        <w:rPr>
          <w:sz w:val="24"/>
          <w:szCs w:val="24"/>
        </w:rPr>
        <w:t xml:space="preserve"> con radicado núm. </w:t>
      </w:r>
      <w:r w:rsidR="00C87039">
        <w:rPr>
          <w:rFonts w:eastAsia="Verdana"/>
          <w:sz w:val="24"/>
          <w:szCs w:val="24"/>
        </w:rPr>
        <w:t>2011-00544-01</w:t>
      </w:r>
      <w:r w:rsidR="00C87039">
        <w:rPr>
          <w:sz w:val="24"/>
          <w:szCs w:val="24"/>
        </w:rPr>
        <w:t xml:space="preserve"> ya que la audiencia fue </w:t>
      </w:r>
      <w:r w:rsidR="00C87039">
        <w:rPr>
          <w:i/>
          <w:sz w:val="24"/>
          <w:szCs w:val="24"/>
          <w:u w:val="single"/>
        </w:rPr>
        <w:t>extrajudicial</w:t>
      </w:r>
      <w:r w:rsidR="00CD203E">
        <w:rPr>
          <w:i/>
          <w:sz w:val="24"/>
          <w:szCs w:val="24"/>
          <w:u w:val="single"/>
        </w:rPr>
        <w:t>;</w:t>
      </w:r>
      <w:r w:rsidR="00CD203E" w:rsidRPr="00CD203E">
        <w:rPr>
          <w:sz w:val="24"/>
          <w:szCs w:val="24"/>
        </w:rPr>
        <w:t xml:space="preserve"> </w:t>
      </w:r>
      <w:r w:rsidR="00CD203E">
        <w:rPr>
          <w:sz w:val="24"/>
          <w:szCs w:val="24"/>
        </w:rPr>
        <w:t xml:space="preserve">y, por otro lado, </w:t>
      </w:r>
      <w:r w:rsidR="00227D5E">
        <w:rPr>
          <w:sz w:val="24"/>
          <w:szCs w:val="24"/>
        </w:rPr>
        <w:t xml:space="preserve">no </w:t>
      </w:r>
      <w:r w:rsidR="00CD203E">
        <w:rPr>
          <w:sz w:val="24"/>
          <w:szCs w:val="24"/>
        </w:rPr>
        <w:t>implicó la exteriorización de su</w:t>
      </w:r>
      <w:r w:rsidR="00227D5E">
        <w:rPr>
          <w:sz w:val="24"/>
          <w:szCs w:val="24"/>
        </w:rPr>
        <w:t xml:space="preserve"> postura </w:t>
      </w:r>
      <w:r w:rsidR="00C87039">
        <w:rPr>
          <w:sz w:val="24"/>
          <w:szCs w:val="24"/>
        </w:rPr>
        <w:t>frente al</w:t>
      </w:r>
      <w:r w:rsidR="00227D5E">
        <w:rPr>
          <w:sz w:val="24"/>
          <w:szCs w:val="24"/>
        </w:rPr>
        <w:t xml:space="preserve"> caso concreto que ponga en ri</w:t>
      </w:r>
      <w:r w:rsidR="00C87039">
        <w:rPr>
          <w:sz w:val="24"/>
          <w:szCs w:val="24"/>
        </w:rPr>
        <w:t xml:space="preserve">esgo </w:t>
      </w:r>
      <w:r w:rsidR="00CD203E">
        <w:rPr>
          <w:sz w:val="24"/>
          <w:szCs w:val="24"/>
        </w:rPr>
        <w:t xml:space="preserve">en la actualidad </w:t>
      </w:r>
      <w:r w:rsidR="00C87039">
        <w:rPr>
          <w:sz w:val="24"/>
          <w:szCs w:val="24"/>
        </w:rPr>
        <w:t>su ecuanimidad y rectitud, pues la diligencia fue declarada fallida sin que se abordaran de fondo las pretensiones del señor Bolí</w:t>
      </w:r>
      <w:r w:rsidR="00CD203E">
        <w:rPr>
          <w:sz w:val="24"/>
          <w:szCs w:val="24"/>
        </w:rPr>
        <w:t>var Cervantes y sus familiares.</w:t>
      </w:r>
    </w:p>
    <w:p w14:paraId="304A35CF" w14:textId="77777777" w:rsidR="00FE0280" w:rsidRDefault="00FE0280" w:rsidP="00A304A7">
      <w:pPr>
        <w:rPr>
          <w:sz w:val="24"/>
          <w:szCs w:val="24"/>
        </w:rPr>
      </w:pPr>
    </w:p>
    <w:p w14:paraId="654E1F2D" w14:textId="26EEE768" w:rsidR="00C40CDE" w:rsidRDefault="00FE0280" w:rsidP="00A304A7">
      <w:pPr>
        <w:rPr>
          <w:sz w:val="24"/>
          <w:szCs w:val="24"/>
        </w:rPr>
      </w:pPr>
      <w:r>
        <w:rPr>
          <w:sz w:val="24"/>
          <w:szCs w:val="24"/>
        </w:rPr>
        <w:t>Así las cosas,</w:t>
      </w:r>
      <w:r w:rsidR="00B36102" w:rsidRPr="00B810AE">
        <w:rPr>
          <w:sz w:val="24"/>
          <w:szCs w:val="24"/>
        </w:rPr>
        <w:t xml:space="preserve"> </w:t>
      </w:r>
      <w:r w:rsidR="00B12691">
        <w:rPr>
          <w:sz w:val="24"/>
          <w:szCs w:val="24"/>
        </w:rPr>
        <w:t xml:space="preserve">en atención a que no se configura </w:t>
      </w:r>
      <w:r w:rsidR="00A304A7">
        <w:rPr>
          <w:sz w:val="24"/>
          <w:szCs w:val="24"/>
        </w:rPr>
        <w:t>el segundo supuesto de hecho contenido</w:t>
      </w:r>
      <w:r w:rsidR="00B12691">
        <w:rPr>
          <w:sz w:val="24"/>
          <w:szCs w:val="24"/>
        </w:rPr>
        <w:t xml:space="preserve"> en el numeral 6 del artículo 56 del Código de Procedimiento Penal, </w:t>
      </w:r>
      <w:r w:rsidR="00B36102" w:rsidRPr="00B810AE">
        <w:rPr>
          <w:sz w:val="24"/>
          <w:szCs w:val="24"/>
        </w:rPr>
        <w:t>corresponde</w:t>
      </w:r>
      <w:r>
        <w:rPr>
          <w:sz w:val="24"/>
          <w:szCs w:val="24"/>
        </w:rPr>
        <w:t xml:space="preserve"> a la Sala</w:t>
      </w:r>
      <w:r w:rsidR="00C40CDE">
        <w:rPr>
          <w:sz w:val="24"/>
          <w:szCs w:val="24"/>
        </w:rPr>
        <w:t xml:space="preserve"> Dual</w:t>
      </w:r>
      <w:r w:rsidR="00B36102" w:rsidRPr="00B810AE">
        <w:rPr>
          <w:sz w:val="24"/>
          <w:szCs w:val="24"/>
        </w:rPr>
        <w:t xml:space="preserve"> declarar </w:t>
      </w:r>
      <w:r>
        <w:rPr>
          <w:sz w:val="24"/>
          <w:szCs w:val="24"/>
        </w:rPr>
        <w:t>in</w:t>
      </w:r>
      <w:r w:rsidR="00B36102" w:rsidRPr="00B810AE">
        <w:rPr>
          <w:sz w:val="24"/>
          <w:szCs w:val="24"/>
        </w:rPr>
        <w:t>fundado el impedimento</w:t>
      </w:r>
      <w:r>
        <w:rPr>
          <w:sz w:val="24"/>
          <w:szCs w:val="24"/>
        </w:rPr>
        <w:t xml:space="preserve"> que manifestó</w:t>
      </w:r>
      <w:r w:rsidR="00B36102" w:rsidRPr="00B810AE">
        <w:rPr>
          <w:sz w:val="24"/>
          <w:szCs w:val="24"/>
        </w:rPr>
        <w:t xml:space="preserve"> el magistrado Nicolás Yepes Corrales </w:t>
      </w:r>
      <w:r>
        <w:rPr>
          <w:sz w:val="24"/>
          <w:szCs w:val="24"/>
        </w:rPr>
        <w:t>p</w:t>
      </w:r>
      <w:r w:rsidR="00C40CDE">
        <w:rPr>
          <w:sz w:val="24"/>
          <w:szCs w:val="24"/>
        </w:rPr>
        <w:t xml:space="preserve">ara conocer del presente asunto. En consecuencia, se ordena a la Secretaría General del Consejo de Estado que, una vez ejecutoriada la presente providencia, remita </w:t>
      </w:r>
      <w:r w:rsidR="00C40CDE" w:rsidRPr="009A6521">
        <w:rPr>
          <w:sz w:val="24"/>
          <w:szCs w:val="24"/>
        </w:rPr>
        <w:t xml:space="preserve">el expediente contentivo de este </w:t>
      </w:r>
      <w:r w:rsidR="00C40CDE">
        <w:rPr>
          <w:sz w:val="24"/>
          <w:szCs w:val="24"/>
        </w:rPr>
        <w:t>trámite al D</w:t>
      </w:r>
      <w:r w:rsidR="00C40CDE" w:rsidRPr="009A6521">
        <w:rPr>
          <w:sz w:val="24"/>
          <w:szCs w:val="24"/>
        </w:rPr>
        <w:t>espacho del respectivo consejero ponente</w:t>
      </w:r>
      <w:r w:rsidR="00C40CDE">
        <w:rPr>
          <w:sz w:val="24"/>
          <w:szCs w:val="24"/>
        </w:rPr>
        <w:t xml:space="preserve"> para que someta a consideración de la Subsección C de la Sección Tercera proyecto de fallo. </w:t>
      </w:r>
    </w:p>
    <w:p w14:paraId="356E0A68" w14:textId="77777777" w:rsidR="00C40CDE" w:rsidRDefault="00C40CDE" w:rsidP="00A304A7">
      <w:pPr>
        <w:rPr>
          <w:sz w:val="24"/>
          <w:szCs w:val="24"/>
        </w:rPr>
      </w:pPr>
    </w:p>
    <w:p w14:paraId="75F60515" w14:textId="5E5D2794" w:rsidR="00B36102" w:rsidRPr="00B810AE" w:rsidRDefault="005342CA" w:rsidP="00A304A7">
      <w:pPr>
        <w:rPr>
          <w:sz w:val="24"/>
          <w:szCs w:val="24"/>
        </w:rPr>
      </w:pPr>
      <w:r>
        <w:rPr>
          <w:sz w:val="24"/>
          <w:szCs w:val="24"/>
        </w:rPr>
        <w:t>Por lo expuesto, esta Sala D</w:t>
      </w:r>
      <w:r w:rsidR="00A724F6">
        <w:rPr>
          <w:sz w:val="24"/>
          <w:szCs w:val="24"/>
        </w:rPr>
        <w:t>ual</w:t>
      </w:r>
      <w:r w:rsidR="00B36102" w:rsidRPr="00B810AE">
        <w:rPr>
          <w:sz w:val="24"/>
          <w:szCs w:val="24"/>
        </w:rPr>
        <w:t>, en uso de sus facultades constitucionales y legales,</w:t>
      </w:r>
    </w:p>
    <w:p w14:paraId="7A2DF4BB" w14:textId="77777777" w:rsidR="00B36102" w:rsidRPr="00B810AE" w:rsidRDefault="00B36102" w:rsidP="00A304A7">
      <w:pPr>
        <w:widowControl w:val="0"/>
        <w:overflowPunct w:val="0"/>
        <w:autoSpaceDE w:val="0"/>
        <w:autoSpaceDN w:val="0"/>
        <w:adjustRightInd w:val="0"/>
        <w:jc w:val="center"/>
        <w:rPr>
          <w:sz w:val="24"/>
          <w:szCs w:val="24"/>
        </w:rPr>
      </w:pPr>
    </w:p>
    <w:p w14:paraId="50129EBF" w14:textId="77777777" w:rsidR="00B36102" w:rsidRPr="00B810AE" w:rsidRDefault="00B36102" w:rsidP="00A304A7">
      <w:pPr>
        <w:widowControl w:val="0"/>
        <w:overflowPunct w:val="0"/>
        <w:autoSpaceDE w:val="0"/>
        <w:autoSpaceDN w:val="0"/>
        <w:adjustRightInd w:val="0"/>
        <w:jc w:val="center"/>
        <w:rPr>
          <w:sz w:val="24"/>
          <w:szCs w:val="24"/>
        </w:rPr>
      </w:pPr>
      <w:r w:rsidRPr="00B810AE">
        <w:rPr>
          <w:b/>
          <w:sz w:val="24"/>
          <w:szCs w:val="24"/>
        </w:rPr>
        <w:t>RESUELVE:</w:t>
      </w:r>
    </w:p>
    <w:p w14:paraId="7560E61E" w14:textId="77777777" w:rsidR="00B36102" w:rsidRPr="00B810AE" w:rsidRDefault="00B36102" w:rsidP="00A304A7">
      <w:pPr>
        <w:ind w:right="51"/>
        <w:rPr>
          <w:b/>
          <w:sz w:val="24"/>
          <w:szCs w:val="24"/>
          <w:lang w:val="es-ES_tradnl"/>
        </w:rPr>
      </w:pPr>
    </w:p>
    <w:p w14:paraId="2168F9D9" w14:textId="168E32D0" w:rsidR="00B36102" w:rsidRPr="00B810AE" w:rsidRDefault="00C40CDE" w:rsidP="00A304A7">
      <w:pPr>
        <w:ind w:right="51"/>
        <w:contextualSpacing/>
        <w:rPr>
          <w:sz w:val="24"/>
          <w:szCs w:val="24"/>
        </w:rPr>
      </w:pPr>
      <w:r>
        <w:rPr>
          <w:b/>
          <w:sz w:val="24"/>
          <w:szCs w:val="24"/>
        </w:rPr>
        <w:t xml:space="preserve">PRIMERO: </w:t>
      </w:r>
      <w:r w:rsidR="00B36102" w:rsidRPr="00B810AE">
        <w:rPr>
          <w:b/>
          <w:sz w:val="24"/>
          <w:szCs w:val="24"/>
        </w:rPr>
        <w:t xml:space="preserve">DECLARAR </w:t>
      </w:r>
      <w:r w:rsidR="00A724F6" w:rsidRPr="00A724F6">
        <w:rPr>
          <w:b/>
          <w:sz w:val="24"/>
          <w:szCs w:val="24"/>
        </w:rPr>
        <w:t>IN</w:t>
      </w:r>
      <w:r w:rsidR="00A724F6" w:rsidRPr="00A724F6">
        <w:rPr>
          <w:b/>
          <w:bCs/>
          <w:sz w:val="24"/>
          <w:szCs w:val="24"/>
        </w:rPr>
        <w:t>FUNDADO</w:t>
      </w:r>
      <w:r w:rsidR="00A724F6" w:rsidRPr="00B810AE">
        <w:rPr>
          <w:sz w:val="24"/>
          <w:szCs w:val="24"/>
        </w:rPr>
        <w:t xml:space="preserve"> </w:t>
      </w:r>
      <w:r w:rsidR="00B36102" w:rsidRPr="00B810AE">
        <w:rPr>
          <w:sz w:val="24"/>
          <w:szCs w:val="24"/>
        </w:rPr>
        <w:t xml:space="preserve">el impedimento manifestado por el consejero de Estado Nicolás Yepes Corrales para conocer del presente </w:t>
      </w:r>
      <w:r w:rsidR="005342CA">
        <w:rPr>
          <w:sz w:val="24"/>
          <w:szCs w:val="24"/>
        </w:rPr>
        <w:t>trámite</w:t>
      </w:r>
      <w:r w:rsidR="00B36102" w:rsidRPr="00B810AE">
        <w:rPr>
          <w:sz w:val="24"/>
          <w:szCs w:val="24"/>
        </w:rPr>
        <w:t xml:space="preserve"> constitucional, por las razones expuestas en la parte considerativa de este proveído.</w:t>
      </w:r>
    </w:p>
    <w:p w14:paraId="55062D9C" w14:textId="77777777" w:rsidR="00B36102" w:rsidRPr="00B810AE" w:rsidRDefault="00B36102" w:rsidP="00A304A7">
      <w:pPr>
        <w:ind w:right="51"/>
        <w:contextualSpacing/>
        <w:rPr>
          <w:bCs/>
          <w:sz w:val="24"/>
          <w:szCs w:val="24"/>
        </w:rPr>
      </w:pPr>
    </w:p>
    <w:p w14:paraId="69109994" w14:textId="62CAC104" w:rsidR="00B36102" w:rsidRPr="00C40CDE" w:rsidRDefault="00C40CDE" w:rsidP="00A304A7">
      <w:pPr>
        <w:ind w:right="51"/>
        <w:contextualSpacing/>
        <w:rPr>
          <w:sz w:val="24"/>
          <w:szCs w:val="24"/>
        </w:rPr>
      </w:pPr>
      <w:r>
        <w:rPr>
          <w:b/>
          <w:sz w:val="24"/>
          <w:szCs w:val="24"/>
        </w:rPr>
        <w:t xml:space="preserve">SEGUNDO: </w:t>
      </w:r>
      <w:r w:rsidRPr="009A6521">
        <w:rPr>
          <w:b/>
          <w:bCs/>
          <w:sz w:val="24"/>
          <w:szCs w:val="24"/>
        </w:rPr>
        <w:t>ORDENAR</w:t>
      </w:r>
      <w:r w:rsidRPr="009A6521">
        <w:rPr>
          <w:sz w:val="24"/>
          <w:szCs w:val="24"/>
        </w:rPr>
        <w:t xml:space="preserve"> a la Secretaría General de esta Corporación que, una vez ejecutoriado el presente auto, </w:t>
      </w:r>
      <w:r>
        <w:rPr>
          <w:sz w:val="24"/>
          <w:szCs w:val="24"/>
        </w:rPr>
        <w:t xml:space="preserve">remita </w:t>
      </w:r>
      <w:r w:rsidRPr="009A6521">
        <w:rPr>
          <w:sz w:val="24"/>
          <w:szCs w:val="24"/>
        </w:rPr>
        <w:t xml:space="preserve">el expediente contentivo de este </w:t>
      </w:r>
      <w:r>
        <w:rPr>
          <w:sz w:val="24"/>
          <w:szCs w:val="24"/>
        </w:rPr>
        <w:t>trámite constitucional al D</w:t>
      </w:r>
      <w:r w:rsidRPr="009A6521">
        <w:rPr>
          <w:sz w:val="24"/>
          <w:szCs w:val="24"/>
        </w:rPr>
        <w:t xml:space="preserve">espacho del respectivo </w:t>
      </w:r>
      <w:r>
        <w:rPr>
          <w:sz w:val="24"/>
          <w:szCs w:val="24"/>
        </w:rPr>
        <w:t>magistrado</w:t>
      </w:r>
      <w:r w:rsidRPr="009A6521">
        <w:rPr>
          <w:sz w:val="24"/>
          <w:szCs w:val="24"/>
        </w:rPr>
        <w:t xml:space="preserve"> ponente</w:t>
      </w:r>
      <w:r>
        <w:rPr>
          <w:sz w:val="24"/>
          <w:szCs w:val="24"/>
        </w:rPr>
        <w:t xml:space="preserve"> para lo de su competencia.</w:t>
      </w:r>
    </w:p>
    <w:p w14:paraId="3CE0AFC9" w14:textId="77777777" w:rsidR="00B36102" w:rsidRPr="00B810AE" w:rsidRDefault="00B36102" w:rsidP="00A304A7">
      <w:pPr>
        <w:contextualSpacing/>
        <w:rPr>
          <w:rFonts w:eastAsia="Verdana"/>
          <w:b/>
          <w:sz w:val="24"/>
          <w:szCs w:val="24"/>
        </w:rPr>
      </w:pPr>
    </w:p>
    <w:p w14:paraId="12C496E0" w14:textId="7A5AE5BC" w:rsidR="00B36102" w:rsidRPr="00B810AE" w:rsidRDefault="005342CA" w:rsidP="00A304A7">
      <w:pPr>
        <w:contextualSpacing/>
        <w:rPr>
          <w:rFonts w:eastAsia="Verdana"/>
          <w:b/>
          <w:sz w:val="24"/>
          <w:szCs w:val="24"/>
          <w:lang w:val="es-ES_tradnl"/>
        </w:rPr>
      </w:pPr>
      <w:r w:rsidRPr="00B810AE">
        <w:rPr>
          <w:rFonts w:eastAsia="Verdana"/>
          <w:b/>
          <w:sz w:val="24"/>
          <w:szCs w:val="24"/>
          <w:lang w:val="es-ES_tradnl"/>
        </w:rPr>
        <w:t>Notifíquese y cúmplase</w:t>
      </w:r>
    </w:p>
    <w:p w14:paraId="3C6DE4B4" w14:textId="77777777" w:rsidR="00B36102" w:rsidRDefault="00B36102" w:rsidP="00A304A7">
      <w:pPr>
        <w:contextualSpacing/>
        <w:jc w:val="center"/>
        <w:rPr>
          <w:rFonts w:eastAsia="Verdana"/>
          <w:b/>
          <w:sz w:val="24"/>
          <w:szCs w:val="24"/>
          <w:lang w:val="es-ES_tradnl"/>
        </w:rPr>
      </w:pPr>
    </w:p>
    <w:p w14:paraId="0C2C5782" w14:textId="77777777" w:rsidR="005342CA" w:rsidRPr="00B810AE" w:rsidRDefault="005342CA" w:rsidP="00A304A7">
      <w:pPr>
        <w:contextualSpacing/>
        <w:jc w:val="center"/>
        <w:rPr>
          <w:rFonts w:eastAsia="Verdana"/>
          <w:b/>
          <w:sz w:val="24"/>
          <w:szCs w:val="24"/>
          <w:lang w:val="es-ES_tradnl"/>
        </w:rPr>
      </w:pPr>
    </w:p>
    <w:p w14:paraId="5EEBAC8C" w14:textId="77777777" w:rsidR="00B36102" w:rsidRDefault="00B36102" w:rsidP="00A304A7">
      <w:pPr>
        <w:contextualSpacing/>
        <w:jc w:val="center"/>
        <w:rPr>
          <w:rFonts w:eastAsia="Verdana"/>
          <w:b/>
          <w:sz w:val="24"/>
          <w:szCs w:val="24"/>
          <w:lang w:val="es-ES_tradnl"/>
        </w:rPr>
      </w:pPr>
    </w:p>
    <w:p w14:paraId="755448F4" w14:textId="77777777" w:rsidR="00506C3D" w:rsidRPr="00B810AE" w:rsidRDefault="00506C3D" w:rsidP="00A304A7">
      <w:pPr>
        <w:contextualSpacing/>
        <w:jc w:val="center"/>
        <w:rPr>
          <w:rFonts w:eastAsia="Verdana"/>
          <w:b/>
          <w:sz w:val="24"/>
          <w:szCs w:val="24"/>
          <w:lang w:val="es-ES_tradnl"/>
        </w:rPr>
      </w:pPr>
    </w:p>
    <w:p w14:paraId="0DD5E12F" w14:textId="7DBEB335" w:rsidR="005342CA" w:rsidRDefault="00506C3D" w:rsidP="005342CA">
      <w:pPr>
        <w:contextualSpacing/>
        <w:jc w:val="center"/>
        <w:rPr>
          <w:rFonts w:eastAsia="Verdana"/>
          <w:b/>
          <w:sz w:val="24"/>
          <w:szCs w:val="24"/>
          <w:lang w:val="es-ES_tradnl"/>
        </w:rPr>
      </w:pPr>
      <w:r>
        <w:rPr>
          <w:rFonts w:eastAsia="Verdana"/>
          <w:b/>
          <w:sz w:val="24"/>
          <w:szCs w:val="24"/>
          <w:lang w:val="es-ES_tradnl"/>
        </w:rPr>
        <w:t>JAIME ENRIQUE RODRÍGUEZ NAVAS</w:t>
      </w:r>
    </w:p>
    <w:p w14:paraId="3E7805F6" w14:textId="42882C96" w:rsidR="005342CA" w:rsidRDefault="00D22C35" w:rsidP="005342CA">
      <w:pPr>
        <w:contextualSpacing/>
        <w:jc w:val="center"/>
        <w:rPr>
          <w:rFonts w:eastAsia="Verdana"/>
          <w:b/>
          <w:sz w:val="24"/>
          <w:szCs w:val="24"/>
          <w:lang w:val="es-ES_tradnl"/>
        </w:rPr>
      </w:pPr>
      <w:r>
        <w:rPr>
          <w:rFonts w:eastAsia="Verdana"/>
          <w:b/>
          <w:sz w:val="24"/>
          <w:szCs w:val="24"/>
          <w:lang w:val="es-ES_tradnl"/>
        </w:rPr>
        <w:t>Presidente de Sala</w:t>
      </w:r>
    </w:p>
    <w:p w14:paraId="1ADECA72" w14:textId="77777777" w:rsidR="00506C3D" w:rsidRDefault="00506C3D" w:rsidP="005342CA">
      <w:pPr>
        <w:contextualSpacing/>
        <w:jc w:val="center"/>
        <w:rPr>
          <w:rFonts w:eastAsia="Verdana"/>
          <w:b/>
          <w:sz w:val="24"/>
          <w:szCs w:val="24"/>
          <w:lang w:val="es-ES_tradnl"/>
        </w:rPr>
      </w:pPr>
    </w:p>
    <w:p w14:paraId="7E9A0239" w14:textId="77777777" w:rsidR="00506C3D" w:rsidRDefault="00506C3D" w:rsidP="005342CA">
      <w:pPr>
        <w:contextualSpacing/>
        <w:jc w:val="center"/>
        <w:rPr>
          <w:rFonts w:eastAsia="Verdana"/>
          <w:b/>
          <w:sz w:val="24"/>
          <w:szCs w:val="24"/>
          <w:lang w:val="es-ES_tradnl"/>
        </w:rPr>
      </w:pPr>
    </w:p>
    <w:p w14:paraId="700937C6" w14:textId="77777777" w:rsidR="00506C3D" w:rsidRDefault="00506C3D" w:rsidP="005342CA">
      <w:pPr>
        <w:contextualSpacing/>
        <w:jc w:val="center"/>
        <w:rPr>
          <w:rFonts w:eastAsia="Verdana"/>
          <w:b/>
          <w:sz w:val="24"/>
          <w:szCs w:val="24"/>
          <w:lang w:val="es-ES_tradnl"/>
        </w:rPr>
      </w:pPr>
    </w:p>
    <w:p w14:paraId="3D7FA968" w14:textId="77777777" w:rsidR="00506C3D" w:rsidRDefault="00506C3D" w:rsidP="005342CA">
      <w:pPr>
        <w:contextualSpacing/>
        <w:jc w:val="center"/>
        <w:rPr>
          <w:rFonts w:eastAsia="Verdana"/>
          <w:b/>
          <w:sz w:val="24"/>
          <w:szCs w:val="24"/>
          <w:lang w:val="es-ES_tradnl"/>
        </w:rPr>
      </w:pPr>
    </w:p>
    <w:p w14:paraId="2CADA842" w14:textId="1D1CB33C" w:rsidR="00506C3D" w:rsidRDefault="00506C3D" w:rsidP="005342CA">
      <w:pPr>
        <w:contextualSpacing/>
        <w:jc w:val="center"/>
        <w:rPr>
          <w:rFonts w:eastAsia="Verdana"/>
          <w:b/>
          <w:sz w:val="24"/>
          <w:szCs w:val="24"/>
          <w:lang w:val="es-ES_tradnl"/>
        </w:rPr>
      </w:pPr>
      <w:r>
        <w:rPr>
          <w:rFonts w:eastAsia="Verdana"/>
          <w:b/>
          <w:sz w:val="24"/>
          <w:szCs w:val="24"/>
          <w:lang w:val="es-ES_tradnl"/>
        </w:rPr>
        <w:t>GUILLERMO SÁNCHEZ LUQUE</w:t>
      </w:r>
    </w:p>
    <w:p w14:paraId="17EDED12" w14:textId="1DAC85E9" w:rsidR="00506C3D" w:rsidRPr="00B810AE" w:rsidRDefault="00506C3D" w:rsidP="005342CA">
      <w:pPr>
        <w:contextualSpacing/>
        <w:jc w:val="center"/>
        <w:rPr>
          <w:rFonts w:eastAsia="Verdana"/>
          <w:b/>
          <w:sz w:val="24"/>
          <w:szCs w:val="24"/>
          <w:lang w:val="es-ES_tradnl"/>
        </w:rPr>
      </w:pPr>
      <w:r>
        <w:rPr>
          <w:rFonts w:eastAsia="Verdana"/>
          <w:b/>
          <w:sz w:val="24"/>
          <w:szCs w:val="24"/>
          <w:lang w:val="es-ES_tradnl"/>
        </w:rPr>
        <w:t>Magistrado</w:t>
      </w:r>
    </w:p>
    <w:sectPr w:rsidR="00506C3D" w:rsidRPr="00B810AE" w:rsidSect="00B36102">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1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CCF30" w14:textId="77777777" w:rsidR="00406B7A" w:rsidRDefault="00406B7A" w:rsidP="00117091">
      <w:r>
        <w:separator/>
      </w:r>
    </w:p>
  </w:endnote>
  <w:endnote w:type="continuationSeparator" w:id="0">
    <w:p w14:paraId="424859C9" w14:textId="77777777" w:rsidR="00406B7A" w:rsidRDefault="00406B7A"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7F025" w14:textId="77777777" w:rsidR="00406B7A" w:rsidRDefault="00406B7A" w:rsidP="00117091">
      <w:r>
        <w:separator/>
      </w:r>
    </w:p>
  </w:footnote>
  <w:footnote w:type="continuationSeparator" w:id="0">
    <w:p w14:paraId="030B489E" w14:textId="77777777" w:rsidR="00406B7A" w:rsidRDefault="00406B7A" w:rsidP="00117091">
      <w:r>
        <w:continuationSeparator/>
      </w:r>
    </w:p>
  </w:footnote>
  <w:footnote w:id="1">
    <w:p w14:paraId="2C84DEDC" w14:textId="09FE8544" w:rsidR="00587611" w:rsidRDefault="00587611">
      <w:pPr>
        <w:pStyle w:val="Textonotapie"/>
      </w:pPr>
      <w:r>
        <w:rPr>
          <w:rStyle w:val="Refdenotaalpie"/>
        </w:rPr>
        <w:footnoteRef/>
      </w:r>
      <w:r>
        <w:t xml:space="preserve"> </w:t>
      </w:r>
      <w:r w:rsidRPr="00587611">
        <w:t>Así se pronunció la Corte Suprema de Justicia, Sala de Casación Penal en el Auto del 6 de junio de 2007, rad. 27.385, al explicar lo que debe entenderse como participación dentro del proceso como causal de impedimento. Reiterado, entre otros, en Auto del 28 de noviembre de 2007, rad. 28580; Auto del 17 de febrero de 2010, rad. 33525; Auto del 27 de noviembre de 2013, rad. 42765; Auto del 28 de agosto de 2014, rad 44472.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04763"/>
      <w:docPartObj>
        <w:docPartGallery w:val="Page Numbers (Top of Page)"/>
        <w:docPartUnique/>
      </w:docPartObj>
    </w:sdtPr>
    <w:sdtEndPr>
      <w:rPr>
        <w:noProof/>
        <w:sz w:val="24"/>
        <w:szCs w:val="24"/>
      </w:rPr>
    </w:sdtEndPr>
    <w:sdtContent>
      <w:p w14:paraId="5BFF3C34" w14:textId="43DAA73A" w:rsidR="005246BA" w:rsidRPr="005246BA" w:rsidRDefault="001E2FBA" w:rsidP="003E7406">
        <w:pPr>
          <w:pStyle w:val="Encabezado"/>
          <w:tabs>
            <w:tab w:val="clear" w:pos="4252"/>
            <w:tab w:val="clear" w:pos="8504"/>
          </w:tabs>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53E95F6A" w:rsidR="001E2FBA" w:rsidRPr="001E2FBA" w:rsidRDefault="001E2FBA" w:rsidP="001E2FBA">
    <w:pPr>
      <w:jc w:val="right"/>
      <w:rPr>
        <w:color w:val="767171"/>
        <w:sz w:val="20"/>
        <w:szCs w:val="20"/>
      </w:rPr>
    </w:pPr>
    <w:r w:rsidRPr="001E2FBA">
      <w:rPr>
        <w:color w:val="767171"/>
        <w:sz w:val="20"/>
        <w:szCs w:val="20"/>
      </w:rPr>
      <w:t>Radi</w:t>
    </w:r>
    <w:r w:rsidR="005342CA">
      <w:rPr>
        <w:color w:val="767171"/>
        <w:sz w:val="20"/>
        <w:szCs w:val="20"/>
      </w:rPr>
      <w:t>cado: 11001-03-15-000-2020-01847</w:t>
    </w:r>
    <w:r w:rsidRPr="001E2FBA">
      <w:rPr>
        <w:color w:val="767171"/>
        <w:sz w:val="20"/>
        <w:szCs w:val="20"/>
      </w:rPr>
      <w:t>-00</w:t>
    </w:r>
  </w:p>
  <w:p w14:paraId="67DCBAE3" w14:textId="08FB1676" w:rsidR="00117091" w:rsidRPr="001E2FBA" w:rsidRDefault="005342CA" w:rsidP="001E2FBA">
    <w:pPr>
      <w:jc w:val="right"/>
      <w:rPr>
        <w:color w:val="767171"/>
        <w:sz w:val="20"/>
        <w:szCs w:val="20"/>
      </w:rPr>
    </w:pPr>
    <w:r>
      <w:rPr>
        <w:color w:val="767171"/>
        <w:sz w:val="20"/>
        <w:szCs w:val="20"/>
      </w:rPr>
      <w:tab/>
    </w:r>
    <w:r>
      <w:rPr>
        <w:color w:val="767171"/>
        <w:sz w:val="20"/>
        <w:szCs w:val="20"/>
      </w:rPr>
      <w:tab/>
      <w:t xml:space="preserve">Accionante: DEAJ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75835"/>
      <w:docPartObj>
        <w:docPartGallery w:val="Page Numbers (Top of Page)"/>
        <w:docPartUnique/>
      </w:docPartObj>
    </w:sdtPr>
    <w:sdtEndPr>
      <w:rPr>
        <w:noProof/>
      </w:rPr>
    </w:sdtEndPr>
    <w:sdtContent>
      <w:p w14:paraId="7560551A" w14:textId="49B7EE03" w:rsidR="005246BA" w:rsidRDefault="005246BA" w:rsidP="00CE6A52">
        <w:pPr>
          <w:pStyle w:val="Encabezado"/>
          <w:tabs>
            <w:tab w:val="clear" w:pos="4252"/>
            <w:tab w:val="clear" w:pos="8504"/>
          </w:tabs>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4E1743"/>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44F69"/>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1"/>
  </w:num>
  <w:num w:numId="7">
    <w:abstractNumId w:val="7"/>
  </w:num>
  <w:num w:numId="8">
    <w:abstractNumId w:val="4"/>
  </w:num>
  <w:num w:numId="9">
    <w:abstractNumId w:val="12"/>
  </w:num>
  <w:num w:numId="10">
    <w:abstractNumId w:val="9"/>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5A33"/>
    <w:rsid w:val="00016A0D"/>
    <w:rsid w:val="00020F1A"/>
    <w:rsid w:val="00036F4B"/>
    <w:rsid w:val="00040C04"/>
    <w:rsid w:val="00041C53"/>
    <w:rsid w:val="00047B56"/>
    <w:rsid w:val="0005721D"/>
    <w:rsid w:val="0007063E"/>
    <w:rsid w:val="000728E0"/>
    <w:rsid w:val="00073869"/>
    <w:rsid w:val="00083B8F"/>
    <w:rsid w:val="0008615B"/>
    <w:rsid w:val="00094E7B"/>
    <w:rsid w:val="000A3124"/>
    <w:rsid w:val="000B3102"/>
    <w:rsid w:val="000C2B43"/>
    <w:rsid w:val="000C5DB7"/>
    <w:rsid w:val="000C7B4F"/>
    <w:rsid w:val="000E16FD"/>
    <w:rsid w:val="000F2816"/>
    <w:rsid w:val="000F6324"/>
    <w:rsid w:val="00116E3A"/>
    <w:rsid w:val="00117091"/>
    <w:rsid w:val="001314F6"/>
    <w:rsid w:val="00133F91"/>
    <w:rsid w:val="00134351"/>
    <w:rsid w:val="00136349"/>
    <w:rsid w:val="00141725"/>
    <w:rsid w:val="0014485E"/>
    <w:rsid w:val="00155E78"/>
    <w:rsid w:val="00166AF6"/>
    <w:rsid w:val="00172467"/>
    <w:rsid w:val="001A63FD"/>
    <w:rsid w:val="001B72A2"/>
    <w:rsid w:val="001C3C1F"/>
    <w:rsid w:val="001D291E"/>
    <w:rsid w:val="001D4E62"/>
    <w:rsid w:val="001E087B"/>
    <w:rsid w:val="001E2FBA"/>
    <w:rsid w:val="001F31AE"/>
    <w:rsid w:val="001F52D2"/>
    <w:rsid w:val="00201EC3"/>
    <w:rsid w:val="00211F0C"/>
    <w:rsid w:val="00220D35"/>
    <w:rsid w:val="002230E3"/>
    <w:rsid w:val="00224519"/>
    <w:rsid w:val="002248FD"/>
    <w:rsid w:val="00227D5E"/>
    <w:rsid w:val="00230E88"/>
    <w:rsid w:val="0023508E"/>
    <w:rsid w:val="00246239"/>
    <w:rsid w:val="002476F7"/>
    <w:rsid w:val="002707B4"/>
    <w:rsid w:val="00281874"/>
    <w:rsid w:val="0028665C"/>
    <w:rsid w:val="00293EAE"/>
    <w:rsid w:val="002A4ED9"/>
    <w:rsid w:val="002C12BC"/>
    <w:rsid w:val="002D480B"/>
    <w:rsid w:val="002E1978"/>
    <w:rsid w:val="002E5B0D"/>
    <w:rsid w:val="003104E4"/>
    <w:rsid w:val="0031514A"/>
    <w:rsid w:val="003425E3"/>
    <w:rsid w:val="00360658"/>
    <w:rsid w:val="00361478"/>
    <w:rsid w:val="00374674"/>
    <w:rsid w:val="003769AA"/>
    <w:rsid w:val="00377DDC"/>
    <w:rsid w:val="00383425"/>
    <w:rsid w:val="003844BA"/>
    <w:rsid w:val="00384507"/>
    <w:rsid w:val="00387BBC"/>
    <w:rsid w:val="00394A69"/>
    <w:rsid w:val="003A12C4"/>
    <w:rsid w:val="003B4515"/>
    <w:rsid w:val="003B53E9"/>
    <w:rsid w:val="003B5D3C"/>
    <w:rsid w:val="003C6B19"/>
    <w:rsid w:val="003C6FC7"/>
    <w:rsid w:val="003D1B94"/>
    <w:rsid w:val="003D6615"/>
    <w:rsid w:val="003E0BD3"/>
    <w:rsid w:val="003E7406"/>
    <w:rsid w:val="003F2BA3"/>
    <w:rsid w:val="003F7FF5"/>
    <w:rsid w:val="004020C0"/>
    <w:rsid w:val="00402998"/>
    <w:rsid w:val="00406B7A"/>
    <w:rsid w:val="00411A7A"/>
    <w:rsid w:val="0041326F"/>
    <w:rsid w:val="00413BBD"/>
    <w:rsid w:val="00414600"/>
    <w:rsid w:val="004211FA"/>
    <w:rsid w:val="00424723"/>
    <w:rsid w:val="00430389"/>
    <w:rsid w:val="00430D89"/>
    <w:rsid w:val="00432158"/>
    <w:rsid w:val="0044420C"/>
    <w:rsid w:val="00457483"/>
    <w:rsid w:val="004610DF"/>
    <w:rsid w:val="004849BB"/>
    <w:rsid w:val="004857F6"/>
    <w:rsid w:val="00491910"/>
    <w:rsid w:val="00494241"/>
    <w:rsid w:val="00497735"/>
    <w:rsid w:val="004A0740"/>
    <w:rsid w:val="004A1D38"/>
    <w:rsid w:val="004A59E5"/>
    <w:rsid w:val="004D0CCD"/>
    <w:rsid w:val="004D5983"/>
    <w:rsid w:val="004D63F2"/>
    <w:rsid w:val="004E07BA"/>
    <w:rsid w:val="004E3D73"/>
    <w:rsid w:val="004E7414"/>
    <w:rsid w:val="005006C4"/>
    <w:rsid w:val="00501C32"/>
    <w:rsid w:val="00506C3D"/>
    <w:rsid w:val="00522073"/>
    <w:rsid w:val="005246BA"/>
    <w:rsid w:val="0052553E"/>
    <w:rsid w:val="0052680E"/>
    <w:rsid w:val="00530CAD"/>
    <w:rsid w:val="005342CA"/>
    <w:rsid w:val="00537386"/>
    <w:rsid w:val="00537D7D"/>
    <w:rsid w:val="0054069D"/>
    <w:rsid w:val="00541422"/>
    <w:rsid w:val="00541BA0"/>
    <w:rsid w:val="00546F02"/>
    <w:rsid w:val="00553964"/>
    <w:rsid w:val="00566726"/>
    <w:rsid w:val="0057176E"/>
    <w:rsid w:val="00585CA2"/>
    <w:rsid w:val="00587611"/>
    <w:rsid w:val="005A5E72"/>
    <w:rsid w:val="005D1791"/>
    <w:rsid w:val="005D38F0"/>
    <w:rsid w:val="005E4910"/>
    <w:rsid w:val="005F3CB1"/>
    <w:rsid w:val="006056CA"/>
    <w:rsid w:val="006101A7"/>
    <w:rsid w:val="006110CA"/>
    <w:rsid w:val="00611EEA"/>
    <w:rsid w:val="00621F3E"/>
    <w:rsid w:val="0062758F"/>
    <w:rsid w:val="006334E8"/>
    <w:rsid w:val="00635971"/>
    <w:rsid w:val="006371BF"/>
    <w:rsid w:val="00651F05"/>
    <w:rsid w:val="006615F2"/>
    <w:rsid w:val="00663267"/>
    <w:rsid w:val="00664A8F"/>
    <w:rsid w:val="00685672"/>
    <w:rsid w:val="006976AD"/>
    <w:rsid w:val="006A47F8"/>
    <w:rsid w:val="006A6312"/>
    <w:rsid w:val="006A6B54"/>
    <w:rsid w:val="006C3BA5"/>
    <w:rsid w:val="006D32BC"/>
    <w:rsid w:val="006D4799"/>
    <w:rsid w:val="006E2222"/>
    <w:rsid w:val="006E50CD"/>
    <w:rsid w:val="006E7C64"/>
    <w:rsid w:val="006F6047"/>
    <w:rsid w:val="006F7F36"/>
    <w:rsid w:val="0070023E"/>
    <w:rsid w:val="0071655C"/>
    <w:rsid w:val="00723F25"/>
    <w:rsid w:val="0072475A"/>
    <w:rsid w:val="0074235D"/>
    <w:rsid w:val="00745D63"/>
    <w:rsid w:val="00760DAF"/>
    <w:rsid w:val="00773A85"/>
    <w:rsid w:val="00782F78"/>
    <w:rsid w:val="007D4A96"/>
    <w:rsid w:val="007F1C17"/>
    <w:rsid w:val="007F276C"/>
    <w:rsid w:val="007F3540"/>
    <w:rsid w:val="007F385C"/>
    <w:rsid w:val="007F6E30"/>
    <w:rsid w:val="008006F5"/>
    <w:rsid w:val="008126F2"/>
    <w:rsid w:val="00817A38"/>
    <w:rsid w:val="00822EDC"/>
    <w:rsid w:val="00823E1F"/>
    <w:rsid w:val="0083319F"/>
    <w:rsid w:val="00835345"/>
    <w:rsid w:val="008412FB"/>
    <w:rsid w:val="0085197E"/>
    <w:rsid w:val="0085611F"/>
    <w:rsid w:val="00871943"/>
    <w:rsid w:val="00883242"/>
    <w:rsid w:val="008878B7"/>
    <w:rsid w:val="008879C5"/>
    <w:rsid w:val="008C0DBE"/>
    <w:rsid w:val="008C4606"/>
    <w:rsid w:val="008C64B2"/>
    <w:rsid w:val="008C73BF"/>
    <w:rsid w:val="008D5505"/>
    <w:rsid w:val="008D7532"/>
    <w:rsid w:val="008E74C7"/>
    <w:rsid w:val="00900BD2"/>
    <w:rsid w:val="00906DB6"/>
    <w:rsid w:val="00911C03"/>
    <w:rsid w:val="00911C2B"/>
    <w:rsid w:val="0091598E"/>
    <w:rsid w:val="0091711A"/>
    <w:rsid w:val="009210E8"/>
    <w:rsid w:val="009214E2"/>
    <w:rsid w:val="00923855"/>
    <w:rsid w:val="00932ED9"/>
    <w:rsid w:val="00940813"/>
    <w:rsid w:val="00960484"/>
    <w:rsid w:val="00964AF9"/>
    <w:rsid w:val="00973BB6"/>
    <w:rsid w:val="0097486A"/>
    <w:rsid w:val="00986FEF"/>
    <w:rsid w:val="00996286"/>
    <w:rsid w:val="00996BCC"/>
    <w:rsid w:val="009A4799"/>
    <w:rsid w:val="009A5798"/>
    <w:rsid w:val="009B438F"/>
    <w:rsid w:val="009C0F98"/>
    <w:rsid w:val="009D0F4C"/>
    <w:rsid w:val="009E2149"/>
    <w:rsid w:val="009E4DEF"/>
    <w:rsid w:val="009F292E"/>
    <w:rsid w:val="009F5813"/>
    <w:rsid w:val="00A0511A"/>
    <w:rsid w:val="00A15ACE"/>
    <w:rsid w:val="00A25C52"/>
    <w:rsid w:val="00A26DEE"/>
    <w:rsid w:val="00A304A7"/>
    <w:rsid w:val="00A370F6"/>
    <w:rsid w:val="00A467BD"/>
    <w:rsid w:val="00A478D9"/>
    <w:rsid w:val="00A668F9"/>
    <w:rsid w:val="00A724F6"/>
    <w:rsid w:val="00A725D2"/>
    <w:rsid w:val="00A73868"/>
    <w:rsid w:val="00A8198E"/>
    <w:rsid w:val="00A8203E"/>
    <w:rsid w:val="00A85772"/>
    <w:rsid w:val="00A8702B"/>
    <w:rsid w:val="00A97984"/>
    <w:rsid w:val="00AA5A86"/>
    <w:rsid w:val="00AB33F4"/>
    <w:rsid w:val="00AB57F7"/>
    <w:rsid w:val="00AC243A"/>
    <w:rsid w:val="00AE5822"/>
    <w:rsid w:val="00AF634C"/>
    <w:rsid w:val="00B00068"/>
    <w:rsid w:val="00B12691"/>
    <w:rsid w:val="00B133CA"/>
    <w:rsid w:val="00B14389"/>
    <w:rsid w:val="00B15D1C"/>
    <w:rsid w:val="00B167E5"/>
    <w:rsid w:val="00B22B7D"/>
    <w:rsid w:val="00B251D5"/>
    <w:rsid w:val="00B3562E"/>
    <w:rsid w:val="00B36102"/>
    <w:rsid w:val="00B40203"/>
    <w:rsid w:val="00B415EA"/>
    <w:rsid w:val="00B46A0E"/>
    <w:rsid w:val="00B53C71"/>
    <w:rsid w:val="00B54FB6"/>
    <w:rsid w:val="00B552F1"/>
    <w:rsid w:val="00B6103A"/>
    <w:rsid w:val="00B810AE"/>
    <w:rsid w:val="00B82AE5"/>
    <w:rsid w:val="00B91FD1"/>
    <w:rsid w:val="00B9314A"/>
    <w:rsid w:val="00B97E8B"/>
    <w:rsid w:val="00BB0DD6"/>
    <w:rsid w:val="00BB0FE7"/>
    <w:rsid w:val="00BB3784"/>
    <w:rsid w:val="00BB79AE"/>
    <w:rsid w:val="00BD67B1"/>
    <w:rsid w:val="00BE4154"/>
    <w:rsid w:val="00BF0D35"/>
    <w:rsid w:val="00BF2ACB"/>
    <w:rsid w:val="00BF443B"/>
    <w:rsid w:val="00BF4CE0"/>
    <w:rsid w:val="00C018AC"/>
    <w:rsid w:val="00C30B8C"/>
    <w:rsid w:val="00C33061"/>
    <w:rsid w:val="00C40CDE"/>
    <w:rsid w:val="00C42B52"/>
    <w:rsid w:val="00C43CA0"/>
    <w:rsid w:val="00C46DB1"/>
    <w:rsid w:val="00C53B7C"/>
    <w:rsid w:val="00C54A33"/>
    <w:rsid w:val="00C7549A"/>
    <w:rsid w:val="00C87039"/>
    <w:rsid w:val="00C87516"/>
    <w:rsid w:val="00C92045"/>
    <w:rsid w:val="00CB3811"/>
    <w:rsid w:val="00CD203E"/>
    <w:rsid w:val="00CE6A52"/>
    <w:rsid w:val="00CF1CDF"/>
    <w:rsid w:val="00D03C11"/>
    <w:rsid w:val="00D0678C"/>
    <w:rsid w:val="00D15183"/>
    <w:rsid w:val="00D163C7"/>
    <w:rsid w:val="00D20454"/>
    <w:rsid w:val="00D22C35"/>
    <w:rsid w:val="00D2756B"/>
    <w:rsid w:val="00D31837"/>
    <w:rsid w:val="00D51D42"/>
    <w:rsid w:val="00D53A8F"/>
    <w:rsid w:val="00D6559A"/>
    <w:rsid w:val="00D729A8"/>
    <w:rsid w:val="00D77846"/>
    <w:rsid w:val="00D87340"/>
    <w:rsid w:val="00DB319B"/>
    <w:rsid w:val="00DB4688"/>
    <w:rsid w:val="00DB6EC4"/>
    <w:rsid w:val="00DB7A08"/>
    <w:rsid w:val="00DE7123"/>
    <w:rsid w:val="00DF3FAD"/>
    <w:rsid w:val="00E4328A"/>
    <w:rsid w:val="00E45687"/>
    <w:rsid w:val="00E52D8A"/>
    <w:rsid w:val="00E560B5"/>
    <w:rsid w:val="00E67CC0"/>
    <w:rsid w:val="00E70863"/>
    <w:rsid w:val="00E70FDF"/>
    <w:rsid w:val="00E7605A"/>
    <w:rsid w:val="00E800E8"/>
    <w:rsid w:val="00E85ADA"/>
    <w:rsid w:val="00E87355"/>
    <w:rsid w:val="00EA58FA"/>
    <w:rsid w:val="00EA7E01"/>
    <w:rsid w:val="00EB27E9"/>
    <w:rsid w:val="00EB5059"/>
    <w:rsid w:val="00EB557D"/>
    <w:rsid w:val="00EB57EA"/>
    <w:rsid w:val="00EC2BB0"/>
    <w:rsid w:val="00EC38ED"/>
    <w:rsid w:val="00EC4734"/>
    <w:rsid w:val="00ED72BB"/>
    <w:rsid w:val="00EE0F80"/>
    <w:rsid w:val="00EE1F04"/>
    <w:rsid w:val="00EF404A"/>
    <w:rsid w:val="00EF4098"/>
    <w:rsid w:val="00F01167"/>
    <w:rsid w:val="00F05F54"/>
    <w:rsid w:val="00F0772F"/>
    <w:rsid w:val="00F10D56"/>
    <w:rsid w:val="00F1441F"/>
    <w:rsid w:val="00F159E2"/>
    <w:rsid w:val="00F16FD3"/>
    <w:rsid w:val="00F41540"/>
    <w:rsid w:val="00F532EA"/>
    <w:rsid w:val="00F553B1"/>
    <w:rsid w:val="00F66511"/>
    <w:rsid w:val="00F713AF"/>
    <w:rsid w:val="00F8420A"/>
    <w:rsid w:val="00F91918"/>
    <w:rsid w:val="00F91B32"/>
    <w:rsid w:val="00FA2DD7"/>
    <w:rsid w:val="00FA5BD0"/>
    <w:rsid w:val="00FC2C50"/>
    <w:rsid w:val="00FC2CC4"/>
    <w:rsid w:val="00FD3474"/>
    <w:rsid w:val="00FE0280"/>
    <w:rsid w:val="00FE09DF"/>
    <w:rsid w:val="00FE3D08"/>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42078623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558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E2E2-AD35-4C58-8EA2-F00C336D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BB535479-24D8-4905-AB98-F6B2E77E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6389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cp:lastPrinted>2020-01-14T15:01:00Z</cp:lastPrinted>
  <dcterms:created xsi:type="dcterms:W3CDTF">2021-08-03T20:51:00Z</dcterms:created>
  <dcterms:modified xsi:type="dcterms:W3CDTF">2021-08-03T20:51:00Z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