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78E5" w14:textId="77777777" w:rsidR="00567581" w:rsidRPr="003B5614" w:rsidRDefault="00567581" w:rsidP="00567581">
      <w:pPr>
        <w:tabs>
          <w:tab w:val="left" w:pos="5387"/>
          <w:tab w:val="left" w:pos="6804"/>
        </w:tabs>
        <w:spacing w:line="360" w:lineRule="auto"/>
        <w:jc w:val="center"/>
        <w:rPr>
          <w:rFonts w:cs="Arial"/>
          <w:b/>
          <w:sz w:val="24"/>
          <w:szCs w:val="24"/>
        </w:rPr>
      </w:pPr>
      <w:r w:rsidRPr="003B5614">
        <w:rPr>
          <w:rFonts w:cs="Arial"/>
          <w:b/>
          <w:sz w:val="24"/>
          <w:szCs w:val="24"/>
        </w:rPr>
        <w:t>Consejero Ponente: NICOLÁS YEPES CORRALES</w:t>
      </w:r>
    </w:p>
    <w:p w14:paraId="1231C342" w14:textId="77777777" w:rsidR="00567581" w:rsidRPr="003B5614" w:rsidRDefault="00567581" w:rsidP="00567581">
      <w:pPr>
        <w:tabs>
          <w:tab w:val="left" w:pos="3165"/>
        </w:tabs>
        <w:spacing w:line="360" w:lineRule="auto"/>
        <w:rPr>
          <w:rFonts w:cs="Arial"/>
          <w:b/>
          <w:sz w:val="24"/>
          <w:szCs w:val="24"/>
        </w:rPr>
      </w:pPr>
    </w:p>
    <w:p w14:paraId="1A1C7B31" w14:textId="77777777" w:rsidR="00567581" w:rsidRPr="003B5614" w:rsidRDefault="00567581" w:rsidP="00567581">
      <w:pPr>
        <w:spacing w:line="360" w:lineRule="auto"/>
        <w:rPr>
          <w:rFonts w:cs="Arial"/>
          <w:sz w:val="24"/>
          <w:szCs w:val="24"/>
        </w:rPr>
      </w:pPr>
      <w:r w:rsidRPr="003B5614">
        <w:rPr>
          <w:rFonts w:cs="Arial"/>
          <w:sz w:val="24"/>
          <w:szCs w:val="24"/>
        </w:rPr>
        <w:t>Bogotá D.C., diecinueve (19) de agosto de dos mil veintiuno (2021)</w:t>
      </w:r>
    </w:p>
    <w:p w14:paraId="51AED3D4" w14:textId="77777777" w:rsidR="00567581" w:rsidRPr="003B5614" w:rsidRDefault="00567581" w:rsidP="00567581">
      <w:pPr>
        <w:spacing w:line="360" w:lineRule="auto"/>
        <w:rPr>
          <w:rFonts w:cs="Arial"/>
          <w:sz w:val="24"/>
          <w:szCs w:val="24"/>
        </w:rPr>
      </w:pPr>
    </w:p>
    <w:p w14:paraId="3B013B5E" w14:textId="77777777" w:rsidR="001A40E4" w:rsidRPr="003B5614" w:rsidRDefault="00567581" w:rsidP="00FF217E">
      <w:pPr>
        <w:spacing w:line="276" w:lineRule="auto"/>
        <w:rPr>
          <w:rFonts w:cs="Arial"/>
          <w:sz w:val="24"/>
          <w:szCs w:val="24"/>
        </w:rPr>
      </w:pPr>
      <w:r w:rsidRPr="003B5614">
        <w:rPr>
          <w:rFonts w:cs="Arial"/>
          <w:b/>
          <w:sz w:val="24"/>
          <w:szCs w:val="24"/>
        </w:rPr>
        <w:t xml:space="preserve">Radicación: </w:t>
      </w:r>
      <w:r w:rsidRPr="003B5614">
        <w:rPr>
          <w:rFonts w:cs="Arial"/>
          <w:sz w:val="24"/>
          <w:szCs w:val="24"/>
        </w:rPr>
        <w:t>11001-03-15-000-2021-05384-00</w:t>
      </w:r>
    </w:p>
    <w:p w14:paraId="394F4656" w14:textId="77777777" w:rsidR="00567581" w:rsidRPr="003B5614" w:rsidRDefault="00567581" w:rsidP="00FF217E">
      <w:pPr>
        <w:spacing w:line="276" w:lineRule="auto"/>
        <w:rPr>
          <w:rFonts w:cs="Arial"/>
          <w:sz w:val="24"/>
          <w:szCs w:val="24"/>
        </w:rPr>
      </w:pPr>
      <w:r w:rsidRPr="003B5614">
        <w:rPr>
          <w:rFonts w:cs="Arial"/>
          <w:b/>
          <w:sz w:val="24"/>
          <w:szCs w:val="24"/>
        </w:rPr>
        <w:t xml:space="preserve">Accionante: </w:t>
      </w:r>
      <w:proofErr w:type="spellStart"/>
      <w:r w:rsidRPr="003B5614">
        <w:rPr>
          <w:rFonts w:cs="Arial"/>
          <w:sz w:val="24"/>
          <w:szCs w:val="24"/>
        </w:rPr>
        <w:t>Jonh</w:t>
      </w:r>
      <w:proofErr w:type="spellEnd"/>
      <w:r w:rsidRPr="003B5614">
        <w:rPr>
          <w:rFonts w:cs="Arial"/>
          <w:sz w:val="24"/>
          <w:szCs w:val="24"/>
        </w:rPr>
        <w:t xml:space="preserve"> William García Castro </w:t>
      </w:r>
    </w:p>
    <w:p w14:paraId="314A2C22" w14:textId="77777777" w:rsidR="00567581" w:rsidRPr="003B5614" w:rsidRDefault="00567581" w:rsidP="00FF217E">
      <w:pPr>
        <w:spacing w:line="276" w:lineRule="auto"/>
        <w:rPr>
          <w:rFonts w:cs="Arial"/>
          <w:sz w:val="24"/>
          <w:szCs w:val="24"/>
        </w:rPr>
      </w:pPr>
      <w:r w:rsidRPr="003B5614">
        <w:rPr>
          <w:rFonts w:cs="Arial"/>
          <w:b/>
          <w:sz w:val="24"/>
          <w:szCs w:val="24"/>
        </w:rPr>
        <w:t xml:space="preserve">Accionado: </w:t>
      </w:r>
      <w:r w:rsidR="00FF217E" w:rsidRPr="003B5614">
        <w:rPr>
          <w:rFonts w:cs="Arial"/>
          <w:sz w:val="24"/>
          <w:szCs w:val="24"/>
        </w:rPr>
        <w:t xml:space="preserve">Subsección B de la Sección Primera del Tribunal Administrativo de Cundinamarca </w:t>
      </w:r>
    </w:p>
    <w:p w14:paraId="058BD47E" w14:textId="77777777" w:rsidR="00FF217E" w:rsidRPr="003B5614" w:rsidRDefault="00567581" w:rsidP="00FF217E">
      <w:pPr>
        <w:spacing w:line="276" w:lineRule="auto"/>
        <w:rPr>
          <w:rFonts w:cs="Arial"/>
          <w:sz w:val="24"/>
          <w:szCs w:val="24"/>
        </w:rPr>
      </w:pPr>
      <w:r w:rsidRPr="003B5614">
        <w:rPr>
          <w:rFonts w:cs="Arial"/>
          <w:b/>
          <w:sz w:val="24"/>
          <w:szCs w:val="24"/>
        </w:rPr>
        <w:t xml:space="preserve">Asunto: </w:t>
      </w:r>
      <w:r w:rsidR="00FF217E" w:rsidRPr="003B5614">
        <w:rPr>
          <w:rFonts w:cs="Arial"/>
          <w:sz w:val="24"/>
          <w:szCs w:val="24"/>
        </w:rPr>
        <w:t xml:space="preserve">Acción de tutela – Auto Admisorio </w:t>
      </w:r>
    </w:p>
    <w:p w14:paraId="6063ABD4" w14:textId="77777777" w:rsidR="00FF217E" w:rsidRPr="003B5614" w:rsidRDefault="00FF217E" w:rsidP="00FF217E">
      <w:pPr>
        <w:spacing w:line="360" w:lineRule="auto"/>
        <w:rPr>
          <w:rFonts w:cs="Arial"/>
          <w:b/>
          <w:sz w:val="24"/>
          <w:szCs w:val="24"/>
        </w:rPr>
      </w:pPr>
    </w:p>
    <w:p w14:paraId="6AC3DDD9" w14:textId="77777777" w:rsidR="00FF217E" w:rsidRPr="003B5614" w:rsidRDefault="00FF217E" w:rsidP="00FF217E">
      <w:pPr>
        <w:spacing w:line="360" w:lineRule="auto"/>
        <w:jc w:val="center"/>
        <w:rPr>
          <w:rFonts w:cs="Arial"/>
          <w:b/>
          <w:sz w:val="24"/>
          <w:szCs w:val="24"/>
        </w:rPr>
      </w:pPr>
      <w:r w:rsidRPr="003B5614">
        <w:rPr>
          <w:rFonts w:cs="Arial"/>
          <w:b/>
          <w:sz w:val="24"/>
          <w:szCs w:val="24"/>
        </w:rPr>
        <w:t>I. ANTECEDENTES</w:t>
      </w:r>
    </w:p>
    <w:p w14:paraId="7722B501" w14:textId="77777777" w:rsidR="00FF217E" w:rsidRPr="003B5614" w:rsidRDefault="00FF217E" w:rsidP="00570F85">
      <w:pPr>
        <w:spacing w:line="360" w:lineRule="auto"/>
        <w:rPr>
          <w:rFonts w:cs="Arial"/>
          <w:sz w:val="24"/>
          <w:szCs w:val="24"/>
        </w:rPr>
      </w:pPr>
    </w:p>
    <w:p w14:paraId="0986EC24" w14:textId="2301D291" w:rsidR="00567581" w:rsidRPr="003B5614" w:rsidRDefault="00FF217E" w:rsidP="00570F85">
      <w:pPr>
        <w:spacing w:line="360" w:lineRule="auto"/>
        <w:rPr>
          <w:rFonts w:cs="Arial"/>
          <w:sz w:val="24"/>
          <w:szCs w:val="24"/>
        </w:rPr>
      </w:pPr>
      <w:r w:rsidRPr="003B5614">
        <w:rPr>
          <w:rFonts w:cs="Arial"/>
          <w:sz w:val="24"/>
          <w:szCs w:val="24"/>
        </w:rPr>
        <w:t xml:space="preserve">1.1.- El suscrito </w:t>
      </w:r>
      <w:r w:rsidR="00032590" w:rsidRPr="003B5614">
        <w:rPr>
          <w:rFonts w:cs="Arial"/>
          <w:sz w:val="24"/>
          <w:szCs w:val="24"/>
        </w:rPr>
        <w:t xml:space="preserve">consejero ponente </w:t>
      </w:r>
      <w:r w:rsidRPr="003B5614">
        <w:rPr>
          <w:rFonts w:cs="Arial"/>
          <w:sz w:val="24"/>
          <w:szCs w:val="24"/>
        </w:rPr>
        <w:t>decide sobre la admisión de la acción de tutela</w:t>
      </w:r>
      <w:r w:rsidR="00570F85" w:rsidRPr="003B5614">
        <w:rPr>
          <w:rStyle w:val="Refdenotaalpie"/>
          <w:rFonts w:cs="Arial"/>
          <w:sz w:val="24"/>
          <w:szCs w:val="24"/>
        </w:rPr>
        <w:footnoteReference w:id="1"/>
      </w:r>
      <w:r w:rsidRPr="003B5614">
        <w:rPr>
          <w:rFonts w:cs="Arial"/>
          <w:sz w:val="24"/>
          <w:szCs w:val="24"/>
        </w:rPr>
        <w:t xml:space="preserve"> presentada por </w:t>
      </w:r>
      <w:proofErr w:type="spellStart"/>
      <w:r w:rsidRPr="003B5614">
        <w:rPr>
          <w:rFonts w:cs="Arial"/>
          <w:sz w:val="24"/>
          <w:szCs w:val="24"/>
        </w:rPr>
        <w:t>Jonh</w:t>
      </w:r>
      <w:proofErr w:type="spellEnd"/>
      <w:r w:rsidRPr="003B5614">
        <w:rPr>
          <w:rFonts w:cs="Arial"/>
          <w:sz w:val="24"/>
          <w:szCs w:val="24"/>
        </w:rPr>
        <w:t xml:space="preserve"> William García Castro, en nombre propio, en contra de la Subsección B de la Sección Primera del Tribunal Administrativo de Cundinamarca, en procura de la protección d</w:t>
      </w:r>
      <w:r w:rsidR="00570F85" w:rsidRPr="003B5614">
        <w:rPr>
          <w:rFonts w:cs="Arial"/>
          <w:sz w:val="24"/>
          <w:szCs w:val="24"/>
        </w:rPr>
        <w:t xml:space="preserve">e su derecho fundamental al debido proceso. </w:t>
      </w:r>
    </w:p>
    <w:p w14:paraId="181DCF76" w14:textId="77777777" w:rsidR="00570F85" w:rsidRPr="003B5614" w:rsidRDefault="00570F85" w:rsidP="00570F85">
      <w:pPr>
        <w:spacing w:line="360" w:lineRule="auto"/>
        <w:rPr>
          <w:rFonts w:cs="Arial"/>
          <w:sz w:val="24"/>
          <w:szCs w:val="24"/>
        </w:rPr>
      </w:pPr>
    </w:p>
    <w:p w14:paraId="4AACA60D" w14:textId="6E1C5C4F" w:rsidR="00570F85" w:rsidRDefault="00570F85" w:rsidP="00570F85">
      <w:pPr>
        <w:spacing w:line="360" w:lineRule="auto"/>
        <w:rPr>
          <w:sz w:val="24"/>
          <w:szCs w:val="24"/>
        </w:rPr>
      </w:pPr>
      <w:r w:rsidRPr="003B5614">
        <w:rPr>
          <w:rFonts w:cs="Arial"/>
          <w:sz w:val="24"/>
          <w:szCs w:val="24"/>
        </w:rPr>
        <w:t>1.2.- El peticionario estima vulnerada la mencionada prerrogativa constitucional en tanto al interior del proceso de nulidad de radicado No. 11001-33-34-004-2015-00326-01</w:t>
      </w:r>
      <w:r w:rsidR="00381122" w:rsidRPr="003B5614">
        <w:rPr>
          <w:rFonts w:cs="Arial"/>
          <w:sz w:val="24"/>
          <w:szCs w:val="24"/>
        </w:rPr>
        <w:t xml:space="preserve">, adelantado por Beatriz Clemencia Rojas Ortega en contra </w:t>
      </w:r>
      <w:r w:rsidR="007B6547">
        <w:rPr>
          <w:rFonts w:cs="Arial"/>
          <w:sz w:val="24"/>
          <w:szCs w:val="24"/>
        </w:rPr>
        <w:t>de la</w:t>
      </w:r>
      <w:r w:rsidR="00081221" w:rsidRPr="003B5614">
        <w:rPr>
          <w:sz w:val="24"/>
          <w:szCs w:val="24"/>
        </w:rPr>
        <w:t xml:space="preserve"> Alcal</w:t>
      </w:r>
      <w:r w:rsidR="007B6547">
        <w:rPr>
          <w:sz w:val="24"/>
          <w:szCs w:val="24"/>
        </w:rPr>
        <w:t>día</w:t>
      </w:r>
      <w:r w:rsidR="00081221" w:rsidRPr="003B5614">
        <w:rPr>
          <w:sz w:val="24"/>
          <w:szCs w:val="24"/>
        </w:rPr>
        <w:t xml:space="preserve"> Mayor de Bogotá </w:t>
      </w:r>
      <w:r w:rsidR="004D1BCA" w:rsidRPr="003B5614">
        <w:rPr>
          <w:sz w:val="24"/>
          <w:szCs w:val="24"/>
        </w:rPr>
        <w:t>D.C</w:t>
      </w:r>
      <w:r w:rsidR="00F17130">
        <w:rPr>
          <w:sz w:val="24"/>
          <w:szCs w:val="24"/>
        </w:rPr>
        <w:t>.</w:t>
      </w:r>
      <w:r w:rsidR="004D1BCA" w:rsidRPr="003B5614">
        <w:rPr>
          <w:sz w:val="24"/>
          <w:szCs w:val="24"/>
        </w:rPr>
        <w:t xml:space="preserve"> se resolvió, mediante providencia del 15 de julio de 2021, revocar la sentencia de primera instancia, dictada por el Juzgado Cuarto Administrativo Oral del Circuito de Bogotá</w:t>
      </w:r>
      <w:r w:rsidR="00A50561">
        <w:rPr>
          <w:sz w:val="24"/>
          <w:szCs w:val="24"/>
        </w:rPr>
        <w:t>,</w:t>
      </w:r>
      <w:r w:rsidR="004D1BCA" w:rsidRPr="003B5614">
        <w:rPr>
          <w:sz w:val="24"/>
          <w:szCs w:val="24"/>
        </w:rPr>
        <w:t xml:space="preserve"> que </w:t>
      </w:r>
      <w:r w:rsidR="003B5614" w:rsidRPr="003B5614">
        <w:rPr>
          <w:sz w:val="24"/>
          <w:szCs w:val="24"/>
        </w:rPr>
        <w:t>accedió a las pretensiones</w:t>
      </w:r>
      <w:r w:rsidR="00A50561">
        <w:rPr>
          <w:sz w:val="24"/>
          <w:szCs w:val="24"/>
        </w:rPr>
        <w:t>,</w:t>
      </w:r>
      <w:r w:rsidR="003B5614" w:rsidRPr="003B5614">
        <w:rPr>
          <w:sz w:val="24"/>
          <w:szCs w:val="24"/>
        </w:rPr>
        <w:t xml:space="preserve"> para</w:t>
      </w:r>
      <w:r w:rsidR="00032590">
        <w:rPr>
          <w:sz w:val="24"/>
          <w:szCs w:val="24"/>
        </w:rPr>
        <w:t>,</w:t>
      </w:r>
      <w:r w:rsidR="003B5614" w:rsidRPr="003B5614">
        <w:rPr>
          <w:sz w:val="24"/>
          <w:szCs w:val="24"/>
        </w:rPr>
        <w:t xml:space="preserve"> en su lugar</w:t>
      </w:r>
      <w:r w:rsidR="002D397E">
        <w:rPr>
          <w:sz w:val="24"/>
          <w:szCs w:val="24"/>
        </w:rPr>
        <w:t>,</w:t>
      </w:r>
      <w:r w:rsidR="003B5614" w:rsidRPr="003B5614">
        <w:rPr>
          <w:sz w:val="24"/>
          <w:szCs w:val="24"/>
        </w:rPr>
        <w:t xml:space="preserve"> negar las súplicas de la demanda. </w:t>
      </w:r>
    </w:p>
    <w:p w14:paraId="5C6B25CD" w14:textId="77777777" w:rsidR="00DC2F02" w:rsidRDefault="00DC2F02" w:rsidP="00570F85">
      <w:pPr>
        <w:spacing w:line="360" w:lineRule="auto"/>
        <w:rPr>
          <w:sz w:val="24"/>
          <w:szCs w:val="24"/>
        </w:rPr>
      </w:pPr>
    </w:p>
    <w:p w14:paraId="15960497" w14:textId="77777777" w:rsidR="00DC2F02" w:rsidRPr="00B94642" w:rsidRDefault="00DC2F02" w:rsidP="00DC2F02">
      <w:pPr>
        <w:tabs>
          <w:tab w:val="left" w:pos="5355"/>
        </w:tabs>
        <w:spacing w:line="360" w:lineRule="auto"/>
        <w:jc w:val="center"/>
        <w:rPr>
          <w:b/>
          <w:sz w:val="24"/>
          <w:szCs w:val="24"/>
        </w:rPr>
      </w:pPr>
      <w:r w:rsidRPr="00B94642">
        <w:rPr>
          <w:b/>
          <w:sz w:val="24"/>
          <w:szCs w:val="24"/>
        </w:rPr>
        <w:t>II. CONSIDERACIONES</w:t>
      </w:r>
    </w:p>
    <w:p w14:paraId="373AC389" w14:textId="77777777" w:rsidR="00DC2F02" w:rsidRPr="00B94642" w:rsidRDefault="00DC2F02" w:rsidP="00DC2F02">
      <w:pPr>
        <w:tabs>
          <w:tab w:val="left" w:pos="5355"/>
        </w:tabs>
        <w:spacing w:line="360" w:lineRule="auto"/>
        <w:jc w:val="center"/>
        <w:rPr>
          <w:b/>
          <w:sz w:val="24"/>
          <w:szCs w:val="24"/>
        </w:rPr>
      </w:pPr>
    </w:p>
    <w:p w14:paraId="646C3ED3" w14:textId="77777777" w:rsidR="00DC2F02" w:rsidRPr="00B94642" w:rsidRDefault="00DC2F02" w:rsidP="00DC2F02">
      <w:pPr>
        <w:spacing w:line="360" w:lineRule="auto"/>
        <w:rPr>
          <w:rFonts w:cs="Arial"/>
          <w:sz w:val="24"/>
          <w:szCs w:val="24"/>
        </w:rPr>
      </w:pPr>
      <w:r w:rsidRPr="00B94642">
        <w:rPr>
          <w:rFonts w:cs="Arial"/>
          <w:sz w:val="24"/>
          <w:szCs w:val="24"/>
        </w:rPr>
        <w:t>2.1. - Esta Subsección es competente para conocer y fallar la presente solicitud de amparo, de conformidad con lo establecido en los artículos 86</w:t>
      </w:r>
      <w:r w:rsidRPr="00B94642">
        <w:rPr>
          <w:rFonts w:cs="Arial"/>
          <w:sz w:val="24"/>
          <w:szCs w:val="24"/>
          <w:vertAlign w:val="superscript"/>
        </w:rPr>
        <w:footnoteReference w:id="2"/>
      </w:r>
      <w:r w:rsidRPr="00B94642">
        <w:rPr>
          <w:rFonts w:cs="Arial"/>
          <w:sz w:val="24"/>
          <w:szCs w:val="24"/>
        </w:rPr>
        <w:t xml:space="preserve"> de la Constitución Política, </w:t>
      </w:r>
      <w:r w:rsidRPr="00B94642">
        <w:rPr>
          <w:rFonts w:cs="Arial"/>
          <w:sz w:val="24"/>
          <w:szCs w:val="24"/>
        </w:rPr>
        <w:lastRenderedPageBreak/>
        <w:t>37</w:t>
      </w:r>
      <w:r w:rsidRPr="00B94642">
        <w:rPr>
          <w:rFonts w:cs="Arial"/>
          <w:sz w:val="24"/>
          <w:szCs w:val="24"/>
          <w:vertAlign w:val="superscript"/>
        </w:rPr>
        <w:footnoteReference w:id="3"/>
      </w:r>
      <w:r w:rsidRPr="00B94642">
        <w:rPr>
          <w:rFonts w:cs="Arial"/>
          <w:sz w:val="24"/>
          <w:szCs w:val="24"/>
        </w:rPr>
        <w:t xml:space="preserve"> del Decreto Ley 2591 de 1991 y 13</w:t>
      </w:r>
      <w:r w:rsidRPr="00B94642">
        <w:rPr>
          <w:rStyle w:val="Refdenotaalpie"/>
          <w:rFonts w:cs="Arial"/>
          <w:sz w:val="24"/>
          <w:szCs w:val="24"/>
        </w:rPr>
        <w:footnoteReference w:id="4"/>
      </w:r>
      <w:r w:rsidRPr="00B94642">
        <w:rPr>
          <w:rFonts w:cs="Arial"/>
          <w:sz w:val="24"/>
          <w:szCs w:val="24"/>
        </w:rPr>
        <w:t xml:space="preserve"> del Acuerdo 080 de 2019 de la Sala Plena del Consejo de Estado.</w:t>
      </w:r>
    </w:p>
    <w:p w14:paraId="27B31F9D" w14:textId="77777777" w:rsidR="00DC2F02" w:rsidRDefault="00DC2F02" w:rsidP="00570F85">
      <w:pPr>
        <w:spacing w:line="360" w:lineRule="auto"/>
        <w:rPr>
          <w:rFonts w:cs="Arial"/>
          <w:sz w:val="24"/>
          <w:szCs w:val="24"/>
        </w:rPr>
      </w:pPr>
    </w:p>
    <w:p w14:paraId="1DD08049" w14:textId="77777777" w:rsidR="006F4CBE" w:rsidRDefault="006F4CBE" w:rsidP="006F4CBE">
      <w:pPr>
        <w:spacing w:line="360" w:lineRule="auto"/>
        <w:rPr>
          <w:rFonts w:cs="Arial"/>
          <w:sz w:val="24"/>
          <w:szCs w:val="24"/>
        </w:rPr>
      </w:pPr>
      <w:r w:rsidRPr="00B94642">
        <w:rPr>
          <w:rFonts w:cs="Arial"/>
          <w:sz w:val="24"/>
          <w:szCs w:val="24"/>
        </w:rPr>
        <w:t>2.2.- Así mismo, el Despacho encuentra que se reúnen los requisitos de forma exigidos en el artículo 14 del Decreto Ley 2591 de 1991 y procede a admitir la acción de tutela interpuesta por</w:t>
      </w:r>
      <w:r>
        <w:rPr>
          <w:rFonts w:cs="Arial"/>
          <w:sz w:val="24"/>
          <w:szCs w:val="24"/>
        </w:rPr>
        <w:t xml:space="preserve"> </w:t>
      </w:r>
      <w:proofErr w:type="spellStart"/>
      <w:r>
        <w:rPr>
          <w:rFonts w:cs="Arial"/>
          <w:sz w:val="24"/>
          <w:szCs w:val="24"/>
        </w:rPr>
        <w:t>Jonh</w:t>
      </w:r>
      <w:proofErr w:type="spellEnd"/>
      <w:r>
        <w:rPr>
          <w:rFonts w:cs="Arial"/>
          <w:sz w:val="24"/>
          <w:szCs w:val="24"/>
        </w:rPr>
        <w:t xml:space="preserve"> William García Castro en contra de la </w:t>
      </w:r>
      <w:r w:rsidRPr="003B5614">
        <w:rPr>
          <w:rFonts w:cs="Arial"/>
          <w:sz w:val="24"/>
          <w:szCs w:val="24"/>
        </w:rPr>
        <w:t>Subsección B de la Sección Primera del Tribunal</w:t>
      </w:r>
      <w:r>
        <w:rPr>
          <w:rFonts w:cs="Arial"/>
          <w:sz w:val="24"/>
          <w:szCs w:val="24"/>
        </w:rPr>
        <w:t xml:space="preserve"> Administrativo de Cundinamarca. </w:t>
      </w:r>
    </w:p>
    <w:p w14:paraId="62D6377A" w14:textId="77777777" w:rsidR="006F4CBE" w:rsidRDefault="006F4CBE" w:rsidP="006F4CBE">
      <w:pPr>
        <w:spacing w:line="360" w:lineRule="auto"/>
        <w:rPr>
          <w:rFonts w:cs="Arial"/>
          <w:sz w:val="24"/>
          <w:szCs w:val="24"/>
        </w:rPr>
      </w:pPr>
    </w:p>
    <w:p w14:paraId="4F1B1DAF" w14:textId="69125AF5" w:rsidR="006F4CBE" w:rsidRPr="003B5614" w:rsidRDefault="006F4CBE" w:rsidP="006F4CBE">
      <w:pPr>
        <w:spacing w:line="360" w:lineRule="auto"/>
        <w:rPr>
          <w:rFonts w:cs="Arial"/>
          <w:sz w:val="24"/>
          <w:szCs w:val="24"/>
        </w:rPr>
      </w:pPr>
      <w:r>
        <w:rPr>
          <w:rFonts w:cs="Arial"/>
          <w:sz w:val="24"/>
          <w:szCs w:val="24"/>
        </w:rPr>
        <w:t xml:space="preserve">2.3.- De igual forma, procede a vincular al trámite de la acción tuitiva al </w:t>
      </w:r>
      <w:r w:rsidRPr="003B5614">
        <w:rPr>
          <w:sz w:val="24"/>
          <w:szCs w:val="24"/>
        </w:rPr>
        <w:t>Juzgado Cuarto Administrativo Oral del Circuito de Bogotá</w:t>
      </w:r>
      <w:r>
        <w:rPr>
          <w:sz w:val="24"/>
          <w:szCs w:val="24"/>
        </w:rPr>
        <w:t xml:space="preserve">, que conoció en primera instancia el proceso de nulidad de radicado No. </w:t>
      </w:r>
      <w:r w:rsidRPr="003B5614">
        <w:rPr>
          <w:rFonts w:cs="Arial"/>
          <w:sz w:val="24"/>
          <w:szCs w:val="24"/>
        </w:rPr>
        <w:t>11001-33-34-004-2015-00326-01</w:t>
      </w:r>
      <w:r>
        <w:rPr>
          <w:rFonts w:cs="Arial"/>
          <w:sz w:val="24"/>
          <w:szCs w:val="24"/>
        </w:rPr>
        <w:t xml:space="preserve">; así como a </w:t>
      </w:r>
      <w:r w:rsidRPr="003B5614">
        <w:rPr>
          <w:rFonts w:cs="Arial"/>
          <w:sz w:val="24"/>
          <w:szCs w:val="24"/>
        </w:rPr>
        <w:t>Beatriz Clemencia Rojas Ortega</w:t>
      </w:r>
      <w:r w:rsidR="001B10CD">
        <w:rPr>
          <w:rFonts w:cs="Arial"/>
          <w:sz w:val="24"/>
          <w:szCs w:val="24"/>
        </w:rPr>
        <w:t xml:space="preserve"> y a la Alcaldía Mayor de Bogotá, </w:t>
      </w:r>
      <w:r w:rsidR="003D67D8">
        <w:rPr>
          <w:rFonts w:cs="Arial"/>
          <w:sz w:val="24"/>
          <w:szCs w:val="24"/>
        </w:rPr>
        <w:t>en su calidad de</w:t>
      </w:r>
      <w:r w:rsidR="00E768D0">
        <w:rPr>
          <w:rFonts w:cs="Arial"/>
          <w:sz w:val="24"/>
          <w:szCs w:val="24"/>
        </w:rPr>
        <w:t xml:space="preserve"> demandante y demandada</w:t>
      </w:r>
      <w:r w:rsidR="001B10CD">
        <w:rPr>
          <w:rFonts w:cs="Arial"/>
          <w:sz w:val="24"/>
          <w:szCs w:val="24"/>
        </w:rPr>
        <w:t xml:space="preserve">, respectivamente, en el </w:t>
      </w:r>
      <w:r w:rsidR="00E768D0">
        <w:rPr>
          <w:rFonts w:cs="Arial"/>
          <w:sz w:val="24"/>
          <w:szCs w:val="24"/>
        </w:rPr>
        <w:t xml:space="preserve">mencionado </w:t>
      </w:r>
      <w:r w:rsidR="00032590">
        <w:rPr>
          <w:rFonts w:cs="Arial"/>
          <w:sz w:val="24"/>
          <w:szCs w:val="24"/>
        </w:rPr>
        <w:t xml:space="preserve">asunto. </w:t>
      </w:r>
    </w:p>
    <w:p w14:paraId="5E4E9EA9" w14:textId="77777777" w:rsidR="006F4CBE" w:rsidRDefault="006F4CBE" w:rsidP="00570F85">
      <w:pPr>
        <w:spacing w:line="360" w:lineRule="auto"/>
        <w:rPr>
          <w:rFonts w:cs="Arial"/>
          <w:sz w:val="24"/>
          <w:szCs w:val="24"/>
        </w:rPr>
      </w:pPr>
    </w:p>
    <w:p w14:paraId="09299C4E" w14:textId="77777777" w:rsidR="003D67D8" w:rsidRPr="00386E60" w:rsidRDefault="003D67D8" w:rsidP="003D67D8">
      <w:pPr>
        <w:spacing w:line="360" w:lineRule="auto"/>
        <w:rPr>
          <w:rFonts w:cs="Arial"/>
          <w:sz w:val="24"/>
          <w:szCs w:val="24"/>
        </w:rPr>
      </w:pPr>
      <w:r w:rsidRPr="00386E60">
        <w:rPr>
          <w:rFonts w:cs="Arial"/>
          <w:sz w:val="24"/>
          <w:szCs w:val="24"/>
        </w:rPr>
        <w:t xml:space="preserve">En consecuencia, se </w:t>
      </w:r>
    </w:p>
    <w:p w14:paraId="1C5E06D3" w14:textId="77777777" w:rsidR="003D67D8" w:rsidRPr="00386E60" w:rsidRDefault="003D67D8" w:rsidP="003D67D8">
      <w:pPr>
        <w:spacing w:line="360" w:lineRule="auto"/>
        <w:rPr>
          <w:rFonts w:cs="Arial"/>
          <w:sz w:val="24"/>
          <w:szCs w:val="24"/>
        </w:rPr>
      </w:pPr>
    </w:p>
    <w:p w14:paraId="5E387FC0" w14:textId="77777777" w:rsidR="003D67D8" w:rsidRPr="00386E60" w:rsidRDefault="003D67D8" w:rsidP="003D67D8">
      <w:pPr>
        <w:spacing w:line="360" w:lineRule="auto"/>
        <w:jc w:val="center"/>
        <w:rPr>
          <w:rFonts w:cs="Arial"/>
          <w:b/>
          <w:sz w:val="24"/>
          <w:szCs w:val="24"/>
        </w:rPr>
      </w:pPr>
      <w:r w:rsidRPr="00386E60">
        <w:rPr>
          <w:rFonts w:cs="Arial"/>
          <w:b/>
          <w:sz w:val="24"/>
          <w:szCs w:val="24"/>
        </w:rPr>
        <w:t>III. RESUELVE</w:t>
      </w:r>
    </w:p>
    <w:p w14:paraId="3889E44F" w14:textId="77777777" w:rsidR="003D67D8" w:rsidRDefault="003D67D8" w:rsidP="003D67D8">
      <w:pPr>
        <w:spacing w:line="360" w:lineRule="auto"/>
        <w:rPr>
          <w:rFonts w:cs="Arial"/>
          <w:b/>
          <w:sz w:val="24"/>
          <w:szCs w:val="24"/>
        </w:rPr>
      </w:pPr>
    </w:p>
    <w:p w14:paraId="1D087255" w14:textId="77777777" w:rsidR="003D67D8" w:rsidRDefault="003D67D8" w:rsidP="00570F85">
      <w:pPr>
        <w:spacing w:line="360" w:lineRule="auto"/>
        <w:rPr>
          <w:rFonts w:cs="Arial"/>
          <w:sz w:val="24"/>
          <w:szCs w:val="24"/>
        </w:rPr>
      </w:pPr>
      <w:r w:rsidRPr="00386E60">
        <w:rPr>
          <w:rFonts w:cs="Arial"/>
          <w:b/>
          <w:sz w:val="24"/>
          <w:szCs w:val="24"/>
        </w:rPr>
        <w:t xml:space="preserve">PRIMERO: ADMITIR </w:t>
      </w:r>
      <w:r w:rsidRPr="00386E60">
        <w:rPr>
          <w:rFonts w:cs="Arial"/>
          <w:sz w:val="24"/>
          <w:szCs w:val="24"/>
        </w:rPr>
        <w:t xml:space="preserve">la acción de tutela presentada </w:t>
      </w:r>
      <w:r w:rsidRPr="00386E60">
        <w:rPr>
          <w:rFonts w:eastAsia="Times New Roman" w:cs="Arial"/>
          <w:sz w:val="24"/>
          <w:szCs w:val="24"/>
          <w:lang w:eastAsia="es-CO"/>
        </w:rPr>
        <w:t>por</w:t>
      </w:r>
      <w:r>
        <w:rPr>
          <w:rFonts w:eastAsia="Times New Roman" w:cs="Arial"/>
          <w:sz w:val="24"/>
          <w:szCs w:val="24"/>
          <w:lang w:eastAsia="es-CO"/>
        </w:rPr>
        <w:t xml:space="preserve"> </w:t>
      </w:r>
      <w:proofErr w:type="spellStart"/>
      <w:r>
        <w:rPr>
          <w:rFonts w:cs="Arial"/>
          <w:sz w:val="24"/>
          <w:szCs w:val="24"/>
        </w:rPr>
        <w:t>Jonh</w:t>
      </w:r>
      <w:proofErr w:type="spellEnd"/>
      <w:r>
        <w:rPr>
          <w:rFonts w:cs="Arial"/>
          <w:sz w:val="24"/>
          <w:szCs w:val="24"/>
        </w:rPr>
        <w:t xml:space="preserve"> William García Castro en contra de la </w:t>
      </w:r>
      <w:r w:rsidRPr="003B5614">
        <w:rPr>
          <w:rFonts w:cs="Arial"/>
          <w:sz w:val="24"/>
          <w:szCs w:val="24"/>
        </w:rPr>
        <w:t>Subsección B de la Sección Primera del Tribunal</w:t>
      </w:r>
      <w:r>
        <w:rPr>
          <w:rFonts w:cs="Arial"/>
          <w:sz w:val="24"/>
          <w:szCs w:val="24"/>
        </w:rPr>
        <w:t xml:space="preserve"> Administrativo de Cundinamarca. </w:t>
      </w:r>
    </w:p>
    <w:p w14:paraId="6816F33B" w14:textId="77777777" w:rsidR="003D67D8" w:rsidRDefault="003D67D8" w:rsidP="00570F85">
      <w:pPr>
        <w:spacing w:line="360" w:lineRule="auto"/>
        <w:rPr>
          <w:rFonts w:cs="Arial"/>
          <w:sz w:val="24"/>
          <w:szCs w:val="24"/>
        </w:rPr>
      </w:pPr>
    </w:p>
    <w:p w14:paraId="537DFBCB" w14:textId="77777777" w:rsidR="003D67D8" w:rsidRPr="00386E60" w:rsidRDefault="003D67D8" w:rsidP="003D67D8">
      <w:pPr>
        <w:spacing w:line="360" w:lineRule="auto"/>
        <w:rPr>
          <w:rFonts w:cs="Arial"/>
          <w:sz w:val="24"/>
          <w:szCs w:val="24"/>
        </w:rPr>
      </w:pPr>
      <w:r w:rsidRPr="00386E60">
        <w:rPr>
          <w:rFonts w:cs="Arial"/>
          <w:b/>
          <w:sz w:val="24"/>
          <w:szCs w:val="24"/>
        </w:rPr>
        <w:t xml:space="preserve">SEGUNDO: NOTIFICAR </w:t>
      </w:r>
      <w:r w:rsidRPr="00386E60">
        <w:rPr>
          <w:rFonts w:cs="Arial"/>
          <w:sz w:val="24"/>
          <w:szCs w:val="24"/>
        </w:rPr>
        <w:t>mediante oficio a los magistrados de</w:t>
      </w:r>
      <w:r>
        <w:rPr>
          <w:rFonts w:cs="Arial"/>
          <w:sz w:val="24"/>
          <w:szCs w:val="24"/>
        </w:rPr>
        <w:t xml:space="preserve"> la </w:t>
      </w:r>
      <w:r w:rsidRPr="003B5614">
        <w:rPr>
          <w:rFonts w:cs="Arial"/>
          <w:sz w:val="24"/>
          <w:szCs w:val="24"/>
        </w:rPr>
        <w:t>Subsección B de la Sección Primera del Tribunal</w:t>
      </w:r>
      <w:r>
        <w:rPr>
          <w:rFonts w:cs="Arial"/>
          <w:sz w:val="24"/>
          <w:szCs w:val="24"/>
        </w:rPr>
        <w:t xml:space="preserve"> Administrativo de Cundinamarca, </w:t>
      </w:r>
      <w:r w:rsidRPr="00386E60">
        <w:rPr>
          <w:rFonts w:cs="Arial"/>
          <w:sz w:val="24"/>
          <w:szCs w:val="24"/>
          <w:shd w:val="clear" w:color="auto" w:fill="FFFFFF" w:themeFill="background1"/>
        </w:rPr>
        <w:t xml:space="preserve">para que </w:t>
      </w:r>
      <w:r w:rsidRPr="00386E60">
        <w:rPr>
          <w:rFonts w:cs="Arial"/>
          <w:sz w:val="24"/>
          <w:szCs w:val="24"/>
        </w:rPr>
        <w:t>dentro del término de dos (2) días contados a partir de su recibo, ejerza</w:t>
      </w:r>
      <w:r>
        <w:rPr>
          <w:rFonts w:cs="Arial"/>
          <w:sz w:val="24"/>
          <w:szCs w:val="24"/>
        </w:rPr>
        <w:t>n</w:t>
      </w:r>
      <w:r w:rsidRPr="00386E60">
        <w:rPr>
          <w:rFonts w:cs="Arial"/>
          <w:sz w:val="24"/>
          <w:szCs w:val="24"/>
        </w:rPr>
        <w:t xml:space="preserve"> su derecho de defensa.</w:t>
      </w:r>
    </w:p>
    <w:p w14:paraId="23318106" w14:textId="77777777" w:rsidR="003D67D8" w:rsidRDefault="003D67D8" w:rsidP="00570F85">
      <w:pPr>
        <w:spacing w:line="360" w:lineRule="auto"/>
        <w:rPr>
          <w:rFonts w:cs="Arial"/>
          <w:sz w:val="24"/>
          <w:szCs w:val="24"/>
        </w:rPr>
      </w:pPr>
    </w:p>
    <w:p w14:paraId="3D2F9AB2" w14:textId="77777777" w:rsidR="003D67D8" w:rsidRDefault="003D67D8" w:rsidP="00570F85">
      <w:pPr>
        <w:spacing w:line="360" w:lineRule="auto"/>
        <w:rPr>
          <w:rFonts w:cs="Arial"/>
          <w:sz w:val="24"/>
          <w:szCs w:val="24"/>
        </w:rPr>
      </w:pPr>
      <w:r w:rsidRPr="00386E60">
        <w:rPr>
          <w:rFonts w:cs="Arial"/>
          <w:b/>
          <w:sz w:val="24"/>
          <w:szCs w:val="24"/>
        </w:rPr>
        <w:t>TERCERO: VINCULAR</w:t>
      </w:r>
      <w:r w:rsidRPr="00386E60">
        <w:rPr>
          <w:rFonts w:cs="Arial"/>
          <w:bCs/>
          <w:sz w:val="24"/>
          <w:szCs w:val="24"/>
        </w:rPr>
        <w:t>,</w:t>
      </w:r>
      <w:r w:rsidRPr="00386E60">
        <w:rPr>
          <w:rFonts w:cs="Arial"/>
          <w:b/>
          <w:sz w:val="24"/>
          <w:szCs w:val="24"/>
        </w:rPr>
        <w:t xml:space="preserve"> </w:t>
      </w:r>
      <w:r w:rsidRPr="00386E60">
        <w:rPr>
          <w:rFonts w:cs="Arial"/>
          <w:sz w:val="24"/>
          <w:szCs w:val="24"/>
        </w:rPr>
        <w:t>conforme a lo dispuesto en el artículo 13 del Decreto Ley 2591 de 1991</w:t>
      </w:r>
      <w:r>
        <w:rPr>
          <w:rFonts w:cs="Arial"/>
          <w:sz w:val="24"/>
          <w:szCs w:val="24"/>
        </w:rPr>
        <w:t xml:space="preserve">, al </w:t>
      </w:r>
      <w:r w:rsidRPr="003B5614">
        <w:rPr>
          <w:sz w:val="24"/>
          <w:szCs w:val="24"/>
        </w:rPr>
        <w:t>Juzgado Cuarto Administrativo Oral del Circuito de Bogotá</w:t>
      </w:r>
      <w:r>
        <w:rPr>
          <w:sz w:val="24"/>
          <w:szCs w:val="24"/>
        </w:rPr>
        <w:t xml:space="preserve">, que conoció en primera instancia el proceso de nulidad de radicado No. </w:t>
      </w:r>
      <w:r w:rsidRPr="003B5614">
        <w:rPr>
          <w:rFonts w:cs="Arial"/>
          <w:sz w:val="24"/>
          <w:szCs w:val="24"/>
        </w:rPr>
        <w:t>11001-33-34-004-2015-00326-01</w:t>
      </w:r>
      <w:r>
        <w:rPr>
          <w:rFonts w:cs="Arial"/>
          <w:sz w:val="24"/>
          <w:szCs w:val="24"/>
        </w:rPr>
        <w:t xml:space="preserve">; así como a </w:t>
      </w:r>
      <w:r w:rsidRPr="003B5614">
        <w:rPr>
          <w:rFonts w:cs="Arial"/>
          <w:sz w:val="24"/>
          <w:szCs w:val="24"/>
        </w:rPr>
        <w:t>Beatriz Clemencia Rojas Ortega</w:t>
      </w:r>
      <w:r>
        <w:rPr>
          <w:rFonts w:cs="Arial"/>
          <w:sz w:val="24"/>
          <w:szCs w:val="24"/>
        </w:rPr>
        <w:t xml:space="preserve"> y a la Alcaldía Mayor de Bogotá, que fungieron como demandante y demandada, respectivamente, en el </w:t>
      </w:r>
      <w:r w:rsidR="00FE6053">
        <w:rPr>
          <w:rFonts w:cs="Arial"/>
          <w:sz w:val="24"/>
          <w:szCs w:val="24"/>
        </w:rPr>
        <w:t>referido</w:t>
      </w:r>
      <w:r>
        <w:rPr>
          <w:rFonts w:cs="Arial"/>
          <w:sz w:val="24"/>
          <w:szCs w:val="24"/>
        </w:rPr>
        <w:t xml:space="preserve"> </w:t>
      </w:r>
      <w:r w:rsidR="00FE6053">
        <w:rPr>
          <w:rFonts w:cs="Arial"/>
          <w:sz w:val="24"/>
          <w:szCs w:val="24"/>
        </w:rPr>
        <w:t xml:space="preserve">asunto. </w:t>
      </w:r>
    </w:p>
    <w:p w14:paraId="6C57B430" w14:textId="00384818" w:rsidR="00FE6053" w:rsidRDefault="00FE6053" w:rsidP="00570F85">
      <w:pPr>
        <w:spacing w:line="360" w:lineRule="auto"/>
        <w:rPr>
          <w:rFonts w:cs="Arial"/>
          <w:sz w:val="24"/>
          <w:szCs w:val="24"/>
        </w:rPr>
      </w:pPr>
      <w:r>
        <w:rPr>
          <w:rFonts w:cs="Arial"/>
          <w:b/>
          <w:sz w:val="24"/>
          <w:szCs w:val="24"/>
        </w:rPr>
        <w:lastRenderedPageBreak/>
        <w:t xml:space="preserve">CUARTO: </w:t>
      </w:r>
      <w:r w:rsidRPr="00386E60">
        <w:rPr>
          <w:rFonts w:cs="Arial"/>
          <w:b/>
          <w:sz w:val="24"/>
          <w:szCs w:val="24"/>
        </w:rPr>
        <w:t xml:space="preserve">ORDENAR </w:t>
      </w:r>
      <w:r w:rsidRPr="00386E60">
        <w:rPr>
          <w:rFonts w:cs="Arial"/>
          <w:sz w:val="24"/>
          <w:szCs w:val="24"/>
        </w:rPr>
        <w:t xml:space="preserve">a la Secretaría de la Sección </w:t>
      </w:r>
      <w:r>
        <w:rPr>
          <w:rFonts w:cs="Arial"/>
          <w:sz w:val="24"/>
          <w:szCs w:val="24"/>
        </w:rPr>
        <w:t>Primera</w:t>
      </w:r>
      <w:r w:rsidRPr="00386E60">
        <w:rPr>
          <w:rFonts w:cs="Arial"/>
          <w:sz w:val="24"/>
          <w:szCs w:val="24"/>
        </w:rPr>
        <w:t xml:space="preserve"> del</w:t>
      </w:r>
      <w:r>
        <w:rPr>
          <w:rFonts w:cs="Arial"/>
          <w:sz w:val="24"/>
          <w:szCs w:val="24"/>
        </w:rPr>
        <w:t xml:space="preserve"> Tribunal Administrativo de Cundinamarca</w:t>
      </w:r>
      <w:r w:rsidRPr="00386E60">
        <w:rPr>
          <w:rFonts w:cs="Arial"/>
          <w:sz w:val="24"/>
          <w:szCs w:val="24"/>
        </w:rPr>
        <w:t xml:space="preserve"> que, en el término expedito, remita a esta oficina judicial, en medio digital,</w:t>
      </w:r>
      <w:r>
        <w:rPr>
          <w:rFonts w:cs="Arial"/>
          <w:sz w:val="24"/>
          <w:szCs w:val="24"/>
        </w:rPr>
        <w:t xml:space="preserve"> el proceso de nulidad de radicado No. </w:t>
      </w:r>
      <w:r w:rsidRPr="003B5614">
        <w:rPr>
          <w:rFonts w:cs="Arial"/>
          <w:sz w:val="24"/>
          <w:szCs w:val="24"/>
        </w:rPr>
        <w:t>11001-33-34-004-2015-00326-01</w:t>
      </w:r>
      <w:r>
        <w:rPr>
          <w:rFonts w:cs="Arial"/>
          <w:sz w:val="24"/>
          <w:szCs w:val="24"/>
        </w:rPr>
        <w:t xml:space="preserve">. </w:t>
      </w:r>
    </w:p>
    <w:p w14:paraId="7BA87E69" w14:textId="77777777" w:rsidR="00FE6053" w:rsidRDefault="00FE6053" w:rsidP="00570F85">
      <w:pPr>
        <w:spacing w:line="360" w:lineRule="auto"/>
        <w:rPr>
          <w:rFonts w:cs="Arial"/>
          <w:sz w:val="24"/>
          <w:szCs w:val="24"/>
        </w:rPr>
      </w:pPr>
    </w:p>
    <w:p w14:paraId="0A066E6B" w14:textId="77777777" w:rsidR="00FE6053" w:rsidRDefault="00FE6053" w:rsidP="00570F85">
      <w:pPr>
        <w:spacing w:line="360" w:lineRule="auto"/>
        <w:rPr>
          <w:rFonts w:cs="Arial"/>
          <w:sz w:val="24"/>
          <w:szCs w:val="24"/>
        </w:rPr>
      </w:pPr>
      <w:r>
        <w:rPr>
          <w:rFonts w:cs="Arial"/>
          <w:b/>
          <w:sz w:val="24"/>
          <w:szCs w:val="24"/>
        </w:rPr>
        <w:t xml:space="preserve">QUINTO: </w:t>
      </w:r>
      <w:r w:rsidRPr="00386E60">
        <w:rPr>
          <w:rFonts w:cs="Arial"/>
          <w:b/>
          <w:sz w:val="24"/>
          <w:szCs w:val="24"/>
        </w:rPr>
        <w:t xml:space="preserve">TENER </w:t>
      </w:r>
      <w:r w:rsidRPr="00386E60">
        <w:rPr>
          <w:rFonts w:cs="Arial"/>
          <w:sz w:val="24"/>
          <w:szCs w:val="24"/>
        </w:rPr>
        <w:t>como pruebas los documentos arrimados con la solicitud de amparo</w:t>
      </w:r>
      <w:r w:rsidR="00E039E2">
        <w:rPr>
          <w:rFonts w:cs="Arial"/>
          <w:sz w:val="24"/>
          <w:szCs w:val="24"/>
        </w:rPr>
        <w:t xml:space="preserve">. </w:t>
      </w:r>
    </w:p>
    <w:p w14:paraId="33C6C47B" w14:textId="77777777" w:rsidR="00E039E2" w:rsidRDefault="00E039E2" w:rsidP="00570F85">
      <w:pPr>
        <w:spacing w:line="360" w:lineRule="auto"/>
        <w:rPr>
          <w:rFonts w:cs="Arial"/>
          <w:sz w:val="24"/>
          <w:szCs w:val="24"/>
        </w:rPr>
      </w:pPr>
    </w:p>
    <w:p w14:paraId="6B6C72B4" w14:textId="77777777" w:rsidR="00E039E2" w:rsidRDefault="00E2143E" w:rsidP="00570F85">
      <w:pPr>
        <w:spacing w:line="360" w:lineRule="auto"/>
        <w:rPr>
          <w:rFonts w:cs="Arial"/>
          <w:bCs/>
          <w:sz w:val="24"/>
          <w:szCs w:val="24"/>
        </w:rPr>
      </w:pPr>
      <w:r>
        <w:rPr>
          <w:rFonts w:cs="Arial"/>
          <w:b/>
          <w:sz w:val="24"/>
          <w:szCs w:val="24"/>
        </w:rPr>
        <w:t xml:space="preserve">SEXTO: </w:t>
      </w:r>
      <w:r w:rsidRPr="00EE7A5D">
        <w:rPr>
          <w:rFonts w:cs="Arial"/>
          <w:b/>
          <w:sz w:val="24"/>
          <w:szCs w:val="24"/>
        </w:rPr>
        <w:t xml:space="preserve">PUBLICAR </w:t>
      </w:r>
      <w:r w:rsidRPr="00EE7A5D">
        <w:rPr>
          <w:rFonts w:cs="Arial"/>
          <w:sz w:val="24"/>
          <w:szCs w:val="24"/>
        </w:rPr>
        <w:t xml:space="preserve">la presente providencia en las páginas web </w:t>
      </w:r>
      <w:r>
        <w:rPr>
          <w:rFonts w:cs="Arial"/>
          <w:bCs/>
          <w:sz w:val="24"/>
          <w:szCs w:val="24"/>
        </w:rPr>
        <w:t xml:space="preserve">de esta Corporación y </w:t>
      </w:r>
      <w:r w:rsidRPr="00EE7A5D">
        <w:rPr>
          <w:rFonts w:cs="Arial"/>
          <w:bCs/>
          <w:sz w:val="24"/>
          <w:szCs w:val="24"/>
        </w:rPr>
        <w:t>de la Rama Judicial</w:t>
      </w:r>
      <w:r>
        <w:rPr>
          <w:rFonts w:cs="Arial"/>
          <w:bCs/>
          <w:sz w:val="24"/>
          <w:szCs w:val="24"/>
        </w:rPr>
        <w:t xml:space="preserve">. </w:t>
      </w:r>
    </w:p>
    <w:p w14:paraId="3A79634B" w14:textId="77777777" w:rsidR="00E2143E" w:rsidRDefault="00E2143E" w:rsidP="00570F85">
      <w:pPr>
        <w:spacing w:line="360" w:lineRule="auto"/>
        <w:rPr>
          <w:rFonts w:cs="Arial"/>
          <w:bCs/>
          <w:sz w:val="24"/>
          <w:szCs w:val="24"/>
        </w:rPr>
      </w:pPr>
    </w:p>
    <w:p w14:paraId="5DE3107B" w14:textId="77777777" w:rsidR="00E2143E" w:rsidRPr="005F17DE" w:rsidRDefault="00E2143E" w:rsidP="00E2143E">
      <w:pPr>
        <w:spacing w:line="360" w:lineRule="auto"/>
        <w:rPr>
          <w:rFonts w:cs="Arial"/>
          <w:sz w:val="24"/>
          <w:szCs w:val="24"/>
        </w:rPr>
      </w:pPr>
      <w:r>
        <w:rPr>
          <w:rFonts w:cs="Arial"/>
          <w:b/>
          <w:sz w:val="24"/>
          <w:szCs w:val="24"/>
        </w:rPr>
        <w:t xml:space="preserve">SÉPTIMO: SUSPENDER </w:t>
      </w:r>
      <w:r>
        <w:rPr>
          <w:rFonts w:cs="Arial"/>
          <w:sz w:val="24"/>
          <w:szCs w:val="24"/>
        </w:rPr>
        <w:t xml:space="preserve">los términos del presente asunto desde el 19 de agosto de 2021, inclusive, hasta que reingrese el expediente al Despacho. </w:t>
      </w:r>
    </w:p>
    <w:p w14:paraId="6AFC2F86" w14:textId="77777777" w:rsidR="00E2143E" w:rsidRDefault="00E2143E" w:rsidP="00E2143E">
      <w:pPr>
        <w:tabs>
          <w:tab w:val="left" w:pos="2696"/>
        </w:tabs>
        <w:spacing w:line="360" w:lineRule="auto"/>
        <w:rPr>
          <w:rFonts w:cs="Arial"/>
          <w:sz w:val="24"/>
          <w:szCs w:val="24"/>
        </w:rPr>
      </w:pPr>
    </w:p>
    <w:p w14:paraId="67B816A5" w14:textId="77777777" w:rsidR="00E2143E" w:rsidRDefault="00E2143E" w:rsidP="00E5596C">
      <w:pPr>
        <w:tabs>
          <w:tab w:val="left" w:pos="2696"/>
        </w:tabs>
        <w:spacing w:line="360" w:lineRule="auto"/>
        <w:jc w:val="center"/>
        <w:rPr>
          <w:rFonts w:cs="Arial"/>
          <w:b/>
          <w:sz w:val="24"/>
          <w:szCs w:val="24"/>
        </w:rPr>
      </w:pPr>
      <w:r>
        <w:rPr>
          <w:rFonts w:cs="Arial"/>
          <w:b/>
          <w:sz w:val="24"/>
          <w:szCs w:val="24"/>
        </w:rPr>
        <w:t>NOTIFÍQUESE Y CÚMPLASE,</w:t>
      </w:r>
    </w:p>
    <w:p w14:paraId="1C49B899" w14:textId="77777777" w:rsidR="00E2143E" w:rsidRDefault="00E2143E" w:rsidP="00E2143E">
      <w:pPr>
        <w:tabs>
          <w:tab w:val="left" w:pos="2696"/>
        </w:tabs>
        <w:spacing w:line="360" w:lineRule="auto"/>
        <w:rPr>
          <w:rFonts w:cs="Arial"/>
          <w:b/>
          <w:sz w:val="24"/>
          <w:szCs w:val="24"/>
        </w:rPr>
      </w:pPr>
    </w:p>
    <w:p w14:paraId="533B7456" w14:textId="08D027A4" w:rsidR="00E2143E" w:rsidRDefault="00E2143E" w:rsidP="00E5596C">
      <w:pPr>
        <w:tabs>
          <w:tab w:val="left" w:pos="2696"/>
        </w:tabs>
        <w:spacing w:line="360" w:lineRule="auto"/>
        <w:jc w:val="center"/>
        <w:rPr>
          <w:rFonts w:cs="Arial"/>
          <w:b/>
          <w:sz w:val="24"/>
          <w:szCs w:val="24"/>
        </w:rPr>
      </w:pPr>
    </w:p>
    <w:p w14:paraId="348D7C2C" w14:textId="44D3B13F" w:rsidR="00DB4AC9" w:rsidRDefault="00DB4AC9" w:rsidP="00E5596C">
      <w:pPr>
        <w:tabs>
          <w:tab w:val="left" w:pos="2696"/>
        </w:tabs>
        <w:spacing w:line="360" w:lineRule="auto"/>
        <w:jc w:val="center"/>
        <w:rPr>
          <w:rFonts w:cs="Arial"/>
          <w:b/>
          <w:sz w:val="24"/>
          <w:szCs w:val="24"/>
        </w:rPr>
      </w:pPr>
    </w:p>
    <w:p w14:paraId="0843A0F2" w14:textId="77777777" w:rsidR="00DB4AC9" w:rsidRDefault="00DB4AC9" w:rsidP="00E5596C">
      <w:pPr>
        <w:tabs>
          <w:tab w:val="left" w:pos="2696"/>
        </w:tabs>
        <w:spacing w:line="360" w:lineRule="auto"/>
        <w:jc w:val="center"/>
        <w:rPr>
          <w:rFonts w:cs="Arial"/>
          <w:b/>
          <w:sz w:val="24"/>
          <w:szCs w:val="24"/>
        </w:rPr>
      </w:pPr>
    </w:p>
    <w:p w14:paraId="2AEAEE45" w14:textId="77777777" w:rsidR="00E2143E" w:rsidRDefault="00E2143E" w:rsidP="00E2143E">
      <w:pPr>
        <w:tabs>
          <w:tab w:val="left" w:pos="2696"/>
        </w:tabs>
        <w:spacing w:line="360" w:lineRule="auto"/>
        <w:rPr>
          <w:rFonts w:cs="Arial"/>
          <w:b/>
          <w:sz w:val="24"/>
          <w:szCs w:val="24"/>
        </w:rPr>
      </w:pPr>
    </w:p>
    <w:p w14:paraId="11C39D8B" w14:textId="77777777" w:rsidR="00E2143E" w:rsidRDefault="00E2143E" w:rsidP="00E2143E">
      <w:pPr>
        <w:tabs>
          <w:tab w:val="left" w:pos="2696"/>
        </w:tabs>
        <w:spacing w:line="276" w:lineRule="auto"/>
        <w:jc w:val="center"/>
        <w:rPr>
          <w:rFonts w:cs="Arial"/>
          <w:b/>
          <w:sz w:val="24"/>
          <w:szCs w:val="24"/>
        </w:rPr>
      </w:pPr>
      <w:r>
        <w:rPr>
          <w:rFonts w:cs="Arial"/>
          <w:b/>
          <w:sz w:val="24"/>
          <w:szCs w:val="24"/>
        </w:rPr>
        <w:t>NICOLÁS YEPES CORRALES</w:t>
      </w:r>
    </w:p>
    <w:p w14:paraId="187F941F" w14:textId="77777777" w:rsidR="00E2143E" w:rsidRPr="009D7255" w:rsidRDefault="00E2143E" w:rsidP="00E2143E">
      <w:pPr>
        <w:tabs>
          <w:tab w:val="left" w:pos="2696"/>
        </w:tabs>
        <w:spacing w:line="276" w:lineRule="auto"/>
        <w:jc w:val="center"/>
        <w:rPr>
          <w:rFonts w:cs="Arial"/>
          <w:b/>
          <w:sz w:val="24"/>
          <w:szCs w:val="24"/>
        </w:rPr>
      </w:pPr>
      <w:r>
        <w:rPr>
          <w:rFonts w:cs="Arial"/>
          <w:b/>
          <w:sz w:val="24"/>
          <w:szCs w:val="24"/>
        </w:rPr>
        <w:t>Consejero Ponente</w:t>
      </w:r>
    </w:p>
    <w:sectPr w:rsidR="00E2143E" w:rsidRPr="009D7255"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C142" w14:textId="77777777" w:rsidR="00E9144E" w:rsidRDefault="00E9144E" w:rsidP="00567581">
      <w:r>
        <w:separator/>
      </w:r>
    </w:p>
  </w:endnote>
  <w:endnote w:type="continuationSeparator" w:id="0">
    <w:p w14:paraId="72A27AE6" w14:textId="77777777" w:rsidR="00E9144E" w:rsidRDefault="00E9144E" w:rsidP="0056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1B35" w14:textId="77777777" w:rsidR="00E9144E" w:rsidRDefault="00E9144E" w:rsidP="00567581">
      <w:r>
        <w:separator/>
      </w:r>
    </w:p>
  </w:footnote>
  <w:footnote w:type="continuationSeparator" w:id="0">
    <w:p w14:paraId="4E4F18F9" w14:textId="77777777" w:rsidR="00E9144E" w:rsidRDefault="00E9144E" w:rsidP="00567581">
      <w:r>
        <w:continuationSeparator/>
      </w:r>
    </w:p>
  </w:footnote>
  <w:footnote w:id="1">
    <w:p w14:paraId="2C7F9022" w14:textId="77777777" w:rsidR="00570F85" w:rsidRDefault="00570F85">
      <w:pPr>
        <w:pStyle w:val="Textonotapie"/>
      </w:pPr>
      <w:r>
        <w:rPr>
          <w:rStyle w:val="Refdenotaalpie"/>
        </w:rPr>
        <w:footnoteRef/>
      </w:r>
      <w:r>
        <w:t xml:space="preserve"> Obra en el documento con certificado </w:t>
      </w:r>
      <w:r w:rsidRPr="00570F85">
        <w:t>27F52707EDCC1E06 79C612CEDD034F86 D01DA6BE58F399DD 0463F7F08DBB222F</w:t>
      </w:r>
      <w:r>
        <w:t xml:space="preserve">, en el expediente de tutela digital. </w:t>
      </w:r>
    </w:p>
  </w:footnote>
  <w:footnote w:id="2">
    <w:p w14:paraId="34C920D9" w14:textId="1CF8931D" w:rsidR="00DC2F02" w:rsidRPr="00A0371A" w:rsidRDefault="00DC2F02" w:rsidP="00DC2F02">
      <w:pPr>
        <w:pStyle w:val="Textonotapie"/>
        <w:rPr>
          <w:rFonts w:cs="Arial"/>
          <w:color w:val="000000"/>
          <w:lang w:val="es-ES" w:eastAsia="zh-CN"/>
        </w:rPr>
      </w:pPr>
      <w:r w:rsidRPr="00A0371A">
        <w:rPr>
          <w:rStyle w:val="Refdenotaalpie"/>
          <w:rFonts w:cs="Arial"/>
          <w:color w:val="000000"/>
        </w:rPr>
        <w:footnoteRef/>
      </w:r>
      <w:r w:rsidRPr="00A0371A">
        <w:rPr>
          <w:rFonts w:cs="Arial"/>
          <w:color w:val="000000"/>
        </w:rPr>
        <w:t xml:space="preserve"> </w:t>
      </w:r>
      <w:r w:rsidRPr="00A0371A">
        <w:rPr>
          <w:rFonts w:cs="Arial"/>
          <w:color w:val="000000"/>
          <w:lang w:val="es-ES"/>
        </w:rPr>
        <w:t>“</w:t>
      </w:r>
      <w:r w:rsidRPr="00A0371A">
        <w:rPr>
          <w:rFonts w:cs="Arial"/>
          <w:color w:val="000000"/>
        </w:rPr>
        <w:t>A</w:t>
      </w:r>
      <w:r w:rsidRPr="00A0371A">
        <w:rPr>
          <w:rFonts w:cs="Arial"/>
          <w:bCs/>
          <w:color w:val="000000"/>
        </w:rPr>
        <w:t>rtículo 86</w:t>
      </w:r>
      <w:r w:rsidRPr="00A0371A">
        <w:rPr>
          <w:rFonts w:cs="Arial"/>
          <w:color w:val="000000"/>
        </w:rPr>
        <w:t>.</w:t>
      </w:r>
      <w:r w:rsidRPr="00A0371A">
        <w:rPr>
          <w:rFonts w:cs="Arial"/>
          <w:b/>
          <w:bCs/>
          <w:color w:val="000000"/>
        </w:rPr>
        <w:t> </w:t>
      </w:r>
      <w:r w:rsidRPr="00A0371A">
        <w:rPr>
          <w:rFonts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F80AB6">
        <w:rPr>
          <w:rFonts w:cs="Arial"/>
          <w:color w:val="000000"/>
        </w:rPr>
        <w:t>[e]</w:t>
      </w:r>
      <w:proofErr w:type="spellStart"/>
      <w:r w:rsidRPr="00A0371A">
        <w:rPr>
          <w:rFonts w:cs="Arial"/>
          <w:color w:val="000000"/>
        </w:rPr>
        <w:t>stos</w:t>
      </w:r>
      <w:proofErr w:type="spellEnd"/>
      <w:r w:rsidRPr="00A0371A">
        <w:rPr>
          <w:rFonts w:cs="Arial"/>
          <w:color w:val="000000"/>
        </w:rPr>
        <w:t xml:space="preserve"> resulten vulnerados o amenazados por la acción o la omisión de cualquier autoridad pública (…)</w:t>
      </w:r>
      <w:r w:rsidRPr="00A0371A">
        <w:rPr>
          <w:rFonts w:cs="Arial"/>
          <w:color w:val="000000"/>
          <w:lang w:val="es-ES"/>
        </w:rPr>
        <w:t>”.</w:t>
      </w:r>
    </w:p>
  </w:footnote>
  <w:footnote w:id="3">
    <w:p w14:paraId="22FDFD06" w14:textId="77777777" w:rsidR="00DC2F02" w:rsidRPr="00A0371A" w:rsidRDefault="00DC2F02" w:rsidP="00DC2F02">
      <w:pPr>
        <w:pStyle w:val="Textonotapie"/>
        <w:rPr>
          <w:rFonts w:cs="Arial"/>
          <w:color w:val="000000"/>
          <w:lang w:val="es-ES" w:eastAsia="zh-CN"/>
        </w:rPr>
      </w:pPr>
      <w:r w:rsidRPr="00A0371A">
        <w:rPr>
          <w:rStyle w:val="Refdenotaalpie"/>
          <w:rFonts w:cs="Arial"/>
          <w:color w:val="000000"/>
        </w:rPr>
        <w:footnoteRef/>
      </w:r>
      <w:r w:rsidRPr="00A0371A">
        <w:rPr>
          <w:rFonts w:cs="Arial"/>
          <w:color w:val="000000"/>
        </w:rPr>
        <w:t xml:space="preserve"> </w:t>
      </w:r>
      <w:r w:rsidRPr="00A0371A">
        <w:rPr>
          <w:rFonts w:cs="Arial"/>
          <w:color w:val="000000"/>
          <w:lang w:val="es-ES"/>
        </w:rPr>
        <w:t>“</w:t>
      </w:r>
      <w:r w:rsidRPr="00A0371A">
        <w:rPr>
          <w:rFonts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A0371A">
        <w:rPr>
          <w:rFonts w:cs="Arial"/>
          <w:color w:val="000000"/>
          <w:shd w:val="clear" w:color="auto" w:fill="FFFFFF"/>
          <w:lang w:val="es-ES"/>
        </w:rPr>
        <w:t xml:space="preserve">”. </w:t>
      </w:r>
    </w:p>
  </w:footnote>
  <w:footnote w:id="4">
    <w:p w14:paraId="04E0A101" w14:textId="77777777" w:rsidR="00DC2F02" w:rsidRPr="00A0371A" w:rsidRDefault="00DC2F02" w:rsidP="00DC2F02">
      <w:pPr>
        <w:pStyle w:val="Textonotapie"/>
        <w:rPr>
          <w:rFonts w:cs="Arial"/>
        </w:rPr>
      </w:pPr>
      <w:r w:rsidRPr="00A0371A">
        <w:rPr>
          <w:rStyle w:val="Refdenotaalpie"/>
          <w:rFonts w:cs="Arial"/>
        </w:rPr>
        <w:footnoteRef/>
      </w:r>
      <w:r w:rsidRPr="00A0371A">
        <w:rPr>
          <w:rFonts w:cs="Arial"/>
        </w:rPr>
        <w:t xml:space="preserve"> </w:t>
      </w:r>
      <w:r w:rsidRPr="00A0371A">
        <w:rPr>
          <w:rFonts w:cs="Arial"/>
          <w:lang w:val="es-ES"/>
        </w:rPr>
        <w:t>“</w:t>
      </w:r>
      <w:r w:rsidRPr="00A0371A">
        <w:rPr>
          <w:rFonts w:cs="Arial"/>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063749"/>
      <w:docPartObj>
        <w:docPartGallery w:val="Page Numbers (Top of Page)"/>
        <w:docPartUnique/>
      </w:docPartObj>
    </w:sdtPr>
    <w:sdtEndPr/>
    <w:sdtContent>
      <w:p w14:paraId="295F92A9" w14:textId="77777777" w:rsidR="00DC2F02" w:rsidRDefault="00DC2F02">
        <w:pPr>
          <w:pStyle w:val="Encabezado"/>
          <w:jc w:val="center"/>
        </w:pPr>
        <w:r>
          <w:fldChar w:fldCharType="begin"/>
        </w:r>
        <w:r>
          <w:instrText>PAGE   \* MERGEFORMAT</w:instrText>
        </w:r>
        <w:r>
          <w:fldChar w:fldCharType="separate"/>
        </w:r>
        <w:r w:rsidR="002D397E" w:rsidRPr="002D397E">
          <w:rPr>
            <w:noProof/>
            <w:lang w:val="es-ES"/>
          </w:rPr>
          <w:t>3</w:t>
        </w:r>
        <w:r>
          <w:fldChar w:fldCharType="end"/>
        </w:r>
      </w:p>
    </w:sdtContent>
  </w:sdt>
  <w:p w14:paraId="528A1A63" w14:textId="77777777" w:rsidR="00DC2F02" w:rsidRDefault="00DC2F02" w:rsidP="00DC2F02">
    <w:pPr>
      <w:spacing w:line="276" w:lineRule="auto"/>
      <w:jc w:val="right"/>
      <w:rPr>
        <w:rFonts w:cs="Arial"/>
        <w:i/>
        <w:sz w:val="18"/>
        <w:szCs w:val="18"/>
      </w:rPr>
    </w:pPr>
    <w:r>
      <w:rPr>
        <w:rFonts w:cs="Arial"/>
        <w:i/>
        <w:sz w:val="18"/>
        <w:szCs w:val="18"/>
      </w:rPr>
      <w:t>Auto admisorio</w:t>
    </w:r>
  </w:p>
  <w:p w14:paraId="17231C43" w14:textId="77777777" w:rsidR="00DC2F02" w:rsidRPr="00DC2F02" w:rsidRDefault="00DC2F02" w:rsidP="00DC2F02">
    <w:pPr>
      <w:spacing w:line="276" w:lineRule="auto"/>
      <w:jc w:val="right"/>
      <w:rPr>
        <w:rFonts w:cs="Arial"/>
        <w:i/>
        <w:sz w:val="18"/>
        <w:szCs w:val="18"/>
      </w:rPr>
    </w:pPr>
    <w:r w:rsidRPr="00DC2F02">
      <w:rPr>
        <w:rFonts w:cs="Arial"/>
        <w:i/>
        <w:sz w:val="18"/>
        <w:szCs w:val="18"/>
      </w:rPr>
      <w:t>Radicación: 11001-03-15-000-2021-05384-00</w:t>
    </w:r>
  </w:p>
  <w:p w14:paraId="38FFF714" w14:textId="77777777" w:rsidR="00DC2F02" w:rsidRPr="00DC2F02" w:rsidRDefault="00DC2F02" w:rsidP="00DC2F02">
    <w:pPr>
      <w:spacing w:line="276" w:lineRule="auto"/>
      <w:jc w:val="right"/>
      <w:rPr>
        <w:rFonts w:cs="Arial"/>
        <w:i/>
        <w:sz w:val="18"/>
        <w:szCs w:val="18"/>
      </w:rPr>
    </w:pPr>
    <w:r w:rsidRPr="00DC2F02">
      <w:rPr>
        <w:rFonts w:cs="Arial"/>
        <w:i/>
        <w:sz w:val="18"/>
        <w:szCs w:val="18"/>
      </w:rPr>
      <w:t xml:space="preserve">Accionante: </w:t>
    </w:r>
    <w:proofErr w:type="spellStart"/>
    <w:r w:rsidRPr="00DC2F02">
      <w:rPr>
        <w:rFonts w:cs="Arial"/>
        <w:i/>
        <w:sz w:val="18"/>
        <w:szCs w:val="18"/>
      </w:rPr>
      <w:t>Jonh</w:t>
    </w:r>
    <w:proofErr w:type="spellEnd"/>
    <w:r w:rsidRPr="00DC2F02">
      <w:rPr>
        <w:rFonts w:cs="Arial"/>
        <w:i/>
        <w:sz w:val="18"/>
        <w:szCs w:val="18"/>
      </w:rPr>
      <w:t xml:space="preserve"> William García Castro </w:t>
    </w:r>
  </w:p>
  <w:p w14:paraId="4EB691B5" w14:textId="77777777" w:rsidR="00DC2F02" w:rsidRPr="00DC2F02" w:rsidRDefault="00DC2F02" w:rsidP="00DC2F02">
    <w:pPr>
      <w:spacing w:line="276" w:lineRule="auto"/>
      <w:jc w:val="right"/>
      <w:rPr>
        <w:rFonts w:cs="Arial"/>
        <w:sz w:val="18"/>
        <w:szCs w:val="18"/>
      </w:rPr>
    </w:pPr>
    <w:r w:rsidRPr="00DC2F02">
      <w:rPr>
        <w:rFonts w:cs="Arial"/>
        <w:i/>
        <w:sz w:val="18"/>
        <w:szCs w:val="18"/>
      </w:rPr>
      <w:t>Accionado: Subsección B de la Sección Primera del Tribunal Administrativo de Cundinamarca</w:t>
    </w:r>
    <w:r w:rsidRPr="00DC2F02">
      <w:rPr>
        <w:rFonts w:cs="Arial"/>
        <w:sz w:val="18"/>
        <w:szCs w:val="18"/>
      </w:rPr>
      <w:t xml:space="preserve"> </w:t>
    </w:r>
  </w:p>
  <w:p w14:paraId="4D00A59E" w14:textId="77777777" w:rsidR="00DC2F02" w:rsidRDefault="00DC2F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31A3" w14:textId="77777777" w:rsidR="00567581" w:rsidRPr="00EB1F53" w:rsidRDefault="00567581" w:rsidP="00567581">
    <w:pPr>
      <w:pStyle w:val="Encabezado"/>
      <w:ind w:firstLine="3540"/>
      <w:jc w:val="right"/>
      <w:rPr>
        <w:bCs/>
        <w:color w:val="000000"/>
        <w:sz w:val="24"/>
        <w:szCs w:val="24"/>
      </w:rPr>
    </w:pPr>
    <w:r>
      <w:rPr>
        <w:noProof/>
        <w:lang w:eastAsia="es-CO"/>
      </w:rPr>
      <w:drawing>
        <wp:anchor distT="0" distB="0" distL="114300" distR="114300" simplePos="0" relativeHeight="251659264" behindDoc="1" locked="0" layoutInCell="1" allowOverlap="1" wp14:anchorId="1FC32242" wp14:editId="1C05FB1F">
          <wp:simplePos x="0" y="0"/>
          <wp:positionH relativeFrom="margin">
            <wp:align>left</wp:align>
          </wp:positionH>
          <wp:positionV relativeFrom="paragraph">
            <wp:posOffset>8890</wp:posOffset>
          </wp:positionV>
          <wp:extent cx="963295" cy="90106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F29EF" w14:textId="77777777" w:rsidR="00567581" w:rsidRPr="00EB1F53" w:rsidRDefault="00567581" w:rsidP="00567581">
    <w:pPr>
      <w:pStyle w:val="Encabezado"/>
      <w:jc w:val="center"/>
      <w:rPr>
        <w:b/>
        <w:bCs/>
        <w:color w:val="000000"/>
        <w:sz w:val="24"/>
        <w:szCs w:val="24"/>
      </w:rPr>
    </w:pPr>
    <w:r w:rsidRPr="00EB1F53">
      <w:rPr>
        <w:b/>
        <w:bCs/>
        <w:color w:val="000000"/>
        <w:sz w:val="24"/>
        <w:szCs w:val="24"/>
      </w:rPr>
      <w:t>CONSEJO DE ESTADO</w:t>
    </w:r>
  </w:p>
  <w:p w14:paraId="49B88912" w14:textId="77777777" w:rsidR="00567581" w:rsidRPr="00EB1F53" w:rsidRDefault="00567581" w:rsidP="00567581">
    <w:pPr>
      <w:suppressAutoHyphens/>
      <w:jc w:val="center"/>
      <w:rPr>
        <w:rFonts w:eastAsia="Times New Roman"/>
        <w:b/>
        <w:bCs/>
        <w:color w:val="000000"/>
        <w:sz w:val="24"/>
        <w:szCs w:val="24"/>
        <w:lang w:eastAsia="es-ES"/>
      </w:rPr>
    </w:pPr>
    <w:r w:rsidRPr="00EB1F53">
      <w:rPr>
        <w:rFonts w:eastAsia="Times New Roman"/>
        <w:b/>
        <w:bCs/>
        <w:color w:val="000000"/>
        <w:sz w:val="24"/>
        <w:szCs w:val="24"/>
        <w:lang w:eastAsia="es-ES"/>
      </w:rPr>
      <w:t>SALA DE LO CONTENCIOSO ADMINISTRATIVO</w:t>
    </w:r>
  </w:p>
  <w:p w14:paraId="476F49CF" w14:textId="77777777" w:rsidR="00567581" w:rsidRPr="00EB1F53" w:rsidRDefault="00567581" w:rsidP="00567581">
    <w:pPr>
      <w:suppressAutoHyphens/>
      <w:jc w:val="center"/>
      <w:rPr>
        <w:rFonts w:eastAsia="Times New Roman"/>
        <w:b/>
        <w:bCs/>
        <w:color w:val="000000"/>
        <w:sz w:val="24"/>
        <w:szCs w:val="24"/>
        <w:lang w:eastAsia="es-ES"/>
      </w:rPr>
    </w:pPr>
    <w:r w:rsidRPr="00EB1F53">
      <w:rPr>
        <w:rFonts w:eastAsia="Times New Roman"/>
        <w:b/>
        <w:bCs/>
        <w:color w:val="000000"/>
        <w:sz w:val="24"/>
        <w:szCs w:val="24"/>
        <w:lang w:eastAsia="es-ES"/>
      </w:rPr>
      <w:t>SECCIÓN TERCERA</w:t>
    </w:r>
  </w:p>
  <w:p w14:paraId="136F74FA" w14:textId="77777777" w:rsidR="00567581" w:rsidRDefault="00567581" w:rsidP="00567581">
    <w:pPr>
      <w:suppressAutoHyphens/>
      <w:jc w:val="center"/>
      <w:rPr>
        <w:rFonts w:eastAsia="Times New Roman"/>
        <w:b/>
        <w:bCs/>
        <w:color w:val="000000"/>
        <w:sz w:val="24"/>
        <w:szCs w:val="24"/>
        <w:lang w:eastAsia="es-ES"/>
      </w:rPr>
    </w:pPr>
    <w:r w:rsidRPr="00EB1F53">
      <w:rPr>
        <w:rFonts w:eastAsia="Times New Roman"/>
        <w:b/>
        <w:bCs/>
        <w:color w:val="000000"/>
        <w:sz w:val="24"/>
        <w:szCs w:val="24"/>
        <w:lang w:eastAsia="es-ES"/>
      </w:rPr>
      <w:t>SUBSECCIÓN C</w:t>
    </w:r>
  </w:p>
  <w:p w14:paraId="35E74814" w14:textId="77777777" w:rsidR="00567581" w:rsidRDefault="005675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1"/>
    <w:rsid w:val="00032590"/>
    <w:rsid w:val="00081221"/>
    <w:rsid w:val="0018585E"/>
    <w:rsid w:val="001A40E4"/>
    <w:rsid w:val="001B10CD"/>
    <w:rsid w:val="002D397E"/>
    <w:rsid w:val="002F7D65"/>
    <w:rsid w:val="00381122"/>
    <w:rsid w:val="003B5614"/>
    <w:rsid w:val="003D67D8"/>
    <w:rsid w:val="003E2636"/>
    <w:rsid w:val="004275E0"/>
    <w:rsid w:val="004A5836"/>
    <w:rsid w:val="004C5875"/>
    <w:rsid w:val="004D1BCA"/>
    <w:rsid w:val="00567581"/>
    <w:rsid w:val="00570F85"/>
    <w:rsid w:val="006F4CBE"/>
    <w:rsid w:val="007B6547"/>
    <w:rsid w:val="00810B28"/>
    <w:rsid w:val="00902E0C"/>
    <w:rsid w:val="00A50561"/>
    <w:rsid w:val="00A84B70"/>
    <w:rsid w:val="00C767B3"/>
    <w:rsid w:val="00D95ECD"/>
    <w:rsid w:val="00DB4AC9"/>
    <w:rsid w:val="00DC2F02"/>
    <w:rsid w:val="00E039E2"/>
    <w:rsid w:val="00E2143E"/>
    <w:rsid w:val="00E5596C"/>
    <w:rsid w:val="00E70CB9"/>
    <w:rsid w:val="00E768D0"/>
    <w:rsid w:val="00E9144E"/>
    <w:rsid w:val="00F17130"/>
    <w:rsid w:val="00F80AB6"/>
    <w:rsid w:val="00FE6053"/>
    <w:rsid w:val="00FF21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B01"/>
  <w15:chartTrackingRefBased/>
  <w15:docId w15:val="{3A4D9D2D-DA7E-4353-89C4-2B51E494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81"/>
    <w:rPr>
      <w:rFonts w:eastAsia="SimSu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581"/>
    <w:pPr>
      <w:tabs>
        <w:tab w:val="center" w:pos="4419"/>
        <w:tab w:val="right" w:pos="8838"/>
      </w:tabs>
    </w:pPr>
    <w:rPr>
      <w:rFonts w:eastAsiaTheme="minorHAnsi"/>
    </w:rPr>
  </w:style>
  <w:style w:type="character" w:customStyle="1" w:styleId="EncabezadoCar">
    <w:name w:val="Encabezado Car"/>
    <w:basedOn w:val="Fuentedeprrafopredeter"/>
    <w:link w:val="Encabezado"/>
    <w:uiPriority w:val="99"/>
    <w:rsid w:val="00567581"/>
  </w:style>
  <w:style w:type="paragraph" w:styleId="Piedepgina">
    <w:name w:val="footer"/>
    <w:basedOn w:val="Normal"/>
    <w:link w:val="PiedepginaCar"/>
    <w:uiPriority w:val="99"/>
    <w:unhideWhenUsed/>
    <w:rsid w:val="00567581"/>
    <w:pPr>
      <w:tabs>
        <w:tab w:val="center" w:pos="4419"/>
        <w:tab w:val="right" w:pos="8838"/>
      </w:tabs>
    </w:pPr>
    <w:rPr>
      <w:rFonts w:eastAsiaTheme="minorHAnsi"/>
    </w:rPr>
  </w:style>
  <w:style w:type="character" w:customStyle="1" w:styleId="PiedepginaCar">
    <w:name w:val="Pie de página Car"/>
    <w:basedOn w:val="Fuentedeprrafopredeter"/>
    <w:link w:val="Piedepgina"/>
    <w:uiPriority w:val="99"/>
    <w:rsid w:val="00567581"/>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570F85"/>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 Car"/>
    <w:basedOn w:val="Fuentedeprrafopredeter"/>
    <w:link w:val="Textonotapie"/>
    <w:uiPriority w:val="99"/>
    <w:rsid w:val="00570F85"/>
    <w:rPr>
      <w:rFonts w:eastAsia="SimSun"/>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570F8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2F02"/>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9422-7759-47E8-A419-04C003FE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2021-08-19T23:59:00Z</cp:lastPrinted>
  <dcterms:created xsi:type="dcterms:W3CDTF">2021-08-19T23:59:00Z</dcterms:created>
  <dcterms:modified xsi:type="dcterms:W3CDTF">2021-08-20T00:00:00Z</dcterms:modified>
</cp:coreProperties>
</file>