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4E6DE" w14:textId="77777777" w:rsidR="004F5C5A" w:rsidRPr="001865A0" w:rsidRDefault="004F5C5A" w:rsidP="004F5C5A">
      <w:pPr>
        <w:jc w:val="center"/>
        <w:rPr>
          <w:rFonts w:ascii="Arial" w:hAnsi="Arial" w:cs="Arial"/>
          <w:bCs/>
          <w:iCs/>
          <w:spacing w:val="20"/>
        </w:rPr>
      </w:pPr>
    </w:p>
    <w:p w14:paraId="4A518B2D" w14:textId="77777777" w:rsidR="001865A0" w:rsidRPr="001865A0" w:rsidRDefault="001865A0" w:rsidP="00CA7984">
      <w:pPr>
        <w:rPr>
          <w:rFonts w:ascii="Arial" w:hAnsi="Arial" w:cs="Arial"/>
          <w:bCs/>
          <w:iCs/>
        </w:rPr>
      </w:pPr>
    </w:p>
    <w:p w14:paraId="4F5FB7DA" w14:textId="6D160B19" w:rsidR="001865A0" w:rsidRPr="001865A0" w:rsidRDefault="001865A0" w:rsidP="001865A0">
      <w:pPr>
        <w:jc w:val="both"/>
        <w:rPr>
          <w:rFonts w:ascii="Arial" w:hAnsi="Arial" w:cs="Arial"/>
          <w:b/>
        </w:rPr>
      </w:pPr>
      <w:r w:rsidRPr="001865A0">
        <w:rPr>
          <w:rFonts w:ascii="Arial" w:hAnsi="Arial" w:cs="Arial"/>
          <w:b/>
        </w:rPr>
        <w:t>SANCIÓN MORATORIA POR EL NO PAGO OPORTUNO DE LAS CESANTÍAS</w:t>
      </w:r>
      <w:r w:rsidRPr="001865A0">
        <w:rPr>
          <w:rFonts w:ascii="Arial" w:hAnsi="Arial" w:cs="Arial"/>
          <w:b/>
        </w:rPr>
        <w:t xml:space="preserve"> </w:t>
      </w:r>
      <w:proofErr w:type="gramStart"/>
      <w:r w:rsidRPr="001865A0">
        <w:rPr>
          <w:rFonts w:ascii="Arial" w:hAnsi="Arial" w:cs="Arial"/>
          <w:b/>
        </w:rPr>
        <w:t xml:space="preserve">- </w:t>
      </w:r>
      <w:r w:rsidRPr="001865A0">
        <w:rPr>
          <w:rFonts w:ascii="Arial" w:hAnsi="Arial" w:cs="Arial"/>
        </w:rPr>
        <w:t xml:space="preserve"> </w:t>
      </w:r>
      <w:r w:rsidRPr="001865A0">
        <w:rPr>
          <w:rFonts w:ascii="Arial" w:hAnsi="Arial" w:cs="Arial"/>
          <w:b/>
        </w:rPr>
        <w:t>Es</w:t>
      </w:r>
      <w:proofErr w:type="gramEnd"/>
      <w:r w:rsidRPr="001865A0">
        <w:rPr>
          <w:rFonts w:ascii="Arial" w:hAnsi="Arial" w:cs="Arial"/>
          <w:b/>
        </w:rPr>
        <w:t xml:space="preserve"> un asunto de carácter laboral.</w:t>
      </w:r>
    </w:p>
    <w:p w14:paraId="261D1458" w14:textId="77777777" w:rsidR="001865A0" w:rsidRPr="001865A0" w:rsidRDefault="001865A0" w:rsidP="001865A0">
      <w:pPr>
        <w:jc w:val="both"/>
        <w:rPr>
          <w:rFonts w:ascii="Arial" w:hAnsi="Arial" w:cs="Arial"/>
        </w:rPr>
      </w:pPr>
    </w:p>
    <w:p w14:paraId="262DE541" w14:textId="4E76B7E0" w:rsidR="001865A0" w:rsidRPr="001865A0" w:rsidRDefault="001865A0" w:rsidP="001865A0">
      <w:pPr>
        <w:jc w:val="both"/>
        <w:rPr>
          <w:rFonts w:ascii="Arial" w:hAnsi="Arial" w:cs="Arial"/>
        </w:rPr>
      </w:pPr>
      <w:r w:rsidRPr="001865A0">
        <w:rPr>
          <w:rFonts w:ascii="Arial" w:hAnsi="Arial" w:cs="Arial"/>
        </w:rPr>
        <w:t>En el asunto bajo ex</w:t>
      </w:r>
      <w:r w:rsidRPr="001865A0">
        <w:rPr>
          <w:rFonts w:ascii="Arial" w:hAnsi="Arial" w:cs="Arial"/>
        </w:rPr>
        <w:t>a</w:t>
      </w:r>
      <w:r w:rsidRPr="001865A0">
        <w:rPr>
          <w:rFonts w:ascii="Arial" w:hAnsi="Arial" w:cs="Arial"/>
        </w:rPr>
        <w:t xml:space="preserve">men, </w:t>
      </w:r>
      <w:r w:rsidRPr="001865A0">
        <w:rPr>
          <w:rFonts w:ascii="Arial" w:eastAsia="Verdana" w:hAnsi="Arial" w:cs="Arial"/>
          <w:bCs/>
        </w:rPr>
        <w:t>la accionante pretende</w:t>
      </w:r>
      <w:r w:rsidRPr="001865A0">
        <w:rPr>
          <w:rFonts w:ascii="Arial" w:eastAsia="Verdana" w:hAnsi="Arial" w:cs="Arial"/>
          <w:b/>
        </w:rPr>
        <w:t xml:space="preserve"> </w:t>
      </w:r>
      <w:r w:rsidRPr="001865A0">
        <w:rPr>
          <w:rFonts w:ascii="Arial" w:eastAsia="Verdana" w:hAnsi="Arial" w:cs="Arial"/>
        </w:rPr>
        <w:t xml:space="preserve">que </w:t>
      </w:r>
      <w:r w:rsidRPr="001865A0">
        <w:rPr>
          <w:rFonts w:ascii="Arial" w:hAnsi="Arial" w:cs="Arial"/>
        </w:rPr>
        <w:t xml:space="preserve">se declare la nulidad del acto administrativo a través del cual la Secretaría de Educación de Boyacá, negó el reconocimiento y pago de la SANCIÓN MORATORIA por la no consignación oportuna de las cesantías establecida en el artículo 99 de la Ley 50 de 1990. </w:t>
      </w:r>
      <w:r w:rsidRPr="001865A0">
        <w:rPr>
          <w:rFonts w:ascii="Arial" w:hAnsi="Arial" w:cs="Arial"/>
        </w:rPr>
        <w:t xml:space="preserve"> </w:t>
      </w:r>
      <w:r w:rsidRPr="001865A0">
        <w:rPr>
          <w:rFonts w:ascii="Arial" w:hAnsi="Arial" w:cs="Arial"/>
        </w:rPr>
        <w:t xml:space="preserve">El Consejo de Estado en sentencia del 3 de febrero de 2022, al resolver recurso de apelación cuyo asunto a tratar es el pago de la sanción moratoria originada en la no consignación o pago, se ha referido a que </w:t>
      </w:r>
      <w:r w:rsidRPr="001865A0">
        <w:rPr>
          <w:rFonts w:ascii="Arial" w:hAnsi="Arial" w:cs="Arial"/>
          <w:bCs/>
        </w:rPr>
        <w:t>las mismas son una prestación social:</w:t>
      </w:r>
      <w:r w:rsidRPr="001865A0">
        <w:rPr>
          <w:rFonts w:ascii="Arial" w:hAnsi="Arial" w:cs="Arial"/>
          <w:bCs/>
        </w:rPr>
        <w:t xml:space="preserve"> (…)</w:t>
      </w:r>
      <w:r w:rsidRPr="001865A0">
        <w:rPr>
          <w:rFonts w:ascii="Arial" w:hAnsi="Arial" w:cs="Arial"/>
        </w:rPr>
        <w:t xml:space="preserve"> </w:t>
      </w:r>
      <w:r w:rsidRPr="001865A0">
        <w:rPr>
          <w:rFonts w:ascii="Arial" w:eastAsia="Verdana" w:hAnsi="Arial" w:cs="Arial"/>
        </w:rPr>
        <w:t xml:space="preserve">Entonces, para el despacho no hay duda que </w:t>
      </w:r>
      <w:r w:rsidRPr="001865A0">
        <w:rPr>
          <w:rFonts w:ascii="Arial" w:hAnsi="Arial" w:cs="Arial"/>
        </w:rPr>
        <w:t>en el presente asunto se está frente a la hipótesis de un</w:t>
      </w:r>
      <w:r w:rsidRPr="001865A0">
        <w:rPr>
          <w:rFonts w:ascii="Arial" w:hAnsi="Arial" w:cs="Arial"/>
          <w:bCs/>
        </w:rPr>
        <w:t xml:space="preserve"> asunto de carácter laboral</w:t>
      </w:r>
      <w:r w:rsidRPr="001865A0">
        <w:rPr>
          <w:rFonts w:ascii="Arial" w:hAnsi="Arial" w:cs="Arial"/>
        </w:rPr>
        <w:t xml:space="preserve"> en el que la regla para la competencia por el factor territorial es la prevista en el numeral 3 del artículo 156 del C.P.A.C.A., pues si bien el acto demandado niega el reconocimiento y pago de la sanción moratoria por pago tardío de las cesantías, el mismo no comporta situación diferente a ser un asunto netamente laboral.</w:t>
      </w:r>
    </w:p>
    <w:p w14:paraId="3B78E47E" w14:textId="27E280A1" w:rsidR="001865A0" w:rsidRPr="001865A0" w:rsidRDefault="001865A0" w:rsidP="001865A0">
      <w:pPr>
        <w:jc w:val="both"/>
        <w:rPr>
          <w:rFonts w:ascii="Arial" w:hAnsi="Arial" w:cs="Arial"/>
        </w:rPr>
      </w:pPr>
    </w:p>
    <w:p w14:paraId="376D6593" w14:textId="7317DBBD" w:rsidR="001865A0" w:rsidRPr="001865A0" w:rsidRDefault="001865A0" w:rsidP="001865A0">
      <w:pPr>
        <w:jc w:val="both"/>
        <w:rPr>
          <w:rFonts w:ascii="Arial" w:hAnsi="Arial" w:cs="Arial"/>
        </w:rPr>
      </w:pPr>
      <w:r w:rsidRPr="001865A0">
        <w:rPr>
          <w:rFonts w:ascii="Arial" w:hAnsi="Arial" w:cs="Arial"/>
          <w:b/>
        </w:rPr>
        <w:t>SANCIÓN MORATORIA POR EL NO PAGO OPORTUNO DE LAS CESANTÍAS</w:t>
      </w:r>
      <w:r w:rsidRPr="001865A0">
        <w:rPr>
          <w:rFonts w:ascii="Arial" w:hAnsi="Arial" w:cs="Arial"/>
          <w:b/>
        </w:rPr>
        <w:t xml:space="preserve"> – La competencia por el factor territorial se asigna conforme al numeral 3° del artículo 156 del CAPACA</w:t>
      </w:r>
      <w:r>
        <w:rPr>
          <w:rFonts w:ascii="Arial" w:hAnsi="Arial" w:cs="Arial"/>
          <w:b/>
        </w:rPr>
        <w:t>, esto es por el último lugar de prestación de servicios por tratarse de un asunto laboral.</w:t>
      </w:r>
    </w:p>
    <w:p w14:paraId="49C0A84F" w14:textId="77777777" w:rsidR="001865A0" w:rsidRPr="001865A0" w:rsidRDefault="001865A0" w:rsidP="001865A0">
      <w:pPr>
        <w:jc w:val="both"/>
        <w:rPr>
          <w:rFonts w:ascii="Arial" w:hAnsi="Arial" w:cs="Arial"/>
        </w:rPr>
      </w:pPr>
    </w:p>
    <w:p w14:paraId="695A82C7" w14:textId="456FBED1" w:rsidR="001865A0" w:rsidRPr="001865A0" w:rsidRDefault="001865A0" w:rsidP="001865A0">
      <w:pPr>
        <w:jc w:val="both"/>
        <w:rPr>
          <w:rFonts w:ascii="Arial" w:hAnsi="Arial" w:cs="Arial"/>
        </w:rPr>
      </w:pPr>
      <w:r w:rsidRPr="001865A0">
        <w:rPr>
          <w:rFonts w:ascii="Arial" w:hAnsi="Arial" w:cs="Arial"/>
        </w:rPr>
        <w:t xml:space="preserve">Por lo anterior, al existir manifestación de voluntad de la administración en un acto administrativo concreto, que tiene carácter laboral, la competencia por </w:t>
      </w:r>
      <w:r w:rsidRPr="00857370">
        <w:rPr>
          <w:rFonts w:ascii="Arial" w:hAnsi="Arial" w:cs="Arial"/>
          <w:bCs/>
        </w:rPr>
        <w:t>factor territorial</w:t>
      </w:r>
      <w:r w:rsidRPr="00857370">
        <w:rPr>
          <w:rFonts w:ascii="Arial" w:hAnsi="Arial" w:cs="Arial"/>
        </w:rPr>
        <w:t xml:space="preserve"> </w:t>
      </w:r>
      <w:r w:rsidRPr="001865A0">
        <w:rPr>
          <w:rFonts w:ascii="Arial" w:hAnsi="Arial" w:cs="Arial"/>
        </w:rPr>
        <w:t>se asigna conforme lo establece el numeral 3 del artículo 156 del CPACA modificado por el artículo 31 de la Ley 2080 de 2021, así:</w:t>
      </w:r>
      <w:r w:rsidR="00857370">
        <w:rPr>
          <w:rFonts w:ascii="Arial" w:hAnsi="Arial" w:cs="Arial"/>
        </w:rPr>
        <w:t xml:space="preserve"> </w:t>
      </w:r>
      <w:r w:rsidR="00857370" w:rsidRPr="00857370">
        <w:rPr>
          <w:rFonts w:ascii="Arial" w:hAnsi="Arial" w:cs="Arial"/>
        </w:rPr>
        <w:t xml:space="preserve">“3. </w:t>
      </w:r>
      <w:r w:rsidR="00857370" w:rsidRPr="00857370">
        <w:rPr>
          <w:rFonts w:ascii="Arial" w:hAnsi="Arial" w:cs="Arial"/>
          <w:bCs/>
        </w:rPr>
        <w:t>En los asuntos de nulidad y restablecimiento del derecho de carácter laboral se determinará por el último lugar donde se prestaron o debieron prestarse los servicios</w:t>
      </w:r>
      <w:r w:rsidR="00857370" w:rsidRPr="001865A0">
        <w:rPr>
          <w:rFonts w:ascii="Arial" w:hAnsi="Arial" w:cs="Arial"/>
        </w:rPr>
        <w:t>. Cuando se trate de derechos pensionales, se determinará por el domicilio del demandante, siempre y cuando la entidad demandada tenga sede en dicho lugar.”</w:t>
      </w:r>
      <w:r w:rsidR="00857370">
        <w:rPr>
          <w:rFonts w:ascii="Arial" w:hAnsi="Arial" w:cs="Arial"/>
        </w:rPr>
        <w:t xml:space="preserve"> </w:t>
      </w:r>
      <w:r w:rsidRPr="001865A0">
        <w:rPr>
          <w:rFonts w:ascii="Arial" w:hAnsi="Arial" w:cs="Arial"/>
        </w:rPr>
        <w:t xml:space="preserve">Así las cosas, al observarse que el </w:t>
      </w:r>
      <w:r w:rsidRPr="00857370">
        <w:rPr>
          <w:rFonts w:ascii="Arial" w:hAnsi="Arial" w:cs="Arial"/>
          <w:bCs/>
        </w:rPr>
        <w:t>lugar de prestación de servicios de la demandante es Santa Rosa de Viterbo</w:t>
      </w:r>
      <w:r w:rsidRPr="001865A0">
        <w:rPr>
          <w:rFonts w:ascii="Arial" w:hAnsi="Arial" w:cs="Arial"/>
        </w:rPr>
        <w:t xml:space="preserve"> (anexo 01 demanda f. 50), el competente para asumir el conocimiento de la demanda corresponde al Juzgado Tercero Administrativo de Duitama, despacho a quién le fue inicialmente repartida la demanda. </w:t>
      </w:r>
      <w:r w:rsidRPr="001865A0">
        <w:rPr>
          <w:rFonts w:ascii="Arial" w:hAnsi="Arial" w:cs="Arial"/>
        </w:rPr>
        <w:t xml:space="preserve"> </w:t>
      </w:r>
      <w:r w:rsidRPr="001865A0">
        <w:rPr>
          <w:rFonts w:ascii="Arial" w:hAnsi="Arial" w:cs="Arial"/>
          <w:bCs/>
        </w:rPr>
        <w:t xml:space="preserve">Por tal motivo, el Despacho declarará competente para el conocimiento de la demanda de la referencia al </w:t>
      </w:r>
      <w:r w:rsidRPr="001865A0">
        <w:rPr>
          <w:rFonts w:ascii="Arial" w:hAnsi="Arial" w:cs="Arial"/>
        </w:rPr>
        <w:t>Juzgado Tercero Administrativo de Oralidad del Circuito Judicial de Duitama.</w:t>
      </w:r>
    </w:p>
    <w:p w14:paraId="50580800" w14:textId="77777777" w:rsidR="001865A0" w:rsidRPr="001865A0" w:rsidRDefault="001865A0" w:rsidP="001865A0">
      <w:pPr>
        <w:rPr>
          <w:rFonts w:ascii="Arial" w:hAnsi="Arial" w:cs="Arial"/>
        </w:rPr>
      </w:pPr>
    </w:p>
    <w:p w14:paraId="06E8C24B" w14:textId="77777777" w:rsidR="00857370" w:rsidRDefault="00857370" w:rsidP="00857370">
      <w:pPr>
        <w:jc w:val="both"/>
        <w:rPr>
          <w:rFonts w:ascii="Arial" w:hAnsi="Arial" w:cs="Arial"/>
          <w:iCs/>
        </w:rPr>
      </w:pPr>
      <w:bookmarkStart w:id="0" w:name="_Hlk105513629"/>
      <w:bookmarkStart w:id="1" w:name="_Hlk106288379"/>
      <w:bookmarkStart w:id="2" w:name="_Hlk110245706"/>
      <w:bookmarkStart w:id="3" w:name="_Hlk112925902"/>
      <w:r w:rsidRPr="00EA7230">
        <w:rPr>
          <w:rFonts w:ascii="Arial" w:hAnsi="Arial" w:cs="Arial"/>
          <w:b/>
          <w:bCs/>
          <w:lang w:val="es-CO"/>
        </w:rPr>
        <w:t>NOTA DE RELATORÍA:</w:t>
      </w:r>
      <w:r w:rsidRPr="00EA7230">
        <w:rPr>
          <w:rFonts w:ascii="Arial" w:hAnsi="Arial" w:cs="Arial"/>
          <w:bCs/>
          <w:lang w:val="es-CO"/>
        </w:rPr>
        <w:t xml:space="preserve"> </w:t>
      </w:r>
      <w:r w:rsidRPr="00EA7230">
        <w:rPr>
          <w:rFonts w:ascii="Arial" w:hAnsi="Arial" w:cs="Arial"/>
          <w:iCs/>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rPr>
        <w:t>a y descargarla</w:t>
      </w:r>
      <w:r w:rsidRPr="00EA7230">
        <w:rPr>
          <w:rFonts w:ascii="Arial" w:hAnsi="Arial" w:cs="Arial"/>
          <w:iCs/>
        </w:rPr>
        <w:t xml:space="preserve"> a través de la plataforma SAMAI</w:t>
      </w:r>
      <w:r>
        <w:rPr>
          <w:rFonts w:ascii="Arial" w:hAnsi="Arial" w:cs="Arial"/>
          <w:iCs/>
        </w:rPr>
        <w:t xml:space="preserve"> siguiendo este link: </w:t>
      </w:r>
    </w:p>
    <w:p w14:paraId="2A726853" w14:textId="77777777" w:rsidR="00857370" w:rsidRDefault="00857370" w:rsidP="00857370"/>
    <w:tbl>
      <w:tblPr>
        <w:tblStyle w:val="Tablaconcuadrcula"/>
        <w:tblW w:w="0" w:type="auto"/>
        <w:tblLook w:val="04A0" w:firstRow="1" w:lastRow="0" w:firstColumn="1" w:lastColumn="0" w:noHBand="0" w:noVBand="1"/>
      </w:tblPr>
      <w:tblGrid>
        <w:gridCol w:w="8830"/>
      </w:tblGrid>
      <w:tr w:rsidR="00857370" w14:paraId="16AEB0A1" w14:textId="77777777" w:rsidTr="00602923">
        <w:tc>
          <w:tcPr>
            <w:tcW w:w="8828" w:type="dxa"/>
          </w:tcPr>
          <w:bookmarkEnd w:id="0"/>
          <w:p w14:paraId="00A0A04D" w14:textId="735B3377" w:rsidR="00857370" w:rsidRDefault="0043630C" w:rsidP="00602923">
            <w:r>
              <w:fldChar w:fldCharType="begin"/>
            </w:r>
            <w:r>
              <w:instrText xml:space="preserve"> HYPERLINK "</w:instrText>
            </w:r>
            <w:r w:rsidRPr="00531AF4">
              <w:instrText>https://samairj.consejodeestado.gov.co/Vistas/Casos/list_procesos.aspx?guid=150012333000202200409001500123</w:instrText>
            </w:r>
            <w:r>
              <w:instrText xml:space="preserve">" </w:instrText>
            </w:r>
            <w:r>
              <w:fldChar w:fldCharType="separate"/>
            </w:r>
            <w:r w:rsidRPr="00042AD9">
              <w:rPr>
                <w:rStyle w:val="Hipervnculo"/>
              </w:rPr>
              <w:t>https://samairj.consejodeestado.gov.co/Vistas/Casos/list_procesos.aspx?guid=150012333000202200409001500123</w:t>
            </w:r>
            <w:r>
              <w:fldChar w:fldCharType="end"/>
            </w:r>
          </w:p>
          <w:p w14:paraId="02191105" w14:textId="09BBB1CC" w:rsidR="0043630C" w:rsidRDefault="0043630C" w:rsidP="00602923"/>
        </w:tc>
      </w:tr>
      <w:bookmarkEnd w:id="1"/>
    </w:tbl>
    <w:p w14:paraId="46BAD2BA" w14:textId="77777777" w:rsidR="00857370" w:rsidRDefault="00857370" w:rsidP="00857370"/>
    <w:p w14:paraId="0AC3752E" w14:textId="77777777" w:rsidR="001865A0" w:rsidRPr="001865A0" w:rsidRDefault="001865A0" w:rsidP="00CA7984">
      <w:pPr>
        <w:rPr>
          <w:rFonts w:ascii="Arial" w:hAnsi="Arial" w:cs="Arial"/>
          <w:bCs/>
          <w:iCs/>
        </w:rPr>
      </w:pPr>
      <w:bookmarkStart w:id="4" w:name="_GoBack"/>
      <w:bookmarkEnd w:id="2"/>
      <w:bookmarkEnd w:id="3"/>
      <w:bookmarkEnd w:id="4"/>
    </w:p>
    <w:p w14:paraId="68DBB29A" w14:textId="77777777" w:rsidR="001865A0" w:rsidRPr="001865A0" w:rsidRDefault="001865A0" w:rsidP="00CA7984">
      <w:pPr>
        <w:rPr>
          <w:rFonts w:ascii="Arial" w:hAnsi="Arial" w:cs="Arial"/>
          <w:bCs/>
          <w:iCs/>
        </w:rPr>
      </w:pPr>
    </w:p>
    <w:p w14:paraId="462992C9" w14:textId="07732EEB" w:rsidR="004F5C5A" w:rsidRPr="001865A0" w:rsidRDefault="004F5C5A" w:rsidP="00CA7984">
      <w:pPr>
        <w:rPr>
          <w:rFonts w:ascii="Arial" w:hAnsi="Arial" w:cs="Arial"/>
          <w:bCs/>
          <w:iCs/>
        </w:rPr>
      </w:pPr>
      <w:r w:rsidRPr="001865A0">
        <w:rPr>
          <w:rFonts w:ascii="Arial" w:hAnsi="Arial" w:cs="Arial"/>
          <w:bCs/>
          <w:iCs/>
        </w:rPr>
        <w:t xml:space="preserve">Tunja, </w:t>
      </w:r>
      <w:r w:rsidR="00E97468" w:rsidRPr="001865A0">
        <w:rPr>
          <w:rFonts w:ascii="Arial" w:hAnsi="Arial" w:cs="Arial"/>
          <w:bCs/>
          <w:iCs/>
        </w:rPr>
        <w:t>2 de septiembre de 2022</w:t>
      </w:r>
    </w:p>
    <w:p w14:paraId="44F25AB2" w14:textId="77777777" w:rsidR="00CA7984" w:rsidRPr="001865A0" w:rsidRDefault="00CA7984" w:rsidP="00CA7984">
      <w:pPr>
        <w:rPr>
          <w:rFonts w:ascii="Arial" w:hAnsi="Arial" w:cs="Arial"/>
          <w:bCs/>
          <w:iCs/>
        </w:rPr>
      </w:pPr>
    </w:p>
    <w:p w14:paraId="1FB37BEF" w14:textId="034CFDAE" w:rsidR="00295837" w:rsidRPr="001865A0" w:rsidRDefault="00295837" w:rsidP="00CA7984">
      <w:pPr>
        <w:rPr>
          <w:rFonts w:ascii="Arial" w:hAnsi="Arial" w:cs="Arial"/>
          <w:bCs/>
          <w:iCs/>
        </w:rPr>
      </w:pPr>
    </w:p>
    <w:tbl>
      <w:tblPr>
        <w:tblStyle w:val="Tablaconcuadrcula"/>
        <w:tblW w:w="8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5"/>
        <w:gridCol w:w="1553"/>
        <w:gridCol w:w="5372"/>
      </w:tblGrid>
      <w:tr w:rsidR="00295837" w:rsidRPr="001865A0" w14:paraId="605C824F" w14:textId="77777777" w:rsidTr="2B7B4C60">
        <w:tc>
          <w:tcPr>
            <w:tcW w:w="1905" w:type="dxa"/>
          </w:tcPr>
          <w:p w14:paraId="45061AB8" w14:textId="1B484781" w:rsidR="00295837" w:rsidRPr="001865A0" w:rsidRDefault="00295837" w:rsidP="00CA7984">
            <w:pPr>
              <w:rPr>
                <w:rFonts w:ascii="Arial" w:hAnsi="Arial" w:cs="Arial"/>
                <w:bCs/>
                <w:iCs/>
              </w:rPr>
            </w:pPr>
            <w:r w:rsidRPr="001865A0">
              <w:rPr>
                <w:rFonts w:ascii="Arial" w:hAnsi="Arial" w:cs="Arial"/>
                <w:bCs/>
                <w:iCs/>
              </w:rPr>
              <w:t>Asunto</w:t>
            </w:r>
          </w:p>
        </w:tc>
        <w:tc>
          <w:tcPr>
            <w:tcW w:w="1553" w:type="dxa"/>
          </w:tcPr>
          <w:p w14:paraId="163BE4D4" w14:textId="3EEBE6AC" w:rsidR="00295837" w:rsidRPr="001865A0" w:rsidRDefault="00295837" w:rsidP="00CA7984">
            <w:pPr>
              <w:jc w:val="center"/>
              <w:rPr>
                <w:rFonts w:ascii="Arial" w:hAnsi="Arial" w:cs="Arial"/>
                <w:bCs/>
                <w:iCs/>
              </w:rPr>
            </w:pPr>
            <w:r w:rsidRPr="001865A0">
              <w:rPr>
                <w:rFonts w:ascii="Arial" w:hAnsi="Arial" w:cs="Arial"/>
                <w:bCs/>
                <w:iCs/>
              </w:rPr>
              <w:t>:</w:t>
            </w:r>
          </w:p>
        </w:tc>
        <w:tc>
          <w:tcPr>
            <w:tcW w:w="5372" w:type="dxa"/>
          </w:tcPr>
          <w:p w14:paraId="12C666A5" w14:textId="2A38B3D1" w:rsidR="00295837" w:rsidRPr="001865A0" w:rsidRDefault="00295837" w:rsidP="00CA7984">
            <w:pPr>
              <w:rPr>
                <w:rFonts w:ascii="Arial" w:hAnsi="Arial" w:cs="Arial"/>
                <w:b/>
                <w:iCs/>
              </w:rPr>
            </w:pPr>
            <w:r w:rsidRPr="001865A0">
              <w:rPr>
                <w:rFonts w:ascii="Arial" w:hAnsi="Arial" w:cs="Arial"/>
                <w:b/>
                <w:iCs/>
              </w:rPr>
              <w:t xml:space="preserve">Conflicto de competencia </w:t>
            </w:r>
          </w:p>
        </w:tc>
      </w:tr>
      <w:tr w:rsidR="00295837" w:rsidRPr="001865A0" w14:paraId="0E2A8401" w14:textId="77777777" w:rsidTr="2B7B4C60">
        <w:tc>
          <w:tcPr>
            <w:tcW w:w="1905" w:type="dxa"/>
          </w:tcPr>
          <w:p w14:paraId="57FFFDA5" w14:textId="37872E44" w:rsidR="00295837" w:rsidRPr="001865A0" w:rsidRDefault="00295837" w:rsidP="00CA7984">
            <w:pPr>
              <w:rPr>
                <w:rFonts w:ascii="Arial" w:hAnsi="Arial" w:cs="Arial"/>
                <w:bCs/>
                <w:iCs/>
              </w:rPr>
            </w:pPr>
            <w:r w:rsidRPr="001865A0">
              <w:rPr>
                <w:rFonts w:ascii="Arial" w:hAnsi="Arial" w:cs="Arial"/>
                <w:bCs/>
                <w:iCs/>
              </w:rPr>
              <w:t>Solicitantes</w:t>
            </w:r>
          </w:p>
        </w:tc>
        <w:tc>
          <w:tcPr>
            <w:tcW w:w="1553" w:type="dxa"/>
          </w:tcPr>
          <w:p w14:paraId="12B280D4" w14:textId="2C172C0E" w:rsidR="00295837" w:rsidRPr="001865A0" w:rsidRDefault="0C0FD0CC" w:rsidP="2B7B4C60">
            <w:pPr>
              <w:jc w:val="center"/>
              <w:rPr>
                <w:rFonts w:ascii="Arial" w:hAnsi="Arial" w:cs="Arial"/>
              </w:rPr>
            </w:pPr>
            <w:r w:rsidRPr="001865A0">
              <w:rPr>
                <w:rFonts w:ascii="Arial" w:hAnsi="Arial" w:cs="Arial"/>
              </w:rPr>
              <w:t>:</w:t>
            </w:r>
          </w:p>
        </w:tc>
        <w:tc>
          <w:tcPr>
            <w:tcW w:w="5372" w:type="dxa"/>
          </w:tcPr>
          <w:p w14:paraId="444EA5D9" w14:textId="0C09DC60" w:rsidR="00295837" w:rsidRPr="001865A0" w:rsidRDefault="00295837" w:rsidP="00CA7984">
            <w:pPr>
              <w:rPr>
                <w:rFonts w:ascii="Arial" w:hAnsi="Arial" w:cs="Arial"/>
                <w:b/>
                <w:iCs/>
              </w:rPr>
            </w:pPr>
            <w:r w:rsidRPr="001865A0">
              <w:rPr>
                <w:rFonts w:ascii="Arial" w:hAnsi="Arial" w:cs="Arial"/>
                <w:b/>
                <w:iCs/>
              </w:rPr>
              <w:t xml:space="preserve">Juzgado Quinto Administrativo de Tunja </w:t>
            </w:r>
          </w:p>
          <w:p w14:paraId="65050F58" w14:textId="577ED274" w:rsidR="00295837" w:rsidRPr="001865A0" w:rsidRDefault="00295837" w:rsidP="00CA7984">
            <w:pPr>
              <w:rPr>
                <w:rFonts w:ascii="Arial" w:hAnsi="Arial" w:cs="Arial"/>
                <w:b/>
                <w:iCs/>
              </w:rPr>
            </w:pPr>
            <w:r w:rsidRPr="001865A0">
              <w:rPr>
                <w:rFonts w:ascii="Arial" w:hAnsi="Arial" w:cs="Arial"/>
                <w:b/>
                <w:iCs/>
              </w:rPr>
              <w:t xml:space="preserve">Juzgado tercero Administrativo de Duitama </w:t>
            </w:r>
          </w:p>
        </w:tc>
      </w:tr>
      <w:tr w:rsidR="00295837" w:rsidRPr="001865A0" w14:paraId="2EEC401E" w14:textId="77777777" w:rsidTr="2B7B4C60">
        <w:tc>
          <w:tcPr>
            <w:tcW w:w="1905" w:type="dxa"/>
          </w:tcPr>
          <w:p w14:paraId="1016D676" w14:textId="4E08D6F2" w:rsidR="00295837" w:rsidRPr="001865A0" w:rsidRDefault="00295837" w:rsidP="00CA7984">
            <w:pPr>
              <w:rPr>
                <w:rFonts w:ascii="Arial" w:hAnsi="Arial" w:cs="Arial"/>
                <w:bCs/>
                <w:iCs/>
              </w:rPr>
            </w:pPr>
            <w:r w:rsidRPr="001865A0">
              <w:rPr>
                <w:rFonts w:ascii="Arial" w:hAnsi="Arial" w:cs="Arial"/>
                <w:bCs/>
                <w:iCs/>
              </w:rPr>
              <w:t>Radicado</w:t>
            </w:r>
          </w:p>
        </w:tc>
        <w:tc>
          <w:tcPr>
            <w:tcW w:w="1553" w:type="dxa"/>
          </w:tcPr>
          <w:p w14:paraId="572E13E7" w14:textId="3DD65213" w:rsidR="00295837" w:rsidRPr="001865A0" w:rsidRDefault="00295837" w:rsidP="00CA7984">
            <w:pPr>
              <w:jc w:val="center"/>
              <w:rPr>
                <w:rFonts w:ascii="Arial" w:hAnsi="Arial" w:cs="Arial"/>
                <w:bCs/>
                <w:iCs/>
              </w:rPr>
            </w:pPr>
            <w:r w:rsidRPr="001865A0">
              <w:rPr>
                <w:rFonts w:ascii="Arial" w:hAnsi="Arial" w:cs="Arial"/>
                <w:bCs/>
                <w:iCs/>
              </w:rPr>
              <w:t>:</w:t>
            </w:r>
          </w:p>
        </w:tc>
        <w:tc>
          <w:tcPr>
            <w:tcW w:w="5372" w:type="dxa"/>
          </w:tcPr>
          <w:p w14:paraId="1DBE771C" w14:textId="3B541170" w:rsidR="00295837" w:rsidRPr="001865A0" w:rsidRDefault="00295837" w:rsidP="00CA7984">
            <w:pPr>
              <w:rPr>
                <w:rFonts w:ascii="Arial" w:hAnsi="Arial" w:cs="Arial"/>
                <w:b/>
                <w:iCs/>
              </w:rPr>
            </w:pPr>
            <w:r w:rsidRPr="001865A0">
              <w:rPr>
                <w:rFonts w:ascii="Arial" w:hAnsi="Arial" w:cs="Arial"/>
                <w:b/>
                <w:iCs/>
              </w:rPr>
              <w:t>15001-23-33-000-2022-00409-00</w:t>
            </w:r>
          </w:p>
        </w:tc>
      </w:tr>
    </w:tbl>
    <w:p w14:paraId="3BAC9F6E" w14:textId="77777777" w:rsidR="00295837" w:rsidRPr="001865A0" w:rsidRDefault="00295837" w:rsidP="00CA7984">
      <w:pPr>
        <w:rPr>
          <w:rFonts w:ascii="Arial" w:hAnsi="Arial" w:cs="Arial"/>
          <w:bCs/>
          <w:iCs/>
        </w:rPr>
      </w:pPr>
    </w:p>
    <w:p w14:paraId="4B7C2CFC" w14:textId="77777777" w:rsidR="00CA7984" w:rsidRPr="001865A0" w:rsidRDefault="00CA7984" w:rsidP="00CA7984">
      <w:pPr>
        <w:jc w:val="both"/>
        <w:rPr>
          <w:rFonts w:ascii="Arial" w:hAnsi="Arial" w:cs="Arial"/>
          <w:bCs/>
          <w:iCs/>
        </w:rPr>
      </w:pPr>
    </w:p>
    <w:p w14:paraId="6FEB9480" w14:textId="1027372B" w:rsidR="004F5C5A" w:rsidRPr="001865A0" w:rsidRDefault="004F5C5A" w:rsidP="00CA7984">
      <w:pPr>
        <w:jc w:val="both"/>
        <w:rPr>
          <w:rFonts w:ascii="Arial" w:hAnsi="Arial" w:cs="Arial"/>
          <w:bCs/>
          <w:iCs/>
        </w:rPr>
      </w:pPr>
      <w:r w:rsidRPr="001865A0">
        <w:rPr>
          <w:rFonts w:ascii="Arial" w:hAnsi="Arial" w:cs="Arial"/>
          <w:bCs/>
          <w:iCs/>
        </w:rPr>
        <w:t xml:space="preserve">Magistrado ponente: </w:t>
      </w:r>
      <w:r w:rsidRPr="001865A0">
        <w:rPr>
          <w:rFonts w:ascii="Arial" w:hAnsi="Arial" w:cs="Arial"/>
          <w:b/>
          <w:bCs/>
          <w:iCs/>
        </w:rPr>
        <w:t>Luis Ernesto Arciniegas Triana</w:t>
      </w:r>
    </w:p>
    <w:p w14:paraId="3BACF39A" w14:textId="77777777" w:rsidR="004F5C5A" w:rsidRPr="001865A0" w:rsidRDefault="004F5C5A" w:rsidP="004F5C5A">
      <w:pPr>
        <w:spacing w:line="360" w:lineRule="auto"/>
        <w:ind w:right="920"/>
        <w:jc w:val="both"/>
        <w:rPr>
          <w:rFonts w:ascii="Arial" w:hAnsi="Arial" w:cs="Arial"/>
          <w:bCs/>
          <w:iCs/>
        </w:rPr>
      </w:pPr>
    </w:p>
    <w:p w14:paraId="750A3395" w14:textId="753AC41C" w:rsidR="00BC02C4" w:rsidRPr="001865A0" w:rsidRDefault="00BC02C4" w:rsidP="2B7B4C60">
      <w:pPr>
        <w:spacing w:line="360" w:lineRule="auto"/>
        <w:jc w:val="both"/>
        <w:rPr>
          <w:rFonts w:ascii="Arial" w:hAnsi="Arial" w:cs="Arial"/>
          <w:color w:val="000000"/>
        </w:rPr>
      </w:pPr>
      <w:r w:rsidRPr="001865A0">
        <w:rPr>
          <w:rFonts w:ascii="Arial" w:hAnsi="Arial" w:cs="Arial"/>
          <w:color w:val="000000" w:themeColor="text1"/>
        </w:rPr>
        <w:t xml:space="preserve">Decide </w:t>
      </w:r>
      <w:r w:rsidR="00295837" w:rsidRPr="001865A0">
        <w:rPr>
          <w:rFonts w:ascii="Arial" w:hAnsi="Arial" w:cs="Arial"/>
          <w:color w:val="000000" w:themeColor="text1"/>
        </w:rPr>
        <w:t xml:space="preserve">el </w:t>
      </w:r>
      <w:r w:rsidR="3F0C5F63" w:rsidRPr="001865A0">
        <w:rPr>
          <w:rFonts w:ascii="Arial" w:hAnsi="Arial" w:cs="Arial"/>
          <w:color w:val="000000" w:themeColor="text1"/>
        </w:rPr>
        <w:t>d</w:t>
      </w:r>
      <w:r w:rsidR="00295837" w:rsidRPr="001865A0">
        <w:rPr>
          <w:rFonts w:ascii="Arial" w:hAnsi="Arial" w:cs="Arial"/>
          <w:color w:val="000000" w:themeColor="text1"/>
        </w:rPr>
        <w:t>espacho</w:t>
      </w:r>
      <w:r w:rsidRPr="001865A0">
        <w:rPr>
          <w:rFonts w:ascii="Arial" w:hAnsi="Arial" w:cs="Arial"/>
          <w:color w:val="000000" w:themeColor="text1"/>
        </w:rPr>
        <w:t xml:space="preserve"> el</w:t>
      </w:r>
      <w:r w:rsidRPr="001865A0">
        <w:rPr>
          <w:rFonts w:ascii="Arial" w:hAnsi="Arial" w:cs="Arial"/>
          <w:b/>
          <w:bCs/>
          <w:color w:val="000000" w:themeColor="text1"/>
        </w:rPr>
        <w:t xml:space="preserve"> conflicto negativo de competencia</w:t>
      </w:r>
      <w:r w:rsidRPr="001865A0">
        <w:rPr>
          <w:rFonts w:ascii="Arial" w:hAnsi="Arial" w:cs="Arial"/>
          <w:color w:val="000000" w:themeColor="text1"/>
        </w:rPr>
        <w:t xml:space="preserve"> </w:t>
      </w:r>
      <w:r w:rsidR="00295837" w:rsidRPr="001865A0">
        <w:rPr>
          <w:rFonts w:ascii="Arial" w:hAnsi="Arial" w:cs="Arial"/>
          <w:color w:val="000000" w:themeColor="text1"/>
        </w:rPr>
        <w:t xml:space="preserve">suscitado entre el </w:t>
      </w:r>
      <w:r w:rsidRPr="001865A0">
        <w:rPr>
          <w:rFonts w:ascii="Arial" w:hAnsi="Arial" w:cs="Arial"/>
          <w:color w:val="000000" w:themeColor="text1"/>
        </w:rPr>
        <w:t xml:space="preserve">Juzgado </w:t>
      </w:r>
      <w:r w:rsidR="00295837" w:rsidRPr="001865A0">
        <w:rPr>
          <w:rFonts w:ascii="Arial" w:hAnsi="Arial" w:cs="Arial"/>
          <w:color w:val="000000" w:themeColor="text1"/>
        </w:rPr>
        <w:t xml:space="preserve">Quinto </w:t>
      </w:r>
      <w:r w:rsidRPr="001865A0">
        <w:rPr>
          <w:rFonts w:ascii="Arial" w:hAnsi="Arial" w:cs="Arial"/>
          <w:color w:val="000000" w:themeColor="text1"/>
        </w:rPr>
        <w:t xml:space="preserve">Administrativo de Oralidad del Circuito </w:t>
      </w:r>
      <w:r w:rsidR="00B86DD6" w:rsidRPr="001865A0">
        <w:rPr>
          <w:rFonts w:ascii="Arial" w:hAnsi="Arial" w:cs="Arial"/>
          <w:color w:val="000000" w:themeColor="text1"/>
        </w:rPr>
        <w:t>J</w:t>
      </w:r>
      <w:r w:rsidRPr="001865A0">
        <w:rPr>
          <w:rFonts w:ascii="Arial" w:hAnsi="Arial" w:cs="Arial"/>
          <w:color w:val="000000" w:themeColor="text1"/>
        </w:rPr>
        <w:t xml:space="preserve">udicial de </w:t>
      </w:r>
      <w:r w:rsidR="00E90753" w:rsidRPr="001865A0">
        <w:rPr>
          <w:rFonts w:ascii="Arial" w:hAnsi="Arial" w:cs="Arial"/>
          <w:color w:val="000000" w:themeColor="text1"/>
        </w:rPr>
        <w:t>Tunja</w:t>
      </w:r>
      <w:r w:rsidR="00295837" w:rsidRPr="001865A0">
        <w:rPr>
          <w:rFonts w:ascii="Arial" w:hAnsi="Arial" w:cs="Arial"/>
          <w:color w:val="000000" w:themeColor="text1"/>
        </w:rPr>
        <w:t xml:space="preserve"> y el Juzgado Tercero Administrativo de Duitama, </w:t>
      </w:r>
      <w:r w:rsidRPr="001865A0">
        <w:rPr>
          <w:rFonts w:ascii="Arial" w:hAnsi="Arial" w:cs="Arial"/>
          <w:color w:val="000000" w:themeColor="text1"/>
        </w:rPr>
        <w:t xml:space="preserve">mediante providencia del </w:t>
      </w:r>
      <w:r w:rsidR="00295837" w:rsidRPr="001865A0">
        <w:rPr>
          <w:rFonts w:ascii="Arial" w:hAnsi="Arial" w:cs="Arial"/>
          <w:color w:val="000000" w:themeColor="text1"/>
        </w:rPr>
        <w:t xml:space="preserve">30 </w:t>
      </w:r>
      <w:r w:rsidR="00B86DD6" w:rsidRPr="001865A0">
        <w:rPr>
          <w:rFonts w:ascii="Arial" w:hAnsi="Arial" w:cs="Arial"/>
          <w:color w:val="000000" w:themeColor="text1"/>
        </w:rPr>
        <w:t xml:space="preserve">de </w:t>
      </w:r>
      <w:r w:rsidR="00295837" w:rsidRPr="001865A0">
        <w:rPr>
          <w:rFonts w:ascii="Arial" w:hAnsi="Arial" w:cs="Arial"/>
          <w:color w:val="000000" w:themeColor="text1"/>
        </w:rPr>
        <w:t xml:space="preserve">junio </w:t>
      </w:r>
      <w:r w:rsidR="00B86DD6" w:rsidRPr="001865A0">
        <w:rPr>
          <w:rFonts w:ascii="Arial" w:hAnsi="Arial" w:cs="Arial"/>
          <w:color w:val="000000" w:themeColor="text1"/>
        </w:rPr>
        <w:t xml:space="preserve">de </w:t>
      </w:r>
      <w:r w:rsidR="00295837" w:rsidRPr="001865A0">
        <w:rPr>
          <w:rFonts w:ascii="Arial" w:hAnsi="Arial" w:cs="Arial"/>
          <w:color w:val="000000" w:themeColor="text1"/>
        </w:rPr>
        <w:t xml:space="preserve">2022 </w:t>
      </w:r>
      <w:r w:rsidRPr="001865A0">
        <w:rPr>
          <w:rFonts w:ascii="Arial" w:hAnsi="Arial" w:cs="Arial"/>
          <w:color w:val="000000" w:themeColor="text1"/>
        </w:rPr>
        <w:t>(</w:t>
      </w:r>
      <w:r w:rsidR="00295837" w:rsidRPr="001865A0">
        <w:rPr>
          <w:rFonts w:ascii="Arial" w:hAnsi="Arial" w:cs="Arial"/>
          <w:color w:val="000000" w:themeColor="text1"/>
        </w:rPr>
        <w:t>anexo 001</w:t>
      </w:r>
      <w:r w:rsidRPr="001865A0">
        <w:rPr>
          <w:rFonts w:ascii="Arial" w:hAnsi="Arial" w:cs="Arial"/>
          <w:color w:val="000000" w:themeColor="text1"/>
        </w:rPr>
        <w:t xml:space="preserve">) en relación con la demanda de </w:t>
      </w:r>
      <w:r w:rsidR="00B86DD6" w:rsidRPr="001865A0">
        <w:rPr>
          <w:rFonts w:ascii="Arial" w:hAnsi="Arial" w:cs="Arial"/>
          <w:color w:val="000000" w:themeColor="text1"/>
        </w:rPr>
        <w:t>nulidad y restablecimiento del derecho</w:t>
      </w:r>
      <w:r w:rsidR="00E90753" w:rsidRPr="001865A0">
        <w:rPr>
          <w:rFonts w:ascii="Arial" w:hAnsi="Arial" w:cs="Arial"/>
          <w:color w:val="000000" w:themeColor="text1"/>
        </w:rPr>
        <w:t xml:space="preserve"> </w:t>
      </w:r>
      <w:r w:rsidRPr="001865A0">
        <w:rPr>
          <w:rFonts w:ascii="Arial" w:hAnsi="Arial" w:cs="Arial"/>
          <w:color w:val="000000" w:themeColor="text1"/>
        </w:rPr>
        <w:t>presentada</w:t>
      </w:r>
      <w:r w:rsidR="00D33E43" w:rsidRPr="001865A0">
        <w:rPr>
          <w:rFonts w:ascii="Arial" w:hAnsi="Arial" w:cs="Arial"/>
          <w:color w:val="000000" w:themeColor="text1"/>
        </w:rPr>
        <w:t xml:space="preserve"> </w:t>
      </w:r>
      <w:r w:rsidRPr="001865A0">
        <w:rPr>
          <w:rFonts w:ascii="Arial" w:hAnsi="Arial" w:cs="Arial"/>
          <w:color w:val="000000" w:themeColor="text1"/>
        </w:rPr>
        <w:t xml:space="preserve">por </w:t>
      </w:r>
      <w:r w:rsidR="00295837" w:rsidRPr="001865A0">
        <w:rPr>
          <w:rFonts w:ascii="Arial" w:hAnsi="Arial" w:cs="Arial"/>
          <w:color w:val="000000" w:themeColor="text1"/>
        </w:rPr>
        <w:t xml:space="preserve">la </w:t>
      </w:r>
      <w:r w:rsidR="00B86DD6" w:rsidRPr="001865A0">
        <w:rPr>
          <w:rFonts w:ascii="Arial" w:hAnsi="Arial" w:cs="Arial"/>
          <w:color w:val="000000" w:themeColor="text1"/>
        </w:rPr>
        <w:t>señor</w:t>
      </w:r>
      <w:r w:rsidR="00295837" w:rsidRPr="001865A0">
        <w:rPr>
          <w:rFonts w:ascii="Arial" w:hAnsi="Arial" w:cs="Arial"/>
          <w:color w:val="000000" w:themeColor="text1"/>
        </w:rPr>
        <w:t>a Zita María Hernández Díaz.</w:t>
      </w:r>
    </w:p>
    <w:p w14:paraId="2CE72351" w14:textId="77777777" w:rsidR="00E97468" w:rsidRPr="001865A0" w:rsidRDefault="00E97468" w:rsidP="00CA7984">
      <w:pPr>
        <w:spacing w:line="360" w:lineRule="auto"/>
        <w:jc w:val="center"/>
        <w:rPr>
          <w:rFonts w:ascii="Arial" w:hAnsi="Arial" w:cs="Arial"/>
          <w:b/>
          <w:color w:val="000000"/>
        </w:rPr>
      </w:pPr>
    </w:p>
    <w:p w14:paraId="2E60C597" w14:textId="6D2E8668" w:rsidR="00BC02C4" w:rsidRPr="001865A0" w:rsidRDefault="00BC02C4" w:rsidP="00CA7984">
      <w:pPr>
        <w:spacing w:line="360" w:lineRule="auto"/>
        <w:jc w:val="center"/>
        <w:rPr>
          <w:rFonts w:ascii="Arial" w:hAnsi="Arial" w:cs="Arial"/>
          <w:b/>
          <w:color w:val="000000"/>
        </w:rPr>
      </w:pPr>
      <w:r w:rsidRPr="001865A0">
        <w:rPr>
          <w:rFonts w:ascii="Arial" w:hAnsi="Arial" w:cs="Arial"/>
          <w:b/>
          <w:color w:val="000000"/>
        </w:rPr>
        <w:t>I. ANTECEDENTES</w:t>
      </w:r>
    </w:p>
    <w:p w14:paraId="51890806" w14:textId="77777777" w:rsidR="00BC02C4" w:rsidRPr="001865A0" w:rsidRDefault="00BC02C4" w:rsidP="00CA7984">
      <w:pPr>
        <w:tabs>
          <w:tab w:val="left" w:pos="4723"/>
        </w:tabs>
        <w:spacing w:line="360" w:lineRule="auto"/>
        <w:jc w:val="both"/>
        <w:rPr>
          <w:rFonts w:ascii="Arial" w:hAnsi="Arial" w:cs="Arial"/>
          <w:color w:val="FF0000"/>
        </w:rPr>
      </w:pPr>
      <w:r w:rsidRPr="001865A0">
        <w:rPr>
          <w:rFonts w:ascii="Arial" w:hAnsi="Arial" w:cs="Arial"/>
          <w:color w:val="FF0000"/>
        </w:rPr>
        <w:tab/>
      </w:r>
    </w:p>
    <w:p w14:paraId="1644AC6E" w14:textId="7E8F04C1" w:rsidR="001C2CF3" w:rsidRPr="001865A0" w:rsidRDefault="00D33E43" w:rsidP="00CA7984">
      <w:pPr>
        <w:spacing w:line="360" w:lineRule="auto"/>
        <w:jc w:val="both"/>
        <w:rPr>
          <w:rFonts w:ascii="Arial" w:hAnsi="Arial" w:cs="Arial"/>
        </w:rPr>
      </w:pPr>
      <w:r w:rsidRPr="001865A0">
        <w:rPr>
          <w:rFonts w:ascii="Arial" w:hAnsi="Arial" w:cs="Arial"/>
          <w:color w:val="000000" w:themeColor="text1"/>
        </w:rPr>
        <w:t xml:space="preserve">A través del medio de control de nulidad y restablecimiento del derecho, </w:t>
      </w:r>
      <w:r w:rsidR="001C2CF3" w:rsidRPr="001865A0">
        <w:rPr>
          <w:rFonts w:ascii="Arial" w:hAnsi="Arial" w:cs="Arial"/>
          <w:color w:val="000000" w:themeColor="text1"/>
        </w:rPr>
        <w:t xml:space="preserve">la </w:t>
      </w:r>
      <w:r w:rsidRPr="001865A0">
        <w:rPr>
          <w:rFonts w:ascii="Arial" w:hAnsi="Arial" w:cs="Arial"/>
          <w:color w:val="000000" w:themeColor="text1"/>
        </w:rPr>
        <w:t>señor</w:t>
      </w:r>
      <w:r w:rsidR="001C2CF3" w:rsidRPr="001865A0">
        <w:rPr>
          <w:rFonts w:ascii="Arial" w:hAnsi="Arial" w:cs="Arial"/>
          <w:color w:val="000000" w:themeColor="text1"/>
        </w:rPr>
        <w:t xml:space="preserve">a Zita María Hernández Díaz por intermedio de apoderada, pretende </w:t>
      </w:r>
      <w:r w:rsidRPr="001865A0">
        <w:rPr>
          <w:rFonts w:ascii="Arial" w:hAnsi="Arial" w:cs="Arial"/>
          <w:color w:val="000000" w:themeColor="text1"/>
        </w:rPr>
        <w:t xml:space="preserve">se declare </w:t>
      </w:r>
      <w:r w:rsidRPr="001865A0">
        <w:rPr>
          <w:rFonts w:ascii="Arial" w:hAnsi="Arial" w:cs="Arial"/>
        </w:rPr>
        <w:t>la nulidad de</w:t>
      </w:r>
      <w:r w:rsidR="001C2CF3" w:rsidRPr="001865A0">
        <w:rPr>
          <w:rFonts w:ascii="Arial" w:hAnsi="Arial" w:cs="Arial"/>
        </w:rPr>
        <w:t xml:space="preserve">l acto administrativo BOY2021EE027323 de fecha 25 de agosto de 2021, </w:t>
      </w:r>
      <w:r w:rsidRPr="001865A0">
        <w:rPr>
          <w:rFonts w:ascii="Arial" w:hAnsi="Arial" w:cs="Arial"/>
        </w:rPr>
        <w:t>por medio de</w:t>
      </w:r>
      <w:r w:rsidR="001C2CF3" w:rsidRPr="001865A0">
        <w:rPr>
          <w:rFonts w:ascii="Arial" w:hAnsi="Arial" w:cs="Arial"/>
        </w:rPr>
        <w:t xml:space="preserve">l cual le </w:t>
      </w:r>
      <w:r w:rsidR="001C2CF3" w:rsidRPr="001865A0">
        <w:rPr>
          <w:rFonts w:ascii="Arial" w:hAnsi="Arial" w:cs="Arial"/>
          <w:b/>
          <w:bCs/>
        </w:rPr>
        <w:t>niega el reconocimiento y pago de la sanción por mora,</w:t>
      </w:r>
      <w:r w:rsidR="001C2CF3" w:rsidRPr="001865A0">
        <w:rPr>
          <w:rFonts w:ascii="Arial" w:hAnsi="Arial" w:cs="Arial"/>
        </w:rPr>
        <w:t xml:space="preserve"> por la no consignación oportuna de las cesantías establecida en la Ley 50 de 1990, artículo 99, equivalente a un (1) día de su salario por cada día de retardo, contados desde el 15 de febrero de 2021 fecha en que debió efectuarse el pago de las cesantías del año 2020 en el respectivo Fondo, así como también</w:t>
      </w:r>
      <w:r w:rsidR="5C6531FB" w:rsidRPr="001865A0">
        <w:rPr>
          <w:rFonts w:ascii="Arial" w:hAnsi="Arial" w:cs="Arial"/>
        </w:rPr>
        <w:t xml:space="preserve"> porque le</w:t>
      </w:r>
      <w:r w:rsidR="001C2CF3" w:rsidRPr="001865A0">
        <w:rPr>
          <w:rFonts w:ascii="Arial" w:hAnsi="Arial" w:cs="Arial"/>
        </w:rPr>
        <w:t xml:space="preserve"> niegan el derecho a la INDEMNIZACIÓN, por el pago tardío de los intereses a las cesantías, que se encuentra establecida en el artículo 1 de la Ley 52 de 1975, la Ley 50 de 1990 y el Decreto Nacional 1176 de 1991, indemnización que es equivalente al valor cancelado de los intereses causados durante el año 2020, los cuales fueron cancelados superado el término legal, esto es, después del 31 de enero de 2021.</w:t>
      </w:r>
    </w:p>
    <w:p w14:paraId="2FDB8D8E" w14:textId="14D247FF" w:rsidR="001C2CF3" w:rsidRPr="001865A0" w:rsidRDefault="001C2CF3" w:rsidP="00CA7984">
      <w:pPr>
        <w:spacing w:line="360" w:lineRule="auto"/>
        <w:jc w:val="both"/>
        <w:rPr>
          <w:rFonts w:ascii="Arial" w:hAnsi="Arial" w:cs="Arial"/>
        </w:rPr>
      </w:pPr>
    </w:p>
    <w:p w14:paraId="680E974B" w14:textId="6397C1C3" w:rsidR="0085080D" w:rsidRPr="001865A0" w:rsidRDefault="005F6560" w:rsidP="00CA7984">
      <w:pPr>
        <w:spacing w:line="360" w:lineRule="auto"/>
        <w:jc w:val="center"/>
        <w:rPr>
          <w:rFonts w:ascii="Arial" w:hAnsi="Arial" w:cs="Arial"/>
          <w:b/>
          <w:color w:val="000000"/>
        </w:rPr>
      </w:pPr>
      <w:r w:rsidRPr="001865A0">
        <w:rPr>
          <w:rFonts w:ascii="Arial" w:hAnsi="Arial" w:cs="Arial"/>
          <w:b/>
          <w:color w:val="000000"/>
        </w:rPr>
        <w:t>TRÁMITE PROCESAL</w:t>
      </w:r>
    </w:p>
    <w:p w14:paraId="12CF038C" w14:textId="77777777" w:rsidR="00BC02C4" w:rsidRPr="001865A0" w:rsidRDefault="00BC02C4" w:rsidP="00CA7984">
      <w:pPr>
        <w:spacing w:line="360" w:lineRule="auto"/>
        <w:jc w:val="both"/>
        <w:rPr>
          <w:rFonts w:ascii="Arial" w:hAnsi="Arial" w:cs="Arial"/>
          <w:color w:val="000000"/>
        </w:rPr>
      </w:pPr>
    </w:p>
    <w:p w14:paraId="2AC7C988" w14:textId="0906DE75" w:rsidR="00BC02C4" w:rsidRPr="001865A0" w:rsidRDefault="2B7B4C60" w:rsidP="2B7B4C60">
      <w:pPr>
        <w:overflowPunct w:val="0"/>
        <w:autoSpaceDE w:val="0"/>
        <w:autoSpaceDN w:val="0"/>
        <w:adjustRightInd w:val="0"/>
        <w:jc w:val="both"/>
        <w:textAlignment w:val="baseline"/>
        <w:rPr>
          <w:rFonts w:ascii="Arial" w:hAnsi="Arial" w:cs="Arial"/>
        </w:rPr>
      </w:pPr>
      <w:r w:rsidRPr="001865A0">
        <w:rPr>
          <w:rFonts w:ascii="Arial" w:hAnsi="Arial" w:cs="Arial"/>
          <w:b/>
          <w:bCs/>
        </w:rPr>
        <w:t xml:space="preserve">1. </w:t>
      </w:r>
      <w:r w:rsidR="00BC02C4" w:rsidRPr="001865A0">
        <w:rPr>
          <w:rFonts w:ascii="Arial" w:hAnsi="Arial" w:cs="Arial"/>
          <w:b/>
          <w:bCs/>
        </w:rPr>
        <w:t xml:space="preserve">Actuación del Juzgado </w:t>
      </w:r>
      <w:r w:rsidR="001C2CF3" w:rsidRPr="001865A0">
        <w:rPr>
          <w:rFonts w:ascii="Arial" w:hAnsi="Arial" w:cs="Arial"/>
          <w:b/>
          <w:bCs/>
        </w:rPr>
        <w:t>Tercero</w:t>
      </w:r>
      <w:r w:rsidR="005F6560" w:rsidRPr="001865A0">
        <w:rPr>
          <w:rFonts w:ascii="Arial" w:hAnsi="Arial" w:cs="Arial"/>
          <w:b/>
          <w:bCs/>
        </w:rPr>
        <w:t xml:space="preserve"> </w:t>
      </w:r>
      <w:r w:rsidR="00BC02C4" w:rsidRPr="001865A0">
        <w:rPr>
          <w:rFonts w:ascii="Arial" w:hAnsi="Arial" w:cs="Arial"/>
          <w:b/>
          <w:bCs/>
        </w:rPr>
        <w:t xml:space="preserve">Administrativo de Oralidad del Circuito Judicial de </w:t>
      </w:r>
      <w:r w:rsidR="001C2CF3" w:rsidRPr="001865A0">
        <w:rPr>
          <w:rFonts w:ascii="Arial" w:hAnsi="Arial" w:cs="Arial"/>
          <w:b/>
          <w:bCs/>
        </w:rPr>
        <w:t>Duitama</w:t>
      </w:r>
    </w:p>
    <w:p w14:paraId="4D8B3EAC" w14:textId="77777777" w:rsidR="00BC02C4" w:rsidRPr="001865A0" w:rsidRDefault="00BC02C4" w:rsidP="00CA7984">
      <w:pPr>
        <w:overflowPunct w:val="0"/>
        <w:autoSpaceDE w:val="0"/>
        <w:autoSpaceDN w:val="0"/>
        <w:adjustRightInd w:val="0"/>
        <w:spacing w:line="360" w:lineRule="auto"/>
        <w:jc w:val="both"/>
        <w:textAlignment w:val="baseline"/>
        <w:rPr>
          <w:rFonts w:ascii="Arial" w:hAnsi="Arial" w:cs="Arial"/>
          <w:lang w:val="es-ES_tradnl"/>
        </w:rPr>
      </w:pPr>
    </w:p>
    <w:p w14:paraId="62641BF0" w14:textId="21B81710" w:rsidR="001C2CF3" w:rsidRPr="001865A0" w:rsidRDefault="005F6560" w:rsidP="00CA7984">
      <w:pPr>
        <w:overflowPunct w:val="0"/>
        <w:autoSpaceDE w:val="0"/>
        <w:autoSpaceDN w:val="0"/>
        <w:adjustRightInd w:val="0"/>
        <w:spacing w:line="360" w:lineRule="auto"/>
        <w:jc w:val="both"/>
        <w:textAlignment w:val="baseline"/>
        <w:rPr>
          <w:rFonts w:ascii="Arial" w:hAnsi="Arial" w:cs="Arial"/>
        </w:rPr>
      </w:pPr>
      <w:r w:rsidRPr="001865A0">
        <w:rPr>
          <w:rFonts w:ascii="Arial" w:hAnsi="Arial" w:cs="Arial"/>
        </w:rPr>
        <w:t>La demanda correspondió</w:t>
      </w:r>
      <w:r w:rsidR="001C2CF3" w:rsidRPr="001865A0">
        <w:rPr>
          <w:rFonts w:ascii="Arial" w:hAnsi="Arial" w:cs="Arial"/>
        </w:rPr>
        <w:t xml:space="preserve"> según acta de reparto del 14 de marzo de 2022,</w:t>
      </w:r>
      <w:r w:rsidRPr="001865A0">
        <w:rPr>
          <w:rFonts w:ascii="Arial" w:hAnsi="Arial" w:cs="Arial"/>
        </w:rPr>
        <w:t xml:space="preserve"> al Juzgado </w:t>
      </w:r>
      <w:r w:rsidR="001C2CF3" w:rsidRPr="001865A0">
        <w:rPr>
          <w:rFonts w:ascii="Arial" w:hAnsi="Arial" w:cs="Arial"/>
        </w:rPr>
        <w:t xml:space="preserve">Tercero </w:t>
      </w:r>
      <w:r w:rsidRPr="001865A0">
        <w:rPr>
          <w:rFonts w:ascii="Arial" w:hAnsi="Arial" w:cs="Arial"/>
        </w:rPr>
        <w:t xml:space="preserve">Administrativo de </w:t>
      </w:r>
      <w:r w:rsidR="001C2CF3" w:rsidRPr="001865A0">
        <w:rPr>
          <w:rFonts w:ascii="Arial" w:hAnsi="Arial" w:cs="Arial"/>
        </w:rPr>
        <w:t xml:space="preserve">Duitama, </w:t>
      </w:r>
      <w:r w:rsidRPr="001865A0">
        <w:rPr>
          <w:rFonts w:ascii="Arial" w:hAnsi="Arial" w:cs="Arial"/>
        </w:rPr>
        <w:t>que m</w:t>
      </w:r>
      <w:r w:rsidR="00BC02C4" w:rsidRPr="001865A0">
        <w:rPr>
          <w:rFonts w:ascii="Arial" w:hAnsi="Arial" w:cs="Arial"/>
        </w:rPr>
        <w:t xml:space="preserve">ediante auto de fecha </w:t>
      </w:r>
      <w:r w:rsidR="001C2CF3" w:rsidRPr="001865A0">
        <w:rPr>
          <w:rFonts w:ascii="Arial" w:hAnsi="Arial" w:cs="Arial"/>
        </w:rPr>
        <w:t xml:space="preserve">29 </w:t>
      </w:r>
      <w:r w:rsidRPr="001865A0">
        <w:rPr>
          <w:rFonts w:ascii="Arial" w:hAnsi="Arial" w:cs="Arial"/>
        </w:rPr>
        <w:t xml:space="preserve">de </w:t>
      </w:r>
      <w:r w:rsidR="001C2CF3" w:rsidRPr="001865A0">
        <w:rPr>
          <w:rFonts w:ascii="Arial" w:hAnsi="Arial" w:cs="Arial"/>
        </w:rPr>
        <w:t xml:space="preserve">abril </w:t>
      </w:r>
      <w:r w:rsidR="001C2CF3" w:rsidRPr="001865A0">
        <w:rPr>
          <w:rFonts w:ascii="Arial" w:hAnsi="Arial" w:cs="Arial"/>
        </w:rPr>
        <w:lastRenderedPageBreak/>
        <w:t>de 2022</w:t>
      </w:r>
      <w:r w:rsidRPr="001865A0">
        <w:rPr>
          <w:rFonts w:ascii="Arial" w:hAnsi="Arial" w:cs="Arial"/>
        </w:rPr>
        <w:t xml:space="preserve">, </w:t>
      </w:r>
      <w:r w:rsidR="00BC02C4" w:rsidRPr="001865A0">
        <w:rPr>
          <w:rFonts w:ascii="Arial" w:hAnsi="Arial" w:cs="Arial"/>
        </w:rPr>
        <w:t xml:space="preserve">resolvió </w:t>
      </w:r>
      <w:r w:rsidR="001C2CF3" w:rsidRPr="001865A0">
        <w:rPr>
          <w:rFonts w:ascii="Arial" w:hAnsi="Arial" w:cs="Arial"/>
        </w:rPr>
        <w:t>abstenerse de avocar conocimiento del proceso al considerar que</w:t>
      </w:r>
      <w:r w:rsidR="00FE4291" w:rsidRPr="001865A0">
        <w:rPr>
          <w:rFonts w:ascii="Arial" w:hAnsi="Arial" w:cs="Arial"/>
        </w:rPr>
        <w:t xml:space="preserve"> no es competente para tramitar</w:t>
      </w:r>
      <w:r w:rsidR="1D434B06" w:rsidRPr="001865A0">
        <w:rPr>
          <w:rFonts w:ascii="Arial" w:hAnsi="Arial" w:cs="Arial"/>
        </w:rPr>
        <w:t>lo, al estimar que</w:t>
      </w:r>
      <w:r w:rsidR="00FE4291" w:rsidRPr="001865A0">
        <w:rPr>
          <w:rFonts w:ascii="Arial" w:hAnsi="Arial" w:cs="Arial"/>
        </w:rPr>
        <w:t xml:space="preserve"> el conocimiento de las reclamaciones efectuadas debe solicitarse ante el </w:t>
      </w:r>
      <w:r w:rsidR="1527B2EB" w:rsidRPr="001865A0">
        <w:rPr>
          <w:rFonts w:ascii="Arial" w:hAnsi="Arial" w:cs="Arial"/>
        </w:rPr>
        <w:t>j</w:t>
      </w:r>
      <w:r w:rsidR="00FE4291" w:rsidRPr="001865A0">
        <w:rPr>
          <w:rFonts w:ascii="Arial" w:hAnsi="Arial" w:cs="Arial"/>
        </w:rPr>
        <w:t xml:space="preserve">uez del lugar </w:t>
      </w:r>
      <w:r w:rsidR="5F11D349" w:rsidRPr="001865A0">
        <w:rPr>
          <w:rFonts w:ascii="Arial" w:hAnsi="Arial" w:cs="Arial"/>
        </w:rPr>
        <w:t>“</w:t>
      </w:r>
      <w:r w:rsidR="00FE4291" w:rsidRPr="001865A0">
        <w:rPr>
          <w:rFonts w:ascii="Arial" w:hAnsi="Arial" w:cs="Arial"/>
          <w:i/>
          <w:iCs/>
        </w:rPr>
        <w:t xml:space="preserve">donde se realizó el acto o el hecho que </w:t>
      </w:r>
      <w:r w:rsidR="00FE4291" w:rsidRPr="001865A0">
        <w:rPr>
          <w:rFonts w:ascii="Arial" w:hAnsi="Arial" w:cs="Arial"/>
          <w:b/>
          <w:bCs/>
          <w:i/>
          <w:iCs/>
        </w:rPr>
        <w:t>dio origen a la sanción</w:t>
      </w:r>
      <w:r w:rsidR="6E28F897" w:rsidRPr="001865A0">
        <w:rPr>
          <w:rFonts w:ascii="Arial" w:hAnsi="Arial" w:cs="Arial"/>
          <w:b/>
          <w:bCs/>
          <w:i/>
          <w:iCs/>
        </w:rPr>
        <w:t>”</w:t>
      </w:r>
      <w:r w:rsidR="00FE4291" w:rsidRPr="001865A0">
        <w:rPr>
          <w:rFonts w:ascii="Arial" w:hAnsi="Arial" w:cs="Arial"/>
        </w:rPr>
        <w:t xml:space="preserve">. </w:t>
      </w:r>
    </w:p>
    <w:p w14:paraId="498805E0" w14:textId="02562FC8" w:rsidR="00DF48B4" w:rsidRPr="001865A0" w:rsidRDefault="00DF48B4" w:rsidP="00CA7984">
      <w:pPr>
        <w:overflowPunct w:val="0"/>
        <w:autoSpaceDE w:val="0"/>
        <w:autoSpaceDN w:val="0"/>
        <w:adjustRightInd w:val="0"/>
        <w:spacing w:line="360" w:lineRule="auto"/>
        <w:jc w:val="both"/>
        <w:textAlignment w:val="baseline"/>
        <w:rPr>
          <w:rFonts w:ascii="Arial" w:hAnsi="Arial" w:cs="Arial"/>
        </w:rPr>
      </w:pPr>
    </w:p>
    <w:p w14:paraId="275A5EB8" w14:textId="08CD7167" w:rsidR="0025513E" w:rsidRPr="001865A0" w:rsidRDefault="00DF48B4" w:rsidP="2B7B4C60">
      <w:pPr>
        <w:overflowPunct w:val="0"/>
        <w:autoSpaceDE w:val="0"/>
        <w:autoSpaceDN w:val="0"/>
        <w:adjustRightInd w:val="0"/>
        <w:spacing w:line="360" w:lineRule="auto"/>
        <w:jc w:val="both"/>
        <w:textAlignment w:val="baseline"/>
        <w:rPr>
          <w:rFonts w:ascii="Arial" w:hAnsi="Arial" w:cs="Arial"/>
          <w:b/>
          <w:bCs/>
        </w:rPr>
      </w:pPr>
      <w:r w:rsidRPr="001865A0">
        <w:rPr>
          <w:rFonts w:ascii="Arial" w:hAnsi="Arial" w:cs="Arial"/>
        </w:rPr>
        <w:t xml:space="preserve">Arguye que los dineros que se </w:t>
      </w:r>
      <w:r w:rsidR="0025513E" w:rsidRPr="001865A0">
        <w:rPr>
          <w:rFonts w:ascii="Arial" w:hAnsi="Arial" w:cs="Arial"/>
        </w:rPr>
        <w:t>generen</w:t>
      </w:r>
      <w:r w:rsidRPr="001865A0">
        <w:rPr>
          <w:rFonts w:ascii="Arial" w:hAnsi="Arial" w:cs="Arial"/>
        </w:rPr>
        <w:t xml:space="preserve"> por la no </w:t>
      </w:r>
      <w:r w:rsidR="0025513E" w:rsidRPr="001865A0">
        <w:rPr>
          <w:rFonts w:ascii="Arial" w:hAnsi="Arial" w:cs="Arial"/>
        </w:rPr>
        <w:t>consignación</w:t>
      </w:r>
      <w:r w:rsidRPr="001865A0">
        <w:rPr>
          <w:rFonts w:ascii="Arial" w:hAnsi="Arial" w:cs="Arial"/>
        </w:rPr>
        <w:t xml:space="preserve"> </w:t>
      </w:r>
      <w:r w:rsidR="0025513E" w:rsidRPr="001865A0">
        <w:rPr>
          <w:rFonts w:ascii="Arial" w:hAnsi="Arial" w:cs="Arial"/>
        </w:rPr>
        <w:t>oportuna</w:t>
      </w:r>
      <w:r w:rsidRPr="001865A0">
        <w:rPr>
          <w:rFonts w:ascii="Arial" w:hAnsi="Arial" w:cs="Arial"/>
        </w:rPr>
        <w:t xml:space="preserve"> de las </w:t>
      </w:r>
      <w:r w:rsidR="0025513E" w:rsidRPr="001865A0">
        <w:rPr>
          <w:rFonts w:ascii="Arial" w:hAnsi="Arial" w:cs="Arial"/>
        </w:rPr>
        <w:t xml:space="preserve">cesantías como los que se generen por el no pago en tiempo de los intereses, </w:t>
      </w:r>
      <w:r w:rsidR="0025513E" w:rsidRPr="001865A0">
        <w:rPr>
          <w:rFonts w:ascii="Arial" w:hAnsi="Arial" w:cs="Arial"/>
          <w:b/>
          <w:bCs/>
        </w:rPr>
        <w:t>hacen parte del derecho sancionador,</w:t>
      </w:r>
      <w:r w:rsidR="0025513E" w:rsidRPr="001865A0">
        <w:rPr>
          <w:rFonts w:ascii="Arial" w:hAnsi="Arial" w:cs="Arial"/>
        </w:rPr>
        <w:t xml:space="preserve"> es decir, como una penalidad económica contra el empleador por el retardo en el pago, lo cual </w:t>
      </w:r>
      <w:r w:rsidR="0025513E" w:rsidRPr="001865A0">
        <w:rPr>
          <w:rFonts w:ascii="Arial" w:hAnsi="Arial" w:cs="Arial"/>
          <w:b/>
          <w:bCs/>
        </w:rPr>
        <w:t>no constituye un derecho laboral.</w:t>
      </w:r>
    </w:p>
    <w:p w14:paraId="309D820B" w14:textId="583C962F" w:rsidR="00FE4291" w:rsidRPr="001865A0" w:rsidRDefault="00DF48B4" w:rsidP="00CA7984">
      <w:pPr>
        <w:overflowPunct w:val="0"/>
        <w:autoSpaceDE w:val="0"/>
        <w:autoSpaceDN w:val="0"/>
        <w:adjustRightInd w:val="0"/>
        <w:spacing w:line="360" w:lineRule="auto"/>
        <w:jc w:val="both"/>
        <w:textAlignment w:val="baseline"/>
        <w:rPr>
          <w:rFonts w:ascii="Arial" w:hAnsi="Arial" w:cs="Arial"/>
        </w:rPr>
      </w:pPr>
      <w:r w:rsidRPr="001865A0">
        <w:rPr>
          <w:rFonts w:ascii="Arial" w:hAnsi="Arial" w:cs="Arial"/>
        </w:rPr>
        <w:t xml:space="preserve"> </w:t>
      </w:r>
    </w:p>
    <w:p w14:paraId="061BB902" w14:textId="7C6FA4DC" w:rsidR="00FE4291" w:rsidRPr="001865A0" w:rsidRDefault="00FE4291" w:rsidP="00CA7984">
      <w:pPr>
        <w:overflowPunct w:val="0"/>
        <w:autoSpaceDE w:val="0"/>
        <w:autoSpaceDN w:val="0"/>
        <w:adjustRightInd w:val="0"/>
        <w:spacing w:line="360" w:lineRule="auto"/>
        <w:jc w:val="both"/>
        <w:textAlignment w:val="baseline"/>
        <w:rPr>
          <w:rFonts w:ascii="Arial" w:hAnsi="Arial" w:cs="Arial"/>
        </w:rPr>
      </w:pPr>
      <w:r w:rsidRPr="001865A0">
        <w:rPr>
          <w:rFonts w:ascii="Arial" w:hAnsi="Arial" w:cs="Arial"/>
        </w:rPr>
        <w:t>Dice que el acto que se demanda tiene carácter sancionatorio y no laboral por lo que no se aplica la regla de distribución de competencia señalada en el numeral 3 del artículo 156 del CPACA, norma que pese a la modificación de la Ley 2080 de 2021, no tuvo variación en este sentido.</w:t>
      </w:r>
    </w:p>
    <w:p w14:paraId="6214927E" w14:textId="4A44CE4E" w:rsidR="0025513E" w:rsidRPr="001865A0" w:rsidRDefault="0025513E" w:rsidP="00CA7984">
      <w:pPr>
        <w:overflowPunct w:val="0"/>
        <w:autoSpaceDE w:val="0"/>
        <w:autoSpaceDN w:val="0"/>
        <w:adjustRightInd w:val="0"/>
        <w:spacing w:line="360" w:lineRule="auto"/>
        <w:jc w:val="both"/>
        <w:textAlignment w:val="baseline"/>
        <w:rPr>
          <w:rFonts w:ascii="Arial" w:hAnsi="Arial" w:cs="Arial"/>
        </w:rPr>
      </w:pPr>
    </w:p>
    <w:p w14:paraId="4CAB5AB4" w14:textId="2C47DFEF" w:rsidR="0025513E" w:rsidRPr="001865A0" w:rsidRDefault="0025513E" w:rsidP="00CA7984">
      <w:pPr>
        <w:overflowPunct w:val="0"/>
        <w:autoSpaceDE w:val="0"/>
        <w:autoSpaceDN w:val="0"/>
        <w:adjustRightInd w:val="0"/>
        <w:spacing w:line="360" w:lineRule="auto"/>
        <w:jc w:val="both"/>
        <w:textAlignment w:val="baseline"/>
        <w:rPr>
          <w:rFonts w:ascii="Arial" w:hAnsi="Arial" w:cs="Arial"/>
        </w:rPr>
      </w:pPr>
      <w:r w:rsidRPr="001865A0">
        <w:rPr>
          <w:rFonts w:ascii="Arial" w:hAnsi="Arial" w:cs="Arial"/>
        </w:rPr>
        <w:t>En tal sentido ordena la remisión de las di</w:t>
      </w:r>
      <w:r w:rsidR="0962EA67" w:rsidRPr="001865A0">
        <w:rPr>
          <w:rFonts w:ascii="Arial" w:hAnsi="Arial" w:cs="Arial"/>
        </w:rPr>
        <w:t>lig</w:t>
      </w:r>
      <w:r w:rsidRPr="001865A0">
        <w:rPr>
          <w:rFonts w:ascii="Arial" w:hAnsi="Arial" w:cs="Arial"/>
        </w:rPr>
        <w:t xml:space="preserve">encias a la oficina de reparto para que se remitan a los </w:t>
      </w:r>
      <w:r w:rsidR="09DE5DD5" w:rsidRPr="001865A0">
        <w:rPr>
          <w:rFonts w:ascii="Arial" w:hAnsi="Arial" w:cs="Arial"/>
        </w:rPr>
        <w:t>j</w:t>
      </w:r>
      <w:r w:rsidRPr="001865A0">
        <w:rPr>
          <w:rFonts w:ascii="Arial" w:hAnsi="Arial" w:cs="Arial"/>
        </w:rPr>
        <w:t xml:space="preserve">uzgados de </w:t>
      </w:r>
      <w:r w:rsidR="00CB20C9" w:rsidRPr="001865A0">
        <w:rPr>
          <w:rFonts w:ascii="Arial" w:hAnsi="Arial" w:cs="Arial"/>
        </w:rPr>
        <w:t>Tunja.</w:t>
      </w:r>
      <w:r w:rsidRPr="001865A0">
        <w:rPr>
          <w:rFonts w:ascii="Arial" w:hAnsi="Arial" w:cs="Arial"/>
        </w:rPr>
        <w:t xml:space="preserve"> </w:t>
      </w:r>
    </w:p>
    <w:p w14:paraId="24D2D1A3" w14:textId="3A42A4AE" w:rsidR="005F6560" w:rsidRPr="001865A0" w:rsidRDefault="005F6560" w:rsidP="00CA7984">
      <w:pPr>
        <w:overflowPunct w:val="0"/>
        <w:autoSpaceDE w:val="0"/>
        <w:autoSpaceDN w:val="0"/>
        <w:adjustRightInd w:val="0"/>
        <w:spacing w:line="360" w:lineRule="auto"/>
        <w:jc w:val="both"/>
        <w:textAlignment w:val="baseline"/>
        <w:rPr>
          <w:rFonts w:ascii="Arial" w:hAnsi="Arial" w:cs="Arial"/>
          <w:color w:val="000000"/>
        </w:rPr>
      </w:pPr>
    </w:p>
    <w:p w14:paraId="29B48147" w14:textId="77777777" w:rsidR="00E97468" w:rsidRPr="001865A0" w:rsidRDefault="00E97468" w:rsidP="00CA7984">
      <w:pPr>
        <w:overflowPunct w:val="0"/>
        <w:autoSpaceDE w:val="0"/>
        <w:autoSpaceDN w:val="0"/>
        <w:adjustRightInd w:val="0"/>
        <w:spacing w:line="360" w:lineRule="auto"/>
        <w:jc w:val="both"/>
        <w:textAlignment w:val="baseline"/>
        <w:rPr>
          <w:rFonts w:ascii="Arial" w:hAnsi="Arial" w:cs="Arial"/>
          <w:color w:val="000000"/>
        </w:rPr>
      </w:pPr>
    </w:p>
    <w:p w14:paraId="3D69940F" w14:textId="436A341E" w:rsidR="00BC02C4" w:rsidRPr="001865A0" w:rsidRDefault="37AE9555" w:rsidP="2B7B4C60">
      <w:pPr>
        <w:jc w:val="both"/>
        <w:rPr>
          <w:rFonts w:ascii="Arial" w:hAnsi="Arial" w:cs="Arial"/>
          <w:b/>
          <w:bCs/>
          <w:color w:val="000000"/>
        </w:rPr>
      </w:pPr>
      <w:r w:rsidRPr="001865A0">
        <w:rPr>
          <w:rFonts w:ascii="Arial" w:hAnsi="Arial" w:cs="Arial"/>
          <w:b/>
          <w:bCs/>
          <w:color w:val="000000" w:themeColor="text1"/>
        </w:rPr>
        <w:t xml:space="preserve">2. </w:t>
      </w:r>
      <w:r w:rsidR="00BC02C4" w:rsidRPr="001865A0">
        <w:rPr>
          <w:rFonts w:ascii="Arial" w:hAnsi="Arial" w:cs="Arial"/>
          <w:b/>
          <w:bCs/>
          <w:color w:val="000000" w:themeColor="text1"/>
        </w:rPr>
        <w:t xml:space="preserve">Actuación del Juzgado </w:t>
      </w:r>
      <w:r w:rsidR="0025513E" w:rsidRPr="001865A0">
        <w:rPr>
          <w:rFonts w:ascii="Arial" w:hAnsi="Arial" w:cs="Arial"/>
          <w:b/>
          <w:bCs/>
          <w:color w:val="000000" w:themeColor="text1"/>
        </w:rPr>
        <w:t xml:space="preserve">Quinto </w:t>
      </w:r>
      <w:r w:rsidR="002F5A0C" w:rsidRPr="001865A0">
        <w:rPr>
          <w:rFonts w:ascii="Arial" w:hAnsi="Arial" w:cs="Arial"/>
          <w:b/>
          <w:bCs/>
          <w:color w:val="000000" w:themeColor="text1"/>
        </w:rPr>
        <w:t>Ad</w:t>
      </w:r>
      <w:r w:rsidR="00BC02C4" w:rsidRPr="001865A0">
        <w:rPr>
          <w:rFonts w:ascii="Arial" w:hAnsi="Arial" w:cs="Arial"/>
          <w:b/>
          <w:bCs/>
          <w:color w:val="000000" w:themeColor="text1"/>
        </w:rPr>
        <w:t xml:space="preserve">ministrativo Oral del Circuito Judicial </w:t>
      </w:r>
      <w:r w:rsidR="00FA54D5" w:rsidRPr="001865A0">
        <w:rPr>
          <w:rFonts w:ascii="Arial" w:hAnsi="Arial" w:cs="Arial"/>
          <w:b/>
          <w:bCs/>
          <w:color w:val="000000" w:themeColor="text1"/>
        </w:rPr>
        <w:t>de Tunja</w:t>
      </w:r>
    </w:p>
    <w:p w14:paraId="2C5AB6C1" w14:textId="77777777" w:rsidR="00E97468" w:rsidRPr="001865A0" w:rsidRDefault="00E97468" w:rsidP="00CA7984">
      <w:pPr>
        <w:spacing w:line="360" w:lineRule="auto"/>
        <w:jc w:val="both"/>
        <w:rPr>
          <w:rFonts w:ascii="Arial" w:hAnsi="Arial" w:cs="Arial"/>
          <w:color w:val="000000"/>
        </w:rPr>
      </w:pPr>
    </w:p>
    <w:p w14:paraId="447BA5A8" w14:textId="0CD04103" w:rsidR="00FD3A1A" w:rsidRPr="001865A0" w:rsidRDefault="0025513E" w:rsidP="00CA7984">
      <w:pPr>
        <w:spacing w:line="360" w:lineRule="auto"/>
        <w:jc w:val="both"/>
        <w:rPr>
          <w:rFonts w:ascii="Arial" w:hAnsi="Arial" w:cs="Arial"/>
          <w:color w:val="000000"/>
        </w:rPr>
      </w:pPr>
      <w:r w:rsidRPr="001865A0">
        <w:rPr>
          <w:rFonts w:ascii="Arial" w:hAnsi="Arial" w:cs="Arial"/>
          <w:color w:val="000000"/>
        </w:rPr>
        <w:t xml:space="preserve">Mediante acta de reparto del 13 de julio de 2022, el asunto le correspondió al </w:t>
      </w:r>
      <w:r w:rsidR="00BC02C4" w:rsidRPr="001865A0">
        <w:rPr>
          <w:rFonts w:ascii="Arial" w:hAnsi="Arial" w:cs="Arial"/>
          <w:color w:val="000000"/>
        </w:rPr>
        <w:t xml:space="preserve">Juzgado </w:t>
      </w:r>
      <w:r w:rsidRPr="001865A0">
        <w:rPr>
          <w:rFonts w:ascii="Arial" w:hAnsi="Arial" w:cs="Arial"/>
          <w:color w:val="000000"/>
        </w:rPr>
        <w:t xml:space="preserve">Quinto </w:t>
      </w:r>
      <w:r w:rsidR="00BC02C4" w:rsidRPr="001865A0">
        <w:rPr>
          <w:rFonts w:ascii="Arial" w:hAnsi="Arial" w:cs="Arial"/>
          <w:color w:val="000000"/>
        </w:rPr>
        <w:t xml:space="preserve">Administrativo Oral del Circuito Judicial de </w:t>
      </w:r>
      <w:r w:rsidR="003E21D0" w:rsidRPr="001865A0">
        <w:rPr>
          <w:rFonts w:ascii="Arial" w:hAnsi="Arial" w:cs="Arial"/>
          <w:color w:val="000000"/>
        </w:rPr>
        <w:t>Tunja</w:t>
      </w:r>
      <w:r w:rsidRPr="001865A0">
        <w:rPr>
          <w:rFonts w:ascii="Arial" w:hAnsi="Arial" w:cs="Arial"/>
          <w:color w:val="000000"/>
        </w:rPr>
        <w:t xml:space="preserve">, que, </w:t>
      </w:r>
      <w:r w:rsidR="00BC02C4" w:rsidRPr="001865A0">
        <w:rPr>
          <w:rFonts w:ascii="Arial" w:hAnsi="Arial" w:cs="Arial"/>
          <w:color w:val="000000"/>
        </w:rPr>
        <w:t xml:space="preserve">a través de auto del </w:t>
      </w:r>
      <w:r w:rsidRPr="001865A0">
        <w:rPr>
          <w:rFonts w:ascii="Arial" w:hAnsi="Arial" w:cs="Arial"/>
          <w:color w:val="000000"/>
        </w:rPr>
        <w:t>30</w:t>
      </w:r>
      <w:r w:rsidR="00215F81" w:rsidRPr="001865A0">
        <w:rPr>
          <w:rFonts w:ascii="Arial" w:hAnsi="Arial" w:cs="Arial"/>
          <w:color w:val="000000"/>
        </w:rPr>
        <w:t xml:space="preserve"> de </w:t>
      </w:r>
      <w:r w:rsidRPr="001865A0">
        <w:rPr>
          <w:rFonts w:ascii="Arial" w:hAnsi="Arial" w:cs="Arial"/>
          <w:color w:val="000000"/>
        </w:rPr>
        <w:t xml:space="preserve">junio </w:t>
      </w:r>
      <w:r w:rsidR="00215F81" w:rsidRPr="001865A0">
        <w:rPr>
          <w:rFonts w:ascii="Arial" w:hAnsi="Arial" w:cs="Arial"/>
          <w:color w:val="000000"/>
        </w:rPr>
        <w:t xml:space="preserve">de </w:t>
      </w:r>
      <w:r w:rsidRPr="001865A0">
        <w:rPr>
          <w:rFonts w:ascii="Arial" w:hAnsi="Arial" w:cs="Arial"/>
          <w:color w:val="000000"/>
        </w:rPr>
        <w:t>2022</w:t>
      </w:r>
      <w:r w:rsidR="00215F81" w:rsidRPr="001865A0">
        <w:rPr>
          <w:rFonts w:ascii="Arial" w:hAnsi="Arial" w:cs="Arial"/>
          <w:color w:val="000000"/>
        </w:rPr>
        <w:t>, no avocó conocimiento y propuso el conflicto negativo de competencias con base en lo siguiente:</w:t>
      </w:r>
    </w:p>
    <w:p w14:paraId="568EFBEA" w14:textId="77777777" w:rsidR="00215F81" w:rsidRPr="001865A0" w:rsidRDefault="00215F81" w:rsidP="00CA7984">
      <w:pPr>
        <w:spacing w:line="360" w:lineRule="auto"/>
        <w:jc w:val="both"/>
        <w:rPr>
          <w:rFonts w:ascii="Arial" w:hAnsi="Arial" w:cs="Arial"/>
          <w:color w:val="000000"/>
        </w:rPr>
      </w:pPr>
    </w:p>
    <w:p w14:paraId="61F826B9" w14:textId="1DDF6B0C" w:rsidR="0025513E" w:rsidRPr="001865A0" w:rsidRDefault="64DC7CEC" w:rsidP="00CA7984">
      <w:pPr>
        <w:spacing w:line="360" w:lineRule="auto"/>
        <w:jc w:val="both"/>
        <w:rPr>
          <w:rFonts w:ascii="Arial" w:hAnsi="Arial" w:cs="Arial"/>
          <w:color w:val="000000"/>
        </w:rPr>
      </w:pPr>
      <w:r w:rsidRPr="001865A0">
        <w:rPr>
          <w:rFonts w:ascii="Arial" w:hAnsi="Arial" w:cs="Arial"/>
          <w:color w:val="000000" w:themeColor="text1"/>
        </w:rPr>
        <w:t>Adu</w:t>
      </w:r>
      <w:r w:rsidR="0074284E" w:rsidRPr="001865A0">
        <w:rPr>
          <w:rFonts w:ascii="Arial" w:hAnsi="Arial" w:cs="Arial"/>
          <w:color w:val="000000" w:themeColor="text1"/>
        </w:rPr>
        <w:t>ce que</w:t>
      </w:r>
      <w:r w:rsidR="0025513E" w:rsidRPr="001865A0">
        <w:rPr>
          <w:rFonts w:ascii="Arial" w:hAnsi="Arial" w:cs="Arial"/>
          <w:color w:val="000000" w:themeColor="text1"/>
        </w:rPr>
        <w:t xml:space="preserve"> </w:t>
      </w:r>
      <w:r w:rsidR="009A6ACF" w:rsidRPr="001865A0">
        <w:rPr>
          <w:rFonts w:ascii="Arial" w:hAnsi="Arial" w:cs="Arial"/>
          <w:color w:val="000000" w:themeColor="text1"/>
        </w:rPr>
        <w:t>en la</w:t>
      </w:r>
      <w:r w:rsidR="0025513E" w:rsidRPr="001865A0">
        <w:rPr>
          <w:rFonts w:ascii="Arial" w:hAnsi="Arial" w:cs="Arial"/>
          <w:color w:val="000000" w:themeColor="text1"/>
        </w:rPr>
        <w:t xml:space="preserve"> demanda </w:t>
      </w:r>
      <w:r w:rsidR="009A6ACF" w:rsidRPr="001865A0">
        <w:rPr>
          <w:rFonts w:ascii="Arial" w:hAnsi="Arial" w:cs="Arial"/>
          <w:color w:val="000000" w:themeColor="text1"/>
        </w:rPr>
        <w:t xml:space="preserve">se indica </w:t>
      </w:r>
      <w:r w:rsidR="0025513E" w:rsidRPr="001865A0">
        <w:rPr>
          <w:rFonts w:ascii="Arial" w:hAnsi="Arial" w:cs="Arial"/>
          <w:color w:val="000000" w:themeColor="text1"/>
        </w:rPr>
        <w:t>que la competencia corresponde a los Juzgados Administrativos de Duitama p</w:t>
      </w:r>
      <w:r w:rsidR="0025513E" w:rsidRPr="001865A0">
        <w:rPr>
          <w:rFonts w:ascii="Arial" w:hAnsi="Arial" w:cs="Arial"/>
          <w:b/>
          <w:bCs/>
          <w:color w:val="000000" w:themeColor="text1"/>
        </w:rPr>
        <w:t>or el lugar de prestación de servicios del demandante</w:t>
      </w:r>
      <w:r w:rsidR="00BF1D65" w:rsidRPr="001865A0">
        <w:rPr>
          <w:rFonts w:ascii="Arial" w:hAnsi="Arial" w:cs="Arial"/>
          <w:b/>
          <w:bCs/>
          <w:color w:val="000000" w:themeColor="text1"/>
        </w:rPr>
        <w:t xml:space="preserve">, </w:t>
      </w:r>
      <w:r w:rsidR="00BF1D65" w:rsidRPr="001865A0">
        <w:rPr>
          <w:rFonts w:ascii="Arial" w:hAnsi="Arial" w:cs="Arial"/>
          <w:color w:val="000000" w:themeColor="text1"/>
        </w:rPr>
        <w:t>demanda que fue radicada en 10 de marzo de 2022 por lo que son aplicables las disposiciones de la Ley 2080 de 2021.</w:t>
      </w:r>
    </w:p>
    <w:p w14:paraId="503614E6" w14:textId="45CC9924" w:rsidR="00BF1D65" w:rsidRPr="001865A0" w:rsidRDefault="00BF1D65" w:rsidP="00CA7984">
      <w:pPr>
        <w:spacing w:line="360" w:lineRule="auto"/>
        <w:jc w:val="both"/>
        <w:rPr>
          <w:rFonts w:ascii="Arial" w:hAnsi="Arial" w:cs="Arial"/>
          <w:color w:val="000000"/>
        </w:rPr>
      </w:pPr>
    </w:p>
    <w:p w14:paraId="551BCEE5" w14:textId="63D00AB4" w:rsidR="00BF1D65" w:rsidRPr="001865A0" w:rsidRDefault="00BF1D65" w:rsidP="00CA7984">
      <w:pPr>
        <w:spacing w:line="360" w:lineRule="auto"/>
        <w:jc w:val="both"/>
        <w:rPr>
          <w:rFonts w:ascii="Arial" w:hAnsi="Arial" w:cs="Arial"/>
          <w:color w:val="000000"/>
        </w:rPr>
      </w:pPr>
      <w:r w:rsidRPr="001865A0">
        <w:rPr>
          <w:rFonts w:ascii="Arial" w:hAnsi="Arial" w:cs="Arial"/>
          <w:color w:val="000000" w:themeColor="text1"/>
        </w:rPr>
        <w:t xml:space="preserve">Sostiene que el homologo juez basó su decisión en la disposición contenida en los numerales 2 y 8 del artículo 156 del CPACA, pero que </w:t>
      </w:r>
      <w:r w:rsidRPr="001865A0">
        <w:rPr>
          <w:rFonts w:ascii="Arial" w:hAnsi="Arial" w:cs="Arial"/>
          <w:b/>
          <w:bCs/>
          <w:color w:val="000000" w:themeColor="text1"/>
        </w:rPr>
        <w:t>desconoce el carácter laboral de lo que se reclama por lo que la competencia territorial se sigue por las prescripciones del numeral 3 del citado artículo.</w:t>
      </w:r>
    </w:p>
    <w:p w14:paraId="3F377980" w14:textId="4E3D02BC" w:rsidR="00D60A6B" w:rsidRPr="001865A0" w:rsidRDefault="00D60A6B" w:rsidP="00CA7984">
      <w:pPr>
        <w:spacing w:line="360" w:lineRule="auto"/>
        <w:jc w:val="both"/>
        <w:rPr>
          <w:rFonts w:ascii="Arial" w:hAnsi="Arial" w:cs="Arial"/>
          <w:color w:val="000000"/>
        </w:rPr>
      </w:pPr>
    </w:p>
    <w:p w14:paraId="159EBAF8" w14:textId="523C1D19" w:rsidR="00D60A6B" w:rsidRPr="001865A0" w:rsidRDefault="00D60A6B" w:rsidP="00CA7984">
      <w:pPr>
        <w:spacing w:line="360" w:lineRule="auto"/>
        <w:jc w:val="both"/>
        <w:rPr>
          <w:rFonts w:ascii="Arial" w:hAnsi="Arial" w:cs="Arial"/>
          <w:color w:val="000000"/>
        </w:rPr>
      </w:pPr>
      <w:r w:rsidRPr="001865A0">
        <w:rPr>
          <w:rFonts w:ascii="Arial" w:hAnsi="Arial" w:cs="Arial"/>
          <w:color w:val="000000" w:themeColor="text1"/>
        </w:rPr>
        <w:lastRenderedPageBreak/>
        <w:t xml:space="preserve">Cita jurisprudencia del Consejo de Estado en la que se señala que </w:t>
      </w:r>
      <w:r w:rsidRPr="001865A0">
        <w:rPr>
          <w:rFonts w:ascii="Arial" w:hAnsi="Arial" w:cs="Arial"/>
          <w:b/>
          <w:bCs/>
          <w:color w:val="000000" w:themeColor="text1"/>
        </w:rPr>
        <w:t xml:space="preserve">la sanción moratoria es un asunto de carácter laboral, </w:t>
      </w:r>
      <w:r w:rsidRPr="001865A0">
        <w:rPr>
          <w:rFonts w:ascii="Arial" w:hAnsi="Arial" w:cs="Arial"/>
          <w:color w:val="000000" w:themeColor="text1"/>
        </w:rPr>
        <w:t xml:space="preserve">y que en este caso el proceso </w:t>
      </w:r>
      <w:r w:rsidR="005B4E23" w:rsidRPr="001865A0">
        <w:rPr>
          <w:rFonts w:ascii="Arial" w:hAnsi="Arial" w:cs="Arial"/>
          <w:color w:val="000000" w:themeColor="text1"/>
        </w:rPr>
        <w:t>tiene índole</w:t>
      </w:r>
      <w:r w:rsidRPr="001865A0">
        <w:rPr>
          <w:rFonts w:ascii="Arial" w:hAnsi="Arial" w:cs="Arial"/>
          <w:color w:val="000000" w:themeColor="text1"/>
        </w:rPr>
        <w:t xml:space="preserve"> laboral, por lo que la competencia territorial la asigna el último lugar de prestación de servicios del demandante.</w:t>
      </w:r>
    </w:p>
    <w:p w14:paraId="3A69F55D" w14:textId="77777777" w:rsidR="00BC02C4" w:rsidRPr="001865A0" w:rsidRDefault="00BC02C4" w:rsidP="00CA7984">
      <w:pPr>
        <w:spacing w:line="360" w:lineRule="auto"/>
        <w:jc w:val="both"/>
        <w:rPr>
          <w:rFonts w:ascii="Arial" w:hAnsi="Arial" w:cs="Arial"/>
          <w:color w:val="000000"/>
        </w:rPr>
      </w:pPr>
    </w:p>
    <w:p w14:paraId="0DF6CD8D" w14:textId="77777777" w:rsidR="005C07E4" w:rsidRPr="001865A0" w:rsidRDefault="005C07E4" w:rsidP="00CA7984">
      <w:pPr>
        <w:spacing w:line="360" w:lineRule="auto"/>
        <w:jc w:val="both"/>
        <w:rPr>
          <w:rFonts w:ascii="Arial" w:hAnsi="Arial" w:cs="Arial"/>
          <w:b/>
          <w:color w:val="000000"/>
        </w:rPr>
      </w:pPr>
      <w:r w:rsidRPr="001865A0">
        <w:rPr>
          <w:rFonts w:ascii="Arial" w:hAnsi="Arial" w:cs="Arial"/>
          <w:b/>
          <w:color w:val="000000"/>
        </w:rPr>
        <w:t>3.  Del traslado a las partes</w:t>
      </w:r>
    </w:p>
    <w:p w14:paraId="503848C1" w14:textId="77777777" w:rsidR="005C07E4" w:rsidRPr="001865A0" w:rsidRDefault="005C07E4" w:rsidP="00CA7984">
      <w:pPr>
        <w:spacing w:line="360" w:lineRule="auto"/>
        <w:jc w:val="both"/>
        <w:rPr>
          <w:rFonts w:ascii="Arial" w:hAnsi="Arial" w:cs="Arial"/>
          <w:b/>
          <w:color w:val="FF0000"/>
        </w:rPr>
      </w:pPr>
    </w:p>
    <w:p w14:paraId="1A4BE63D" w14:textId="693CC9A0" w:rsidR="00BC02C4" w:rsidRPr="001865A0" w:rsidRDefault="00BC02C4" w:rsidP="00CA7984">
      <w:pPr>
        <w:spacing w:line="360" w:lineRule="auto"/>
        <w:jc w:val="both"/>
        <w:rPr>
          <w:rFonts w:ascii="Arial" w:hAnsi="Arial" w:cs="Arial"/>
          <w:color w:val="000000"/>
        </w:rPr>
      </w:pPr>
      <w:r w:rsidRPr="001865A0">
        <w:rPr>
          <w:rFonts w:ascii="Arial" w:hAnsi="Arial" w:cs="Arial"/>
          <w:color w:val="000000"/>
        </w:rPr>
        <w:t xml:space="preserve">Mediante auto de fecha </w:t>
      </w:r>
      <w:r w:rsidR="005B4E23" w:rsidRPr="001865A0">
        <w:rPr>
          <w:rFonts w:ascii="Arial" w:hAnsi="Arial" w:cs="Arial"/>
          <w:color w:val="000000"/>
        </w:rPr>
        <w:t>3 de agosto de 2022</w:t>
      </w:r>
      <w:r w:rsidRPr="001865A0">
        <w:rPr>
          <w:rFonts w:ascii="Arial" w:hAnsi="Arial" w:cs="Arial"/>
          <w:color w:val="000000"/>
        </w:rPr>
        <w:t xml:space="preserve"> (</w:t>
      </w:r>
      <w:r w:rsidR="005B4E23" w:rsidRPr="001865A0">
        <w:rPr>
          <w:rFonts w:ascii="Arial" w:hAnsi="Arial" w:cs="Arial"/>
          <w:color w:val="000000"/>
        </w:rPr>
        <w:t>anexo 006</w:t>
      </w:r>
      <w:r w:rsidR="000E7E7E" w:rsidRPr="001865A0">
        <w:rPr>
          <w:rFonts w:ascii="Arial" w:hAnsi="Arial" w:cs="Arial"/>
          <w:color w:val="000000"/>
        </w:rPr>
        <w:t>), esta Corporación avocó</w:t>
      </w:r>
      <w:r w:rsidRPr="001865A0">
        <w:rPr>
          <w:rFonts w:ascii="Arial" w:hAnsi="Arial" w:cs="Arial"/>
          <w:color w:val="000000"/>
        </w:rPr>
        <w:t xml:space="preserve"> conocimiento y corrió traslado a las partes para alegar de conclusión</w:t>
      </w:r>
      <w:r w:rsidR="005B4E23" w:rsidRPr="001865A0">
        <w:rPr>
          <w:rFonts w:ascii="Arial" w:hAnsi="Arial" w:cs="Arial"/>
          <w:color w:val="000000"/>
        </w:rPr>
        <w:t xml:space="preserve">. </w:t>
      </w:r>
      <w:r w:rsidRPr="001865A0">
        <w:rPr>
          <w:rFonts w:ascii="Arial" w:hAnsi="Arial" w:cs="Arial"/>
          <w:color w:val="000000"/>
        </w:rPr>
        <w:t xml:space="preserve"> </w:t>
      </w:r>
    </w:p>
    <w:p w14:paraId="6CCC68A1" w14:textId="2F21D977" w:rsidR="00125DAA" w:rsidRPr="001865A0" w:rsidRDefault="00125DAA" w:rsidP="00CA7984">
      <w:pPr>
        <w:spacing w:line="360" w:lineRule="auto"/>
        <w:jc w:val="center"/>
        <w:rPr>
          <w:rFonts w:ascii="Arial" w:hAnsi="Arial" w:cs="Arial"/>
          <w:b/>
          <w:bCs/>
          <w:color w:val="000000"/>
        </w:rPr>
      </w:pPr>
    </w:p>
    <w:p w14:paraId="40A06B6B" w14:textId="6545C2C2" w:rsidR="00E97468" w:rsidRPr="001865A0" w:rsidRDefault="00E97468" w:rsidP="00CA7984">
      <w:pPr>
        <w:spacing w:line="360" w:lineRule="auto"/>
        <w:jc w:val="center"/>
        <w:rPr>
          <w:rFonts w:ascii="Arial" w:hAnsi="Arial" w:cs="Arial"/>
          <w:b/>
          <w:bCs/>
          <w:color w:val="000000"/>
        </w:rPr>
      </w:pPr>
    </w:p>
    <w:p w14:paraId="404D72FB" w14:textId="7640CD3D" w:rsidR="00E97468" w:rsidRPr="001865A0" w:rsidRDefault="00E97468" w:rsidP="00CA7984">
      <w:pPr>
        <w:spacing w:line="360" w:lineRule="auto"/>
        <w:jc w:val="center"/>
        <w:rPr>
          <w:rFonts w:ascii="Arial" w:hAnsi="Arial" w:cs="Arial"/>
          <w:b/>
          <w:bCs/>
          <w:color w:val="000000"/>
        </w:rPr>
      </w:pPr>
    </w:p>
    <w:p w14:paraId="2F0E96FF" w14:textId="5DC37599" w:rsidR="00E97468" w:rsidRPr="001865A0" w:rsidRDefault="00E97468" w:rsidP="00CA7984">
      <w:pPr>
        <w:spacing w:line="360" w:lineRule="auto"/>
        <w:jc w:val="center"/>
        <w:rPr>
          <w:rFonts w:ascii="Arial" w:hAnsi="Arial" w:cs="Arial"/>
          <w:b/>
          <w:bCs/>
          <w:color w:val="000000"/>
        </w:rPr>
      </w:pPr>
    </w:p>
    <w:p w14:paraId="2E835AEE" w14:textId="77777777" w:rsidR="00E97468" w:rsidRPr="001865A0" w:rsidRDefault="00E97468" w:rsidP="00CA7984">
      <w:pPr>
        <w:spacing w:line="360" w:lineRule="auto"/>
        <w:jc w:val="center"/>
        <w:rPr>
          <w:rFonts w:ascii="Arial" w:hAnsi="Arial" w:cs="Arial"/>
          <w:b/>
          <w:bCs/>
          <w:color w:val="000000"/>
        </w:rPr>
      </w:pPr>
    </w:p>
    <w:p w14:paraId="78D6EAB6" w14:textId="77777777" w:rsidR="00BC02C4" w:rsidRPr="001865A0" w:rsidRDefault="00136C1A" w:rsidP="00CA7984">
      <w:pPr>
        <w:spacing w:line="360" w:lineRule="auto"/>
        <w:jc w:val="center"/>
        <w:rPr>
          <w:rFonts w:ascii="Arial" w:hAnsi="Arial" w:cs="Arial"/>
          <w:b/>
          <w:bCs/>
          <w:color w:val="000000"/>
        </w:rPr>
      </w:pPr>
      <w:r w:rsidRPr="001865A0">
        <w:rPr>
          <w:rFonts w:ascii="Arial" w:hAnsi="Arial" w:cs="Arial"/>
          <w:b/>
          <w:bCs/>
          <w:color w:val="000000"/>
        </w:rPr>
        <w:t xml:space="preserve">III. </w:t>
      </w:r>
      <w:r w:rsidR="00BC02C4" w:rsidRPr="001865A0">
        <w:rPr>
          <w:rFonts w:ascii="Arial" w:hAnsi="Arial" w:cs="Arial"/>
          <w:b/>
          <w:bCs/>
          <w:color w:val="000000"/>
        </w:rPr>
        <w:t>CONSIDERACIONES</w:t>
      </w:r>
    </w:p>
    <w:p w14:paraId="67F73CA1" w14:textId="77777777" w:rsidR="002F5A0C" w:rsidRPr="001865A0" w:rsidRDefault="002F5A0C" w:rsidP="00CA7984">
      <w:pPr>
        <w:spacing w:line="360" w:lineRule="auto"/>
        <w:jc w:val="both"/>
        <w:rPr>
          <w:rFonts w:ascii="Arial" w:hAnsi="Arial" w:cs="Arial"/>
          <w:color w:val="000000"/>
        </w:rPr>
      </w:pPr>
    </w:p>
    <w:p w14:paraId="12DDD7B7" w14:textId="77777777" w:rsidR="0010058F" w:rsidRPr="001865A0" w:rsidRDefault="0010058F" w:rsidP="00CA7984">
      <w:pPr>
        <w:keepNext/>
        <w:keepLines/>
        <w:spacing w:line="360" w:lineRule="auto"/>
        <w:jc w:val="both"/>
        <w:outlineLvl w:val="6"/>
        <w:rPr>
          <w:rFonts w:ascii="Arial" w:hAnsi="Arial" w:cs="Arial"/>
          <w:b/>
          <w:iCs/>
          <w:color w:val="000000"/>
          <w:lang w:val="x-none"/>
        </w:rPr>
      </w:pPr>
      <w:r w:rsidRPr="001865A0">
        <w:rPr>
          <w:rFonts w:ascii="Arial" w:hAnsi="Arial" w:cs="Arial"/>
          <w:b/>
          <w:iCs/>
          <w:color w:val="000000"/>
          <w:lang w:val="x-none"/>
        </w:rPr>
        <w:t>1. Competencia</w:t>
      </w:r>
    </w:p>
    <w:p w14:paraId="63A9382F" w14:textId="77777777" w:rsidR="0010058F" w:rsidRPr="001865A0" w:rsidRDefault="0010058F" w:rsidP="00CA7984">
      <w:pPr>
        <w:tabs>
          <w:tab w:val="left" w:pos="0"/>
        </w:tabs>
        <w:spacing w:line="360" w:lineRule="auto"/>
        <w:jc w:val="both"/>
        <w:rPr>
          <w:rFonts w:ascii="Arial" w:hAnsi="Arial" w:cs="Arial"/>
          <w:color w:val="000000"/>
        </w:rPr>
      </w:pPr>
    </w:p>
    <w:p w14:paraId="6DDD3F75" w14:textId="481FBD68" w:rsidR="0010058F" w:rsidRPr="001865A0" w:rsidRDefault="005B4E23" w:rsidP="00CA7984">
      <w:pPr>
        <w:spacing w:line="360" w:lineRule="auto"/>
        <w:jc w:val="both"/>
        <w:rPr>
          <w:rFonts w:ascii="Arial" w:hAnsi="Arial" w:cs="Arial"/>
          <w:color w:val="000000"/>
        </w:rPr>
      </w:pPr>
      <w:r w:rsidRPr="001865A0">
        <w:rPr>
          <w:rFonts w:ascii="Arial" w:hAnsi="Arial" w:cs="Arial"/>
          <w:color w:val="000000"/>
        </w:rPr>
        <w:t xml:space="preserve">Este Despacho del Tribunal Administrativo de Boyacá </w:t>
      </w:r>
      <w:r w:rsidR="0010058F" w:rsidRPr="001865A0">
        <w:rPr>
          <w:rFonts w:ascii="Arial" w:hAnsi="Arial" w:cs="Arial"/>
          <w:color w:val="000000"/>
        </w:rPr>
        <w:t xml:space="preserve">es competente para dirimir el conflicto de competencia que se presenta entre </w:t>
      </w:r>
      <w:r w:rsidRPr="001865A0">
        <w:rPr>
          <w:rFonts w:ascii="Arial" w:hAnsi="Arial" w:cs="Arial"/>
          <w:color w:val="000000"/>
        </w:rPr>
        <w:t>Juzgado Quinto Administrativo de Oralidad</w:t>
      </w:r>
      <w:r w:rsidRPr="001865A0">
        <w:rPr>
          <w:rFonts w:ascii="Arial" w:hAnsi="Arial" w:cs="Arial"/>
          <w:color w:val="000000"/>
          <w:lang w:val="es-ES_tradnl"/>
        </w:rPr>
        <w:t xml:space="preserve"> del Circuito Judicial de Tunja y el Juzgado Tercero Administrativo de Duitama</w:t>
      </w:r>
      <w:r w:rsidR="0010058F" w:rsidRPr="001865A0">
        <w:rPr>
          <w:rFonts w:ascii="Arial" w:hAnsi="Arial" w:cs="Arial"/>
          <w:color w:val="000000"/>
        </w:rPr>
        <w:t xml:space="preserve">, al tenor de lo preceptuado en </w:t>
      </w:r>
      <w:r w:rsidRPr="001865A0">
        <w:rPr>
          <w:rFonts w:ascii="Arial" w:hAnsi="Arial" w:cs="Arial"/>
          <w:bCs/>
        </w:rPr>
        <w:t>el artículo 158 del CPACA, modificado por el artículo 33 de la Ley 2080 de 2021, así:</w:t>
      </w:r>
    </w:p>
    <w:p w14:paraId="2594BE48" w14:textId="77777777" w:rsidR="005B4E23" w:rsidRPr="001865A0" w:rsidRDefault="005B4E23" w:rsidP="005B4E23">
      <w:pPr>
        <w:ind w:left="708"/>
        <w:jc w:val="both"/>
        <w:rPr>
          <w:rFonts w:ascii="Arial" w:hAnsi="Arial" w:cs="Arial"/>
          <w:b/>
          <w:bCs/>
          <w:lang w:val="es-CO" w:eastAsia="es-CO"/>
        </w:rPr>
      </w:pPr>
      <w:bookmarkStart w:id="5" w:name="158"/>
    </w:p>
    <w:p w14:paraId="3940BF0D" w14:textId="143E23F4" w:rsidR="005B4E23" w:rsidRPr="001865A0" w:rsidRDefault="005B4E23" w:rsidP="005B4E23">
      <w:pPr>
        <w:ind w:left="708"/>
        <w:jc w:val="both"/>
        <w:rPr>
          <w:rFonts w:ascii="Arial" w:hAnsi="Arial" w:cs="Arial"/>
          <w:lang w:val="es-CO" w:eastAsia="es-CO"/>
        </w:rPr>
      </w:pPr>
      <w:r w:rsidRPr="001865A0">
        <w:rPr>
          <w:rFonts w:ascii="Arial" w:hAnsi="Arial" w:cs="Arial"/>
          <w:b/>
          <w:bCs/>
          <w:lang w:val="es-CO" w:eastAsia="es-CO"/>
        </w:rPr>
        <w:t>“ARTÍCULO 158. CONFLICTOS DE COMPETENCIA.</w:t>
      </w:r>
      <w:bookmarkEnd w:id="5"/>
      <w:r w:rsidRPr="001865A0">
        <w:rPr>
          <w:rFonts w:ascii="Arial" w:hAnsi="Arial" w:cs="Arial"/>
          <w:lang w:val="es-CO" w:eastAsia="es-CO"/>
        </w:rPr>
        <w:t> &lt;Artículo modificado por el artículo </w:t>
      </w:r>
      <w:hyperlink r:id="rId11" w:anchor="33" w:history="1">
        <w:r w:rsidRPr="001865A0">
          <w:rPr>
            <w:rFonts w:ascii="Arial" w:hAnsi="Arial" w:cs="Arial"/>
            <w:u w:val="single"/>
            <w:lang w:val="es-CO" w:eastAsia="es-CO"/>
          </w:rPr>
          <w:t>33</w:t>
        </w:r>
      </w:hyperlink>
      <w:r w:rsidRPr="001865A0">
        <w:rPr>
          <w:rFonts w:ascii="Arial" w:hAnsi="Arial" w:cs="Arial"/>
          <w:lang w:val="es-CO" w:eastAsia="es-CO"/>
        </w:rPr>
        <w:t xml:space="preserve"> de la Ley 2080 de 2021. El nuevo texto es el siguiente:&gt; </w:t>
      </w:r>
    </w:p>
    <w:p w14:paraId="27981329" w14:textId="03EE1D82" w:rsidR="005B4E23" w:rsidRPr="001865A0" w:rsidRDefault="005B4E23" w:rsidP="005B4E23">
      <w:pPr>
        <w:ind w:left="708"/>
        <w:jc w:val="both"/>
        <w:rPr>
          <w:rFonts w:ascii="Arial" w:hAnsi="Arial" w:cs="Arial"/>
          <w:lang w:val="es-CO" w:eastAsia="es-CO"/>
        </w:rPr>
      </w:pPr>
      <w:r w:rsidRPr="001865A0">
        <w:rPr>
          <w:rFonts w:ascii="Arial" w:hAnsi="Arial" w:cs="Arial"/>
          <w:lang w:val="es-CO" w:eastAsia="es-CO"/>
        </w:rPr>
        <w:t>Los conflictos de competencia entre los tribunales administrativos y entre estos y los jueces administrativos, de diferentes distritos judiciales, serán decididos, de oficio o a petición de parte, por el magistrado ponente del Consejo de Estado conforme al siguiente procedimiento:</w:t>
      </w:r>
    </w:p>
    <w:p w14:paraId="60EEB826" w14:textId="77777777" w:rsidR="005B4E23" w:rsidRPr="001865A0" w:rsidRDefault="005B4E23" w:rsidP="005B4E23">
      <w:pPr>
        <w:ind w:left="708"/>
        <w:jc w:val="both"/>
        <w:rPr>
          <w:rFonts w:ascii="Arial" w:hAnsi="Arial" w:cs="Arial"/>
          <w:lang w:val="es-CO" w:eastAsia="es-CO"/>
        </w:rPr>
      </w:pPr>
    </w:p>
    <w:p w14:paraId="1023E523" w14:textId="77777777" w:rsidR="005B4E23" w:rsidRPr="001865A0" w:rsidRDefault="005B4E23" w:rsidP="005B4E23">
      <w:pPr>
        <w:ind w:left="708"/>
        <w:jc w:val="both"/>
        <w:rPr>
          <w:rFonts w:ascii="Arial" w:hAnsi="Arial" w:cs="Arial"/>
          <w:lang w:val="es-CO" w:eastAsia="es-CO"/>
        </w:rPr>
      </w:pPr>
      <w:r w:rsidRPr="001865A0">
        <w:rPr>
          <w:rFonts w:ascii="Arial" w:hAnsi="Arial" w:cs="Arial"/>
          <w:lang w:val="es-CO" w:eastAsia="es-CO"/>
        </w:rPr>
        <w:t>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w:t>
      </w:r>
    </w:p>
    <w:p w14:paraId="4C1A3001" w14:textId="77777777" w:rsidR="005B4E23" w:rsidRPr="001865A0" w:rsidRDefault="005B4E23" w:rsidP="005B4E23">
      <w:pPr>
        <w:ind w:left="708"/>
        <w:jc w:val="both"/>
        <w:rPr>
          <w:rFonts w:ascii="Arial" w:hAnsi="Arial" w:cs="Arial"/>
          <w:lang w:val="es-CO" w:eastAsia="es-CO"/>
        </w:rPr>
      </w:pPr>
      <w:r w:rsidRPr="001865A0">
        <w:rPr>
          <w:rFonts w:ascii="Arial" w:hAnsi="Arial" w:cs="Arial"/>
          <w:lang w:val="es-CO" w:eastAsia="es-CO"/>
        </w:rPr>
        <w:t>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w:t>
      </w:r>
    </w:p>
    <w:p w14:paraId="23B06A5C" w14:textId="77777777" w:rsidR="005B4E23" w:rsidRPr="001865A0" w:rsidRDefault="005B4E23" w:rsidP="005B4E23">
      <w:pPr>
        <w:ind w:left="708"/>
        <w:jc w:val="both"/>
        <w:rPr>
          <w:rFonts w:ascii="Arial" w:hAnsi="Arial" w:cs="Arial"/>
          <w:lang w:val="es-CO" w:eastAsia="es-CO"/>
        </w:rPr>
      </w:pPr>
      <w:r w:rsidRPr="001865A0">
        <w:rPr>
          <w:rFonts w:ascii="Arial" w:hAnsi="Arial" w:cs="Arial"/>
          <w:b/>
          <w:bCs/>
          <w:u w:val="single"/>
          <w:lang w:val="es-CO" w:eastAsia="es-CO"/>
        </w:rPr>
        <w:t xml:space="preserve">Si el conflicto se presenta entre jueces administrativos de un mismo distrito judicial, este será decidido por el magistrado ponente del </w:t>
      </w:r>
      <w:r w:rsidRPr="001865A0">
        <w:rPr>
          <w:rFonts w:ascii="Arial" w:hAnsi="Arial" w:cs="Arial"/>
          <w:b/>
          <w:bCs/>
          <w:u w:val="single"/>
          <w:lang w:val="es-CO" w:eastAsia="es-CO"/>
        </w:rPr>
        <w:lastRenderedPageBreak/>
        <w:t>tribunal administrativo respectivo,</w:t>
      </w:r>
      <w:r w:rsidRPr="001865A0">
        <w:rPr>
          <w:rFonts w:ascii="Arial" w:hAnsi="Arial" w:cs="Arial"/>
          <w:lang w:val="es-CO" w:eastAsia="es-CO"/>
        </w:rPr>
        <w:t xml:space="preserve"> de conformidad con el procedimiento establecido en este artículo.</w:t>
      </w:r>
    </w:p>
    <w:p w14:paraId="41ED16A6" w14:textId="75D70677" w:rsidR="005B4E23" w:rsidRPr="001865A0" w:rsidRDefault="005B4E23" w:rsidP="005B4E23">
      <w:pPr>
        <w:ind w:left="708"/>
        <w:jc w:val="both"/>
        <w:rPr>
          <w:rFonts w:ascii="Arial" w:hAnsi="Arial" w:cs="Arial"/>
          <w:lang w:val="es-CO" w:eastAsia="es-CO"/>
        </w:rPr>
      </w:pPr>
      <w:r w:rsidRPr="001865A0">
        <w:rPr>
          <w:rFonts w:ascii="Arial" w:hAnsi="Arial" w:cs="Arial"/>
          <w:lang w:val="es-CO" w:eastAsia="es-CO"/>
        </w:rPr>
        <w:t>La falta de competencia no afectará la validez de la actuación cumplida hasta la decisión del conflicto”. (Resaltos del despacho)</w:t>
      </w:r>
    </w:p>
    <w:p w14:paraId="551FF50C" w14:textId="4608A3E7" w:rsidR="005B4E23" w:rsidRPr="001865A0" w:rsidRDefault="005B4E23" w:rsidP="005B4E23">
      <w:pPr>
        <w:jc w:val="both"/>
        <w:rPr>
          <w:rFonts w:ascii="Arial" w:hAnsi="Arial" w:cs="Arial"/>
          <w:lang w:val="es-CO" w:eastAsia="es-CO"/>
        </w:rPr>
      </w:pPr>
    </w:p>
    <w:p w14:paraId="7016E310" w14:textId="2BBF23A2" w:rsidR="0010058F" w:rsidRPr="001865A0" w:rsidRDefault="005B4E23" w:rsidP="00CA7984">
      <w:pPr>
        <w:spacing w:line="360" w:lineRule="auto"/>
        <w:jc w:val="both"/>
        <w:rPr>
          <w:rFonts w:ascii="Arial" w:hAnsi="Arial" w:cs="Arial"/>
          <w:bCs/>
        </w:rPr>
      </w:pPr>
      <w:r w:rsidRPr="001865A0">
        <w:rPr>
          <w:rFonts w:ascii="Arial" w:hAnsi="Arial" w:cs="Arial"/>
          <w:lang w:val="es-CO" w:eastAsia="es-CO"/>
        </w:rPr>
        <w:t xml:space="preserve">De lo anterior se concluye que </w:t>
      </w:r>
      <w:r w:rsidR="00CD4BAA" w:rsidRPr="001865A0">
        <w:rPr>
          <w:rFonts w:ascii="Arial" w:hAnsi="Arial" w:cs="Arial"/>
          <w:lang w:val="es-CO" w:eastAsia="es-CO"/>
        </w:rPr>
        <w:t>con</w:t>
      </w:r>
      <w:r w:rsidRPr="001865A0">
        <w:rPr>
          <w:rFonts w:ascii="Arial" w:hAnsi="Arial" w:cs="Arial"/>
          <w:lang w:val="es-CO" w:eastAsia="es-CO"/>
        </w:rPr>
        <w:t xml:space="preserve"> la </w:t>
      </w:r>
      <w:r w:rsidR="00CD4BAA" w:rsidRPr="001865A0">
        <w:rPr>
          <w:rFonts w:ascii="Arial" w:hAnsi="Arial" w:cs="Arial"/>
          <w:lang w:val="es-CO" w:eastAsia="es-CO"/>
        </w:rPr>
        <w:t>modificación</w:t>
      </w:r>
      <w:r w:rsidRPr="001865A0">
        <w:rPr>
          <w:rFonts w:ascii="Arial" w:hAnsi="Arial" w:cs="Arial"/>
          <w:lang w:val="es-CO" w:eastAsia="es-CO"/>
        </w:rPr>
        <w:t xml:space="preserve"> de la ley 2080, la </w:t>
      </w:r>
      <w:r w:rsidRPr="001865A0">
        <w:rPr>
          <w:rFonts w:ascii="Arial" w:hAnsi="Arial" w:cs="Arial"/>
        </w:rPr>
        <w:t xml:space="preserve">competencia </w:t>
      </w:r>
      <w:r w:rsidR="00CD4BAA" w:rsidRPr="001865A0">
        <w:rPr>
          <w:rFonts w:ascii="Arial" w:hAnsi="Arial" w:cs="Arial"/>
        </w:rPr>
        <w:t>para</w:t>
      </w:r>
      <w:r w:rsidRPr="001865A0">
        <w:rPr>
          <w:rFonts w:ascii="Arial" w:hAnsi="Arial" w:cs="Arial"/>
        </w:rPr>
        <w:t xml:space="preserve"> dirimir el conflicto </w:t>
      </w:r>
      <w:r w:rsidR="00CD4BAA" w:rsidRPr="001865A0">
        <w:rPr>
          <w:rFonts w:ascii="Arial" w:hAnsi="Arial" w:cs="Arial"/>
        </w:rPr>
        <w:t xml:space="preserve">de competencia negativo suscitado entre dos Juzgados Administrativos del mismo distrito judicial, es </w:t>
      </w:r>
      <w:r w:rsidRPr="001865A0">
        <w:rPr>
          <w:rFonts w:ascii="Arial" w:hAnsi="Arial" w:cs="Arial"/>
        </w:rPr>
        <w:t>del Magistrado Ponente</w:t>
      </w:r>
      <w:r w:rsidR="00CD4BAA" w:rsidRPr="001865A0">
        <w:rPr>
          <w:rFonts w:ascii="Arial" w:hAnsi="Arial" w:cs="Arial"/>
        </w:rPr>
        <w:t xml:space="preserve">. </w:t>
      </w:r>
    </w:p>
    <w:p w14:paraId="7A8A1487" w14:textId="77777777" w:rsidR="0010058F" w:rsidRPr="001865A0" w:rsidRDefault="0010058F" w:rsidP="00CA7984">
      <w:pPr>
        <w:spacing w:line="360" w:lineRule="auto"/>
        <w:jc w:val="both"/>
        <w:rPr>
          <w:rFonts w:ascii="Arial" w:hAnsi="Arial" w:cs="Arial"/>
          <w:b/>
          <w:bCs/>
          <w:color w:val="000000"/>
        </w:rPr>
      </w:pPr>
      <w:r w:rsidRPr="001865A0">
        <w:rPr>
          <w:rFonts w:ascii="Arial" w:hAnsi="Arial" w:cs="Arial"/>
          <w:b/>
          <w:bCs/>
          <w:color w:val="000000"/>
        </w:rPr>
        <w:t>2.  Problema jurídico</w:t>
      </w:r>
    </w:p>
    <w:p w14:paraId="1E428039" w14:textId="77777777" w:rsidR="0010058F" w:rsidRPr="001865A0" w:rsidRDefault="0010058F" w:rsidP="00CA7984">
      <w:pPr>
        <w:spacing w:line="360" w:lineRule="auto"/>
        <w:jc w:val="both"/>
        <w:rPr>
          <w:rFonts w:ascii="Arial" w:hAnsi="Arial" w:cs="Arial"/>
          <w:bCs/>
          <w:color w:val="000000"/>
        </w:rPr>
      </w:pPr>
    </w:p>
    <w:p w14:paraId="749058EA" w14:textId="4A19C427" w:rsidR="00C10EF7" w:rsidRPr="001865A0" w:rsidRDefault="0010058F" w:rsidP="00CA7984">
      <w:pPr>
        <w:spacing w:line="360" w:lineRule="auto"/>
        <w:jc w:val="both"/>
        <w:rPr>
          <w:rFonts w:ascii="Arial" w:hAnsi="Arial" w:cs="Arial"/>
        </w:rPr>
      </w:pPr>
      <w:r w:rsidRPr="001865A0">
        <w:rPr>
          <w:rFonts w:ascii="Arial" w:hAnsi="Arial" w:cs="Arial"/>
          <w:color w:val="000000"/>
          <w:lang w:val="es-ES_tradnl"/>
        </w:rPr>
        <w:t xml:space="preserve">El asunto se contrae en determinar qué despacho judicial es competente para conocer de la acción de nulidad y restablecimiento del derecho, presentada por </w:t>
      </w:r>
      <w:r w:rsidR="00CD4BAA" w:rsidRPr="001865A0">
        <w:rPr>
          <w:rFonts w:ascii="Arial" w:hAnsi="Arial" w:cs="Arial"/>
          <w:color w:val="000000"/>
          <w:lang w:val="es-ES_tradnl"/>
        </w:rPr>
        <w:t xml:space="preserve">la señora </w:t>
      </w:r>
      <w:r w:rsidR="00CD4BAA" w:rsidRPr="001865A0">
        <w:rPr>
          <w:rFonts w:ascii="Arial" w:hAnsi="Arial" w:cs="Arial"/>
          <w:b/>
          <w:color w:val="000000"/>
        </w:rPr>
        <w:t xml:space="preserve">Zita María Hernández Díaz, contra la </w:t>
      </w:r>
      <w:r w:rsidR="00CD4BAA" w:rsidRPr="001865A0">
        <w:rPr>
          <w:rFonts w:ascii="Arial" w:hAnsi="Arial" w:cs="Arial"/>
        </w:rPr>
        <w:t>Nación-Ministerio de Educación-Fondo Nacional de Prestaciones Sociales del Magisterio.</w:t>
      </w:r>
    </w:p>
    <w:p w14:paraId="5986EAF3" w14:textId="77777777" w:rsidR="00CD4BAA" w:rsidRPr="001865A0" w:rsidRDefault="00CD4BAA" w:rsidP="00CA7984">
      <w:pPr>
        <w:spacing w:line="360" w:lineRule="auto"/>
        <w:jc w:val="both"/>
        <w:rPr>
          <w:rFonts w:ascii="Arial" w:hAnsi="Arial" w:cs="Arial"/>
        </w:rPr>
      </w:pPr>
    </w:p>
    <w:p w14:paraId="60B0029D" w14:textId="77777777" w:rsidR="00D6035A" w:rsidRPr="001865A0" w:rsidRDefault="000627B5" w:rsidP="00CA7984">
      <w:pPr>
        <w:spacing w:line="360" w:lineRule="auto"/>
        <w:ind w:right="51"/>
        <w:jc w:val="both"/>
        <w:rPr>
          <w:rFonts w:ascii="Arial" w:hAnsi="Arial" w:cs="Arial"/>
          <w:b/>
        </w:rPr>
      </w:pPr>
      <w:r w:rsidRPr="001865A0">
        <w:rPr>
          <w:rFonts w:ascii="Arial" w:hAnsi="Arial" w:cs="Arial"/>
        </w:rPr>
        <w:t>El</w:t>
      </w:r>
      <w:r w:rsidRPr="001865A0">
        <w:rPr>
          <w:rFonts w:ascii="Arial" w:hAnsi="Arial" w:cs="Arial"/>
          <w:color w:val="FF0000"/>
        </w:rPr>
        <w:t xml:space="preserve"> </w:t>
      </w:r>
      <w:r w:rsidRPr="001865A0">
        <w:rPr>
          <w:rFonts w:ascii="Arial" w:hAnsi="Arial" w:cs="Arial"/>
        </w:rPr>
        <w:t xml:space="preserve">Consejo </w:t>
      </w:r>
      <w:r w:rsidR="00D6035A" w:rsidRPr="001865A0">
        <w:rPr>
          <w:rFonts w:ascii="Arial" w:hAnsi="Arial" w:cs="Arial"/>
        </w:rPr>
        <w:t>de Estado en auto del</w:t>
      </w:r>
      <w:r w:rsidRPr="001865A0">
        <w:rPr>
          <w:rFonts w:ascii="Arial" w:hAnsi="Arial" w:cs="Arial"/>
        </w:rPr>
        <w:t xml:space="preserve"> 19 de abril de 2012 con ponencia del C.P. Dr. </w:t>
      </w:r>
      <w:r w:rsidR="00D6035A" w:rsidRPr="001865A0">
        <w:rPr>
          <w:rFonts w:ascii="Arial" w:hAnsi="Arial" w:cs="Arial"/>
        </w:rPr>
        <w:t>Enrique</w:t>
      </w:r>
      <w:r w:rsidRPr="001865A0">
        <w:rPr>
          <w:rFonts w:ascii="Arial" w:hAnsi="Arial" w:cs="Arial"/>
        </w:rPr>
        <w:t xml:space="preserve"> Gil Botero, dentro del proceso con radicado 05001-23-26-000-2010-00264-01(43216), definió la competencia en los siguientes términos:</w:t>
      </w:r>
    </w:p>
    <w:p w14:paraId="5B6139BE" w14:textId="77777777" w:rsidR="000627B5" w:rsidRPr="001865A0" w:rsidRDefault="000627B5" w:rsidP="00D6035A">
      <w:pPr>
        <w:ind w:right="471"/>
        <w:jc w:val="both"/>
        <w:rPr>
          <w:rFonts w:ascii="Arial" w:hAnsi="Arial" w:cs="Arial"/>
          <w:b/>
        </w:rPr>
      </w:pPr>
    </w:p>
    <w:p w14:paraId="3BF11FC4" w14:textId="3AB005EC" w:rsidR="000627B5" w:rsidRPr="001865A0" w:rsidRDefault="000627B5" w:rsidP="00A92BB9">
      <w:pPr>
        <w:ind w:left="708" w:right="51"/>
        <w:jc w:val="both"/>
        <w:rPr>
          <w:rFonts w:ascii="Arial" w:hAnsi="Arial" w:cs="Arial"/>
          <w:color w:val="000000"/>
        </w:rPr>
      </w:pPr>
      <w:r w:rsidRPr="001865A0">
        <w:rPr>
          <w:rFonts w:ascii="Arial" w:hAnsi="Arial" w:cs="Arial"/>
        </w:rPr>
        <w:t>“L</w:t>
      </w:r>
      <w:r w:rsidRPr="001865A0">
        <w:rPr>
          <w:rFonts w:ascii="Arial" w:hAnsi="Arial" w:cs="Arial"/>
          <w:color w:val="000000"/>
        </w:rPr>
        <w:t>a competencia de una autoridad judicial se entiende como la porción, o el grado de la jurisdicción que corresponde a cada juez o tribunal en determinado asunto sometido a su conocimiento. (…) la jurisdicción consiste en la potestad que tiene el Estado, en ejercicio de la soberanía, de administrar justicia y decidir litigios, sean civiles, penales o administrativos. De conformidad con lo anterior todos los jueces ejercen jurisdicción en nombre del Estado, en el ámbito propio de la competencia que les asigna la ley”.</w:t>
      </w:r>
    </w:p>
    <w:p w14:paraId="2C5C71B4" w14:textId="77777777" w:rsidR="000627B5" w:rsidRPr="001865A0" w:rsidRDefault="000627B5" w:rsidP="000627B5">
      <w:pPr>
        <w:ind w:left="708" w:right="51"/>
        <w:jc w:val="both"/>
        <w:rPr>
          <w:rFonts w:ascii="Arial" w:hAnsi="Arial" w:cs="Arial"/>
          <w:color w:val="FF0000"/>
        </w:rPr>
      </w:pPr>
    </w:p>
    <w:p w14:paraId="4345FB99" w14:textId="77777777" w:rsidR="007F477C" w:rsidRPr="001865A0" w:rsidRDefault="007F477C" w:rsidP="00CA7984">
      <w:pPr>
        <w:spacing w:line="360" w:lineRule="auto"/>
        <w:ind w:right="51"/>
        <w:jc w:val="both"/>
        <w:rPr>
          <w:rFonts w:ascii="Arial" w:hAnsi="Arial" w:cs="Arial"/>
        </w:rPr>
      </w:pPr>
    </w:p>
    <w:p w14:paraId="6ED203E8" w14:textId="3D8BC121" w:rsidR="007F477C" w:rsidRPr="001865A0" w:rsidRDefault="007F477C" w:rsidP="00CA7984">
      <w:pPr>
        <w:spacing w:line="360" w:lineRule="auto"/>
        <w:ind w:right="51"/>
        <w:jc w:val="both"/>
        <w:rPr>
          <w:rFonts w:ascii="Arial" w:hAnsi="Arial" w:cs="Arial"/>
        </w:rPr>
      </w:pPr>
      <w:r w:rsidRPr="001865A0">
        <w:rPr>
          <w:rFonts w:ascii="Arial" w:hAnsi="Arial" w:cs="Arial"/>
        </w:rPr>
        <w:t>En es</w:t>
      </w:r>
      <w:r w:rsidR="2729AABC" w:rsidRPr="001865A0">
        <w:rPr>
          <w:rFonts w:ascii="Arial" w:hAnsi="Arial" w:cs="Arial"/>
        </w:rPr>
        <w:t>t</w:t>
      </w:r>
      <w:r w:rsidRPr="001865A0">
        <w:rPr>
          <w:rFonts w:ascii="Arial" w:hAnsi="Arial" w:cs="Arial"/>
        </w:rPr>
        <w:t>e orden</w:t>
      </w:r>
      <w:r w:rsidR="75E9830A" w:rsidRPr="001865A0">
        <w:rPr>
          <w:rFonts w:ascii="Arial" w:hAnsi="Arial" w:cs="Arial"/>
        </w:rPr>
        <w:t>,</w:t>
      </w:r>
      <w:r w:rsidRPr="001865A0">
        <w:rPr>
          <w:rFonts w:ascii="Arial" w:hAnsi="Arial" w:cs="Arial"/>
        </w:rPr>
        <w:t xml:space="preserve"> </w:t>
      </w:r>
      <w:r w:rsidR="14FE4BD4" w:rsidRPr="001865A0">
        <w:rPr>
          <w:rFonts w:ascii="Arial" w:hAnsi="Arial" w:cs="Arial"/>
        </w:rPr>
        <w:t>un</w:t>
      </w:r>
      <w:r w:rsidRPr="001865A0">
        <w:rPr>
          <w:rFonts w:ascii="Arial" w:hAnsi="Arial" w:cs="Arial"/>
        </w:rPr>
        <w:t xml:space="preserve"> conflicto de competencias se suscita cuando dos o más jueces consideran que a cada uno de ellos le corresponde adelantar el conocimiento del asunto o cuando se niegan conocer del mismo con el argumento de no ser de su competencia.</w:t>
      </w:r>
    </w:p>
    <w:p w14:paraId="5BB33823" w14:textId="77777777" w:rsidR="005C07E4" w:rsidRPr="001865A0" w:rsidRDefault="005C07E4" w:rsidP="00CA7984">
      <w:pPr>
        <w:spacing w:line="360" w:lineRule="auto"/>
        <w:ind w:right="51"/>
        <w:jc w:val="both"/>
        <w:rPr>
          <w:rFonts w:ascii="Arial" w:hAnsi="Arial" w:cs="Arial"/>
        </w:rPr>
      </w:pPr>
    </w:p>
    <w:p w14:paraId="66EE7A71" w14:textId="051728AE" w:rsidR="00CD4BAA" w:rsidRPr="001865A0" w:rsidRDefault="0010058F" w:rsidP="00CA7984">
      <w:pPr>
        <w:spacing w:line="360" w:lineRule="auto"/>
        <w:jc w:val="both"/>
        <w:rPr>
          <w:rFonts w:ascii="Arial" w:hAnsi="Arial" w:cs="Arial"/>
        </w:rPr>
      </w:pPr>
      <w:r w:rsidRPr="001865A0">
        <w:rPr>
          <w:rFonts w:ascii="Arial" w:hAnsi="Arial" w:cs="Arial"/>
        </w:rPr>
        <w:t>E</w:t>
      </w:r>
      <w:r w:rsidR="00AB7B45" w:rsidRPr="001865A0">
        <w:rPr>
          <w:rFonts w:ascii="Arial" w:hAnsi="Arial" w:cs="Arial"/>
        </w:rPr>
        <w:t xml:space="preserve">n el presente caso se suscita conflicto </w:t>
      </w:r>
      <w:r w:rsidR="75BA3099" w:rsidRPr="001865A0">
        <w:rPr>
          <w:rFonts w:ascii="Arial" w:hAnsi="Arial" w:cs="Arial"/>
        </w:rPr>
        <w:t xml:space="preserve">negativo </w:t>
      </w:r>
      <w:r w:rsidR="00AB7B45" w:rsidRPr="001865A0">
        <w:rPr>
          <w:rFonts w:ascii="Arial" w:hAnsi="Arial" w:cs="Arial"/>
        </w:rPr>
        <w:t>de competencia</w:t>
      </w:r>
      <w:r w:rsidRPr="001865A0">
        <w:rPr>
          <w:rFonts w:ascii="Arial" w:hAnsi="Arial" w:cs="Arial"/>
        </w:rPr>
        <w:t>,</w:t>
      </w:r>
      <w:r w:rsidR="00AB7B45" w:rsidRPr="001865A0">
        <w:rPr>
          <w:rFonts w:ascii="Arial" w:hAnsi="Arial" w:cs="Arial"/>
        </w:rPr>
        <w:t xml:space="preserve"> </w:t>
      </w:r>
      <w:r w:rsidRPr="001865A0">
        <w:rPr>
          <w:rFonts w:ascii="Arial" w:hAnsi="Arial" w:cs="Arial"/>
        </w:rPr>
        <w:t>como quiera que el J</w:t>
      </w:r>
      <w:r w:rsidR="00AB7B45" w:rsidRPr="001865A0">
        <w:rPr>
          <w:rFonts w:ascii="Arial" w:hAnsi="Arial" w:cs="Arial"/>
        </w:rPr>
        <w:t xml:space="preserve">uez </w:t>
      </w:r>
      <w:r w:rsidR="00CD4BAA" w:rsidRPr="001865A0">
        <w:rPr>
          <w:rFonts w:ascii="Arial" w:hAnsi="Arial" w:cs="Arial"/>
        </w:rPr>
        <w:t xml:space="preserve">Tercero Administrativo de Duitama </w:t>
      </w:r>
      <w:r w:rsidR="00AB7B45" w:rsidRPr="001865A0">
        <w:rPr>
          <w:rFonts w:ascii="Arial" w:hAnsi="Arial" w:cs="Arial"/>
        </w:rPr>
        <w:t xml:space="preserve">consideró que el medio de control presentado es de naturaleza </w:t>
      </w:r>
      <w:r w:rsidR="00CD4BAA" w:rsidRPr="001865A0">
        <w:rPr>
          <w:rFonts w:ascii="Arial" w:hAnsi="Arial" w:cs="Arial"/>
        </w:rPr>
        <w:t>sancionatoria y que por ello la competencia territorial corresponde al lugar donde se expidió el acto sancionatorio.</w:t>
      </w:r>
    </w:p>
    <w:p w14:paraId="4B396962" w14:textId="77777777" w:rsidR="00CD4BAA" w:rsidRPr="001865A0" w:rsidRDefault="00CD4BAA" w:rsidP="00BD70C7">
      <w:pPr>
        <w:spacing w:line="360" w:lineRule="auto"/>
        <w:jc w:val="both"/>
        <w:rPr>
          <w:rFonts w:ascii="Arial" w:hAnsi="Arial" w:cs="Arial"/>
        </w:rPr>
      </w:pPr>
    </w:p>
    <w:p w14:paraId="3E396119" w14:textId="6BCAE89E" w:rsidR="00CD4BAA" w:rsidRPr="001865A0" w:rsidRDefault="00CD4BAA" w:rsidP="00CA7984">
      <w:pPr>
        <w:spacing w:line="360" w:lineRule="auto"/>
        <w:jc w:val="both"/>
        <w:rPr>
          <w:rFonts w:ascii="Arial" w:hAnsi="Arial" w:cs="Arial"/>
        </w:rPr>
      </w:pPr>
      <w:r w:rsidRPr="001865A0">
        <w:rPr>
          <w:rFonts w:ascii="Arial" w:hAnsi="Arial" w:cs="Arial"/>
        </w:rPr>
        <w:lastRenderedPageBreak/>
        <w:t xml:space="preserve">Por su parte el </w:t>
      </w:r>
      <w:r w:rsidR="0010058F" w:rsidRPr="001865A0">
        <w:rPr>
          <w:rFonts w:ascii="Arial" w:hAnsi="Arial" w:cs="Arial"/>
        </w:rPr>
        <w:t xml:space="preserve">Juzgado </w:t>
      </w:r>
      <w:r w:rsidRPr="001865A0">
        <w:rPr>
          <w:rFonts w:ascii="Arial" w:hAnsi="Arial" w:cs="Arial"/>
        </w:rPr>
        <w:t>Quinto</w:t>
      </w:r>
      <w:r w:rsidR="0010058F" w:rsidRPr="001865A0">
        <w:rPr>
          <w:rFonts w:ascii="Arial" w:hAnsi="Arial" w:cs="Arial"/>
        </w:rPr>
        <w:t xml:space="preserve"> Ad</w:t>
      </w:r>
      <w:proofErr w:type="spellStart"/>
      <w:r w:rsidR="0010058F" w:rsidRPr="001865A0">
        <w:rPr>
          <w:rFonts w:ascii="Arial" w:hAnsi="Arial" w:cs="Arial"/>
          <w:lang w:val="es-CO"/>
        </w:rPr>
        <w:t>ministrativo</w:t>
      </w:r>
      <w:proofErr w:type="spellEnd"/>
      <w:r w:rsidR="0010058F" w:rsidRPr="001865A0">
        <w:rPr>
          <w:rFonts w:ascii="Arial" w:hAnsi="Arial" w:cs="Arial"/>
          <w:lang w:val="es-CO"/>
        </w:rPr>
        <w:t xml:space="preserve"> </w:t>
      </w:r>
      <w:r w:rsidR="0010058F" w:rsidRPr="001865A0">
        <w:rPr>
          <w:rFonts w:ascii="Arial" w:hAnsi="Arial" w:cs="Arial"/>
        </w:rPr>
        <w:t xml:space="preserve">de Tunja </w:t>
      </w:r>
      <w:r w:rsidRPr="001865A0">
        <w:rPr>
          <w:rFonts w:ascii="Arial" w:hAnsi="Arial" w:cs="Arial"/>
        </w:rPr>
        <w:t>determina que el asunto es netamente laboral, por lo que la competencia se rige por el último lugar de prestación de servicios de la demandante.</w:t>
      </w:r>
    </w:p>
    <w:p w14:paraId="7C71BBEA" w14:textId="77777777" w:rsidR="00CD4BAA" w:rsidRPr="001865A0" w:rsidRDefault="00CD4BAA" w:rsidP="00CA7984">
      <w:pPr>
        <w:spacing w:line="360" w:lineRule="auto"/>
        <w:jc w:val="both"/>
        <w:rPr>
          <w:rFonts w:ascii="Arial" w:hAnsi="Arial" w:cs="Arial"/>
        </w:rPr>
      </w:pPr>
    </w:p>
    <w:p w14:paraId="70470C11" w14:textId="5DD2E672" w:rsidR="00CD4BAA" w:rsidRPr="001865A0" w:rsidRDefault="00CD4BAA" w:rsidP="00CA7984">
      <w:pPr>
        <w:spacing w:line="360" w:lineRule="auto"/>
        <w:jc w:val="both"/>
        <w:rPr>
          <w:rFonts w:ascii="Arial" w:hAnsi="Arial" w:cs="Arial"/>
        </w:rPr>
      </w:pPr>
      <w:r w:rsidRPr="001865A0">
        <w:rPr>
          <w:rFonts w:ascii="Arial" w:hAnsi="Arial" w:cs="Arial"/>
        </w:rPr>
        <w:t xml:space="preserve">En el asunto bajo exámen, </w:t>
      </w:r>
      <w:r w:rsidRPr="001865A0">
        <w:rPr>
          <w:rFonts w:ascii="Arial" w:eastAsia="Verdana" w:hAnsi="Arial" w:cs="Arial"/>
          <w:bCs/>
        </w:rPr>
        <w:t>la accionante pretende</w:t>
      </w:r>
      <w:r w:rsidRPr="001865A0">
        <w:rPr>
          <w:rFonts w:ascii="Arial" w:eastAsia="Verdana" w:hAnsi="Arial" w:cs="Arial"/>
          <w:b/>
        </w:rPr>
        <w:t xml:space="preserve"> </w:t>
      </w:r>
      <w:r w:rsidRPr="001865A0">
        <w:rPr>
          <w:rFonts w:ascii="Arial" w:eastAsia="Verdana" w:hAnsi="Arial" w:cs="Arial"/>
        </w:rPr>
        <w:t xml:space="preserve">que </w:t>
      </w:r>
      <w:r w:rsidRPr="001865A0">
        <w:rPr>
          <w:rFonts w:ascii="Arial" w:hAnsi="Arial" w:cs="Arial"/>
        </w:rPr>
        <w:t xml:space="preserve">se declare la nulidad del acto administrativo a través del cual la Secretaría de Educación de Boyacá, negó el reconocimiento y pago de la SANCIÓN MORATORIA por la no consignación oportuna de las cesantías establecida en el artículo 99 de la Ley 50 de 1990. </w:t>
      </w:r>
    </w:p>
    <w:p w14:paraId="506C15E5" w14:textId="77777777" w:rsidR="00590644" w:rsidRPr="001865A0" w:rsidRDefault="00590644" w:rsidP="00CA7984">
      <w:pPr>
        <w:spacing w:line="360" w:lineRule="auto"/>
        <w:jc w:val="both"/>
        <w:rPr>
          <w:rFonts w:ascii="Arial" w:hAnsi="Arial" w:cs="Arial"/>
        </w:rPr>
      </w:pPr>
    </w:p>
    <w:p w14:paraId="642C12B1" w14:textId="13AEAB36" w:rsidR="00BD70C7" w:rsidRPr="001865A0" w:rsidRDefault="00590644" w:rsidP="00CA7984">
      <w:pPr>
        <w:spacing w:line="360" w:lineRule="auto"/>
        <w:jc w:val="both"/>
        <w:rPr>
          <w:rFonts w:ascii="Arial" w:hAnsi="Arial" w:cs="Arial"/>
        </w:rPr>
      </w:pPr>
      <w:r w:rsidRPr="001865A0">
        <w:rPr>
          <w:rFonts w:ascii="Arial" w:hAnsi="Arial" w:cs="Arial"/>
        </w:rPr>
        <w:t xml:space="preserve">El </w:t>
      </w:r>
      <w:r w:rsidR="00645B07" w:rsidRPr="001865A0">
        <w:rPr>
          <w:rFonts w:ascii="Arial" w:hAnsi="Arial" w:cs="Arial"/>
        </w:rPr>
        <w:t>Consejo</w:t>
      </w:r>
      <w:r w:rsidRPr="001865A0">
        <w:rPr>
          <w:rFonts w:ascii="Arial" w:hAnsi="Arial" w:cs="Arial"/>
        </w:rPr>
        <w:t xml:space="preserve"> de </w:t>
      </w:r>
      <w:r w:rsidR="00645B07" w:rsidRPr="001865A0">
        <w:rPr>
          <w:rFonts w:ascii="Arial" w:hAnsi="Arial" w:cs="Arial"/>
        </w:rPr>
        <w:t xml:space="preserve">Estado en sentencia del 3 de </w:t>
      </w:r>
      <w:r w:rsidR="00E417D8" w:rsidRPr="001865A0">
        <w:rPr>
          <w:rFonts w:ascii="Arial" w:hAnsi="Arial" w:cs="Arial"/>
        </w:rPr>
        <w:t>febrero</w:t>
      </w:r>
      <w:r w:rsidR="00645B07" w:rsidRPr="001865A0">
        <w:rPr>
          <w:rFonts w:ascii="Arial" w:hAnsi="Arial" w:cs="Arial"/>
        </w:rPr>
        <w:t xml:space="preserve"> de</w:t>
      </w:r>
      <w:r w:rsidR="00E417D8" w:rsidRPr="001865A0">
        <w:rPr>
          <w:rFonts w:ascii="Arial" w:hAnsi="Arial" w:cs="Arial"/>
        </w:rPr>
        <w:t xml:space="preserve"> </w:t>
      </w:r>
      <w:r w:rsidR="00645B07" w:rsidRPr="001865A0">
        <w:rPr>
          <w:rFonts w:ascii="Arial" w:hAnsi="Arial" w:cs="Arial"/>
        </w:rPr>
        <w:t>2022</w:t>
      </w:r>
      <w:r w:rsidR="00CC05CD" w:rsidRPr="001865A0">
        <w:rPr>
          <w:rStyle w:val="Refdenotaalpie"/>
          <w:rFonts w:ascii="Arial" w:hAnsi="Arial" w:cs="Arial"/>
        </w:rPr>
        <w:footnoteReference w:id="1"/>
      </w:r>
      <w:r w:rsidR="00645B07" w:rsidRPr="001865A0">
        <w:rPr>
          <w:rFonts w:ascii="Arial" w:hAnsi="Arial" w:cs="Arial"/>
        </w:rPr>
        <w:t xml:space="preserve">, al </w:t>
      </w:r>
      <w:r w:rsidR="00E417D8" w:rsidRPr="001865A0">
        <w:rPr>
          <w:rFonts w:ascii="Arial" w:hAnsi="Arial" w:cs="Arial"/>
        </w:rPr>
        <w:t xml:space="preserve">resolver recurso de apelación cuyo asunto a tratar es el pago de la sanción moratoria originada en la no consignación o pago, se ha referido a que </w:t>
      </w:r>
      <w:r w:rsidR="00E417D8" w:rsidRPr="001865A0">
        <w:rPr>
          <w:rFonts w:ascii="Arial" w:hAnsi="Arial" w:cs="Arial"/>
          <w:b/>
          <w:bCs/>
        </w:rPr>
        <w:t>las mismas son una prestación social</w:t>
      </w:r>
      <w:r w:rsidR="35754A1A" w:rsidRPr="001865A0">
        <w:rPr>
          <w:rFonts w:ascii="Arial" w:hAnsi="Arial" w:cs="Arial"/>
          <w:b/>
          <w:bCs/>
        </w:rPr>
        <w:t>:</w:t>
      </w:r>
    </w:p>
    <w:p w14:paraId="6A2F2AC1" w14:textId="37A0B6E0" w:rsidR="2B7B4C60" w:rsidRPr="001865A0" w:rsidRDefault="2B7B4C60" w:rsidP="2B7B4C60">
      <w:pPr>
        <w:spacing w:line="360" w:lineRule="auto"/>
        <w:jc w:val="both"/>
        <w:rPr>
          <w:rFonts w:ascii="Arial" w:hAnsi="Arial" w:cs="Arial"/>
        </w:rPr>
      </w:pPr>
    </w:p>
    <w:p w14:paraId="619F02CA" w14:textId="392DE920" w:rsidR="00CC05CD" w:rsidRPr="001865A0" w:rsidRDefault="00CC05CD" w:rsidP="00CA7984">
      <w:pPr>
        <w:ind w:left="709"/>
        <w:jc w:val="both"/>
        <w:rPr>
          <w:rFonts w:ascii="Arial" w:hAnsi="Arial" w:cs="Arial"/>
        </w:rPr>
      </w:pPr>
      <w:r w:rsidRPr="001865A0">
        <w:rPr>
          <w:rFonts w:ascii="Arial" w:hAnsi="Arial" w:cs="Arial"/>
        </w:rPr>
        <w:t>“</w:t>
      </w:r>
      <w:r w:rsidR="00BD70C7" w:rsidRPr="001865A0">
        <w:rPr>
          <w:rFonts w:ascii="Arial" w:hAnsi="Arial" w:cs="Arial"/>
        </w:rPr>
        <w:t>E</w:t>
      </w:r>
      <w:r w:rsidRPr="001865A0">
        <w:rPr>
          <w:rFonts w:ascii="Arial" w:hAnsi="Arial" w:cs="Arial"/>
        </w:rPr>
        <w:t xml:space="preserve">l hito que debe servir de punto de partida para contar el número de días a efectos de determinar el monto de la indemnización moratoria es a partir del momento en que el empleador incumple el deber de consignar el valor correspondiente a la liquidación definitiva de cesantía, por la anualidad o por la fracción correspondiente, esto es, a partir del 15 de febrero del año siguiente a aquél </w:t>
      </w:r>
      <w:r w:rsidRPr="001865A0">
        <w:rPr>
          <w:rFonts w:ascii="Arial" w:hAnsi="Arial" w:cs="Arial"/>
          <w:b/>
          <w:bCs/>
          <w:u w:val="single"/>
        </w:rPr>
        <w:t>en que se causó la prestación social</w:t>
      </w:r>
      <w:r w:rsidRPr="001865A0">
        <w:rPr>
          <w:rFonts w:ascii="Arial" w:hAnsi="Arial" w:cs="Arial"/>
        </w:rPr>
        <w:t>”</w:t>
      </w:r>
    </w:p>
    <w:p w14:paraId="64A0ED47" w14:textId="7728C7EE" w:rsidR="00CC05CD" w:rsidRPr="001865A0" w:rsidRDefault="00CC05CD" w:rsidP="00CA7984">
      <w:pPr>
        <w:ind w:left="709"/>
        <w:jc w:val="both"/>
        <w:rPr>
          <w:rFonts w:ascii="Arial" w:hAnsi="Arial" w:cs="Arial"/>
        </w:rPr>
      </w:pPr>
      <w:r w:rsidRPr="001865A0">
        <w:rPr>
          <w:rFonts w:ascii="Arial" w:hAnsi="Arial" w:cs="Arial"/>
        </w:rPr>
        <w:t>(…)</w:t>
      </w:r>
    </w:p>
    <w:p w14:paraId="56CEA81E" w14:textId="6F4C5370" w:rsidR="00CC05CD" w:rsidRPr="001865A0" w:rsidRDefault="00CC05CD" w:rsidP="00CA7984">
      <w:pPr>
        <w:ind w:left="709"/>
        <w:jc w:val="both"/>
        <w:rPr>
          <w:rFonts w:ascii="Arial" w:hAnsi="Arial" w:cs="Arial"/>
        </w:rPr>
      </w:pPr>
      <w:r w:rsidRPr="001865A0">
        <w:rPr>
          <w:rFonts w:ascii="Arial" w:hAnsi="Arial" w:cs="Arial"/>
        </w:rPr>
        <w:t xml:space="preserve">Dicha posición fue reiterada recientemente por esta Subsección, en sentencia del 17 de septiembre de 20201, cuando indicó que «[…] al pagar la entidad las cesantías definitivas y sus intereses dentro del término consagrado en el artículo 2. ° de la Ley 244 de 1995, no se causa la sanción moratoria, </w:t>
      </w:r>
      <w:r w:rsidRPr="001865A0">
        <w:rPr>
          <w:rFonts w:ascii="Arial" w:hAnsi="Arial" w:cs="Arial"/>
          <w:b/>
          <w:bCs/>
          <w:u w:val="single"/>
        </w:rPr>
        <w:t>aun cuando con posterioridad se alegue que faltó el pago de una parte de la prestación,</w:t>
      </w:r>
      <w:r w:rsidRPr="001865A0">
        <w:rPr>
          <w:rFonts w:ascii="Arial" w:hAnsi="Arial" w:cs="Arial"/>
        </w:rPr>
        <w:t xml:space="preserve"> dado que el pago parcial no es un supuesto regulado en el parágrafo </w:t>
      </w:r>
      <w:proofErr w:type="gramStart"/>
      <w:r w:rsidRPr="001865A0">
        <w:rPr>
          <w:rFonts w:ascii="Arial" w:hAnsi="Arial" w:cs="Arial"/>
        </w:rPr>
        <w:t>2.°</w:t>
      </w:r>
      <w:proofErr w:type="gramEnd"/>
      <w:r w:rsidRPr="001865A0">
        <w:rPr>
          <w:rFonts w:ascii="Arial" w:hAnsi="Arial" w:cs="Arial"/>
        </w:rPr>
        <w:t xml:space="preserve"> ibidem para que se produzca la mora.</w:t>
      </w:r>
    </w:p>
    <w:p w14:paraId="223E8D87" w14:textId="588C913A" w:rsidR="00BD70C7" w:rsidRPr="001865A0" w:rsidRDefault="00BD70C7" w:rsidP="00CA7984">
      <w:pPr>
        <w:ind w:left="709"/>
        <w:jc w:val="both"/>
        <w:rPr>
          <w:rFonts w:ascii="Arial" w:hAnsi="Arial" w:cs="Arial"/>
        </w:rPr>
      </w:pPr>
      <w:r w:rsidRPr="001865A0">
        <w:rPr>
          <w:rFonts w:ascii="Arial" w:hAnsi="Arial" w:cs="Arial"/>
        </w:rPr>
        <w:t>(…)</w:t>
      </w:r>
    </w:p>
    <w:p w14:paraId="183C03F2" w14:textId="23AC4446" w:rsidR="00CC05CD" w:rsidRPr="001865A0" w:rsidRDefault="00CC05CD" w:rsidP="00CA7984">
      <w:pPr>
        <w:ind w:left="709"/>
        <w:jc w:val="both"/>
        <w:rPr>
          <w:rFonts w:ascii="Arial" w:hAnsi="Arial" w:cs="Arial"/>
        </w:rPr>
      </w:pPr>
      <w:r w:rsidRPr="001865A0">
        <w:rPr>
          <w:rFonts w:ascii="Arial" w:hAnsi="Arial" w:cs="Arial"/>
        </w:rPr>
        <w:t xml:space="preserve">Al respecto, la Sala sostendrá la siguiente tesis: no se acreditó la causación de la sanción moratoria prevista en la Ley 50 de 1990 respecto del auxilio de cesantías del demandante, </w:t>
      </w:r>
      <w:r w:rsidRPr="001865A0">
        <w:rPr>
          <w:rFonts w:ascii="Arial" w:hAnsi="Arial" w:cs="Arial"/>
          <w:b/>
          <w:bCs/>
          <w:u w:val="single"/>
        </w:rPr>
        <w:t>pues la consignación de la diferencia faltante de la prestación liquidada</w:t>
      </w:r>
      <w:r w:rsidRPr="001865A0">
        <w:rPr>
          <w:rFonts w:ascii="Arial" w:hAnsi="Arial" w:cs="Arial"/>
        </w:rPr>
        <w:t xml:space="preserve"> en el año 2012 y efectuada en 2015, no tiene la vocación de generar dicha penalidad.</w:t>
      </w:r>
    </w:p>
    <w:p w14:paraId="35730C9C" w14:textId="3CD74C60" w:rsidR="00BD70C7" w:rsidRPr="001865A0" w:rsidRDefault="00BD70C7" w:rsidP="00CA7984">
      <w:pPr>
        <w:ind w:left="709"/>
        <w:jc w:val="both"/>
        <w:rPr>
          <w:rFonts w:ascii="Arial" w:hAnsi="Arial" w:cs="Arial"/>
        </w:rPr>
      </w:pPr>
      <w:r w:rsidRPr="001865A0">
        <w:rPr>
          <w:rFonts w:ascii="Arial" w:hAnsi="Arial" w:cs="Arial"/>
        </w:rPr>
        <w:t>(…)</w:t>
      </w:r>
    </w:p>
    <w:p w14:paraId="581C58D7" w14:textId="10376A5E" w:rsidR="00BD70C7" w:rsidRPr="001865A0" w:rsidRDefault="00BD70C7" w:rsidP="00CA7984">
      <w:pPr>
        <w:ind w:left="709"/>
        <w:jc w:val="both"/>
        <w:rPr>
          <w:rFonts w:ascii="Arial" w:hAnsi="Arial" w:cs="Arial"/>
        </w:rPr>
      </w:pPr>
      <w:r w:rsidRPr="001865A0">
        <w:rPr>
          <w:rFonts w:ascii="Arial" w:hAnsi="Arial" w:cs="Arial"/>
        </w:rPr>
        <w:t xml:space="preserve">Así pues, tenemos que: i) </w:t>
      </w:r>
      <w:r w:rsidRPr="001865A0">
        <w:rPr>
          <w:rFonts w:ascii="Arial" w:hAnsi="Arial" w:cs="Arial"/>
          <w:b/>
          <w:bCs/>
          <w:u w:val="single"/>
        </w:rPr>
        <w:t xml:space="preserve">es a partir del 15 de febrero del año siguiente a aquél en que se causó la prestación social, </w:t>
      </w:r>
      <w:r w:rsidRPr="001865A0">
        <w:rPr>
          <w:rFonts w:ascii="Arial" w:hAnsi="Arial" w:cs="Arial"/>
        </w:rPr>
        <w:t xml:space="preserve">el hito que debe servir de punto de partida para la causación de la sanción moratoria; y </w:t>
      </w:r>
      <w:proofErr w:type="spellStart"/>
      <w:r w:rsidRPr="001865A0">
        <w:rPr>
          <w:rFonts w:ascii="Arial" w:hAnsi="Arial" w:cs="Arial"/>
        </w:rPr>
        <w:t>ii</w:t>
      </w:r>
      <w:proofErr w:type="spellEnd"/>
      <w:r w:rsidRPr="001865A0">
        <w:rPr>
          <w:rFonts w:ascii="Arial" w:hAnsi="Arial" w:cs="Arial"/>
        </w:rPr>
        <w:t>) la sanción moratoria por el pago tardío de las cesantías consagrada en la ley referida no procede cuando lo que sucede es el pago inoportuno de una diferencia en la liquidación que debió pagarse. (Resaltos del despacho)</w:t>
      </w:r>
    </w:p>
    <w:p w14:paraId="49C81B7E" w14:textId="5FC1149B" w:rsidR="00BD70C7" w:rsidRPr="001865A0" w:rsidRDefault="00BD70C7" w:rsidP="00CA7984">
      <w:pPr>
        <w:spacing w:line="360" w:lineRule="auto"/>
        <w:jc w:val="both"/>
        <w:rPr>
          <w:rFonts w:ascii="Arial" w:hAnsi="Arial" w:cs="Arial"/>
        </w:rPr>
      </w:pPr>
      <w:r w:rsidRPr="001865A0">
        <w:rPr>
          <w:rFonts w:ascii="Arial" w:eastAsia="Verdana" w:hAnsi="Arial" w:cs="Arial"/>
        </w:rPr>
        <w:t xml:space="preserve">Entonces, para el </w:t>
      </w:r>
      <w:r w:rsidR="5F7D6301" w:rsidRPr="001865A0">
        <w:rPr>
          <w:rFonts w:ascii="Arial" w:eastAsia="Verdana" w:hAnsi="Arial" w:cs="Arial"/>
        </w:rPr>
        <w:t>d</w:t>
      </w:r>
      <w:r w:rsidRPr="001865A0">
        <w:rPr>
          <w:rFonts w:ascii="Arial" w:eastAsia="Verdana" w:hAnsi="Arial" w:cs="Arial"/>
        </w:rPr>
        <w:t>espacho</w:t>
      </w:r>
      <w:r w:rsidR="03CAA2C4" w:rsidRPr="001865A0">
        <w:rPr>
          <w:rFonts w:ascii="Arial" w:eastAsia="Verdana" w:hAnsi="Arial" w:cs="Arial"/>
        </w:rPr>
        <w:t xml:space="preserve"> no hay duda que </w:t>
      </w:r>
      <w:r w:rsidRPr="001865A0">
        <w:rPr>
          <w:rFonts w:ascii="Arial" w:hAnsi="Arial" w:cs="Arial"/>
        </w:rPr>
        <w:t>en el presente asunto se está frente a la hipótesis de un</w:t>
      </w:r>
      <w:r w:rsidRPr="001865A0">
        <w:rPr>
          <w:rFonts w:ascii="Arial" w:hAnsi="Arial" w:cs="Arial"/>
          <w:b/>
          <w:bCs/>
        </w:rPr>
        <w:t xml:space="preserve"> asunto</w:t>
      </w:r>
      <w:r w:rsidR="1E0CDEBB" w:rsidRPr="001865A0">
        <w:rPr>
          <w:rFonts w:ascii="Arial" w:hAnsi="Arial" w:cs="Arial"/>
          <w:b/>
          <w:bCs/>
        </w:rPr>
        <w:t xml:space="preserve"> de carácter</w:t>
      </w:r>
      <w:r w:rsidRPr="001865A0">
        <w:rPr>
          <w:rFonts w:ascii="Arial" w:hAnsi="Arial" w:cs="Arial"/>
          <w:b/>
          <w:bCs/>
        </w:rPr>
        <w:t xml:space="preserve"> laboral</w:t>
      </w:r>
      <w:r w:rsidRPr="001865A0">
        <w:rPr>
          <w:rFonts w:ascii="Arial" w:hAnsi="Arial" w:cs="Arial"/>
        </w:rPr>
        <w:t xml:space="preserve"> en el que la regla para la competencia por el factor territorial es la prevista en el numeral 3 del artículo 156 del C.P.A.C.A., pues si bien el acto demandado niega el reconocimiento y pago de </w:t>
      </w:r>
      <w:r w:rsidRPr="001865A0">
        <w:rPr>
          <w:rFonts w:ascii="Arial" w:hAnsi="Arial" w:cs="Arial"/>
        </w:rPr>
        <w:lastRenderedPageBreak/>
        <w:t>la sanción moratoria por pago tardío de las cesantías, el mismo no comporta situación diferente a ser un asunto netamente laboral.</w:t>
      </w:r>
    </w:p>
    <w:p w14:paraId="34BFA696" w14:textId="1CD39BC6" w:rsidR="00590644" w:rsidRPr="001865A0" w:rsidRDefault="00590644" w:rsidP="00CA7984">
      <w:pPr>
        <w:spacing w:line="360" w:lineRule="auto"/>
        <w:jc w:val="both"/>
        <w:rPr>
          <w:rFonts w:ascii="Arial" w:hAnsi="Arial" w:cs="Arial"/>
        </w:rPr>
      </w:pPr>
    </w:p>
    <w:p w14:paraId="159D2C84" w14:textId="31E321F4" w:rsidR="00BD70C7" w:rsidRPr="001865A0" w:rsidRDefault="00BD70C7" w:rsidP="00CA7984">
      <w:pPr>
        <w:spacing w:line="360" w:lineRule="auto"/>
        <w:ind w:right="20"/>
        <w:jc w:val="both"/>
        <w:rPr>
          <w:rFonts w:ascii="Arial" w:hAnsi="Arial" w:cs="Arial"/>
        </w:rPr>
      </w:pPr>
      <w:r w:rsidRPr="001865A0">
        <w:rPr>
          <w:rFonts w:ascii="Arial" w:hAnsi="Arial" w:cs="Arial"/>
        </w:rPr>
        <w:t xml:space="preserve">Por lo anterior, al existir manifestación de voluntad de la administración en un acto administrativo concreto, que tiene carácter laboral, la competencia por </w:t>
      </w:r>
      <w:r w:rsidRPr="001865A0">
        <w:rPr>
          <w:rFonts w:ascii="Arial" w:hAnsi="Arial" w:cs="Arial"/>
          <w:b/>
          <w:bCs/>
        </w:rPr>
        <w:t>factor territorial</w:t>
      </w:r>
      <w:r w:rsidRPr="001865A0">
        <w:rPr>
          <w:rFonts w:ascii="Arial" w:hAnsi="Arial" w:cs="Arial"/>
        </w:rPr>
        <w:t xml:space="preserve"> se asigna conforme lo establece el numeral 3 del artículo 156 del CPACA modificado por el artículo 31 de la Ley 2080 de 2021, así:</w:t>
      </w:r>
    </w:p>
    <w:p w14:paraId="4CC6533A" w14:textId="719A60A9" w:rsidR="00CD4BAA" w:rsidRPr="001865A0" w:rsidRDefault="00CD4BAA" w:rsidP="00CA7984">
      <w:pPr>
        <w:jc w:val="both"/>
        <w:rPr>
          <w:rFonts w:ascii="Arial" w:hAnsi="Arial" w:cs="Arial"/>
        </w:rPr>
      </w:pPr>
    </w:p>
    <w:p w14:paraId="4A7B1720" w14:textId="77899F7E" w:rsidR="00BD70C7" w:rsidRPr="001865A0" w:rsidRDefault="00BD70C7" w:rsidP="00CA7984">
      <w:pPr>
        <w:ind w:left="709"/>
        <w:jc w:val="both"/>
        <w:rPr>
          <w:rFonts w:ascii="Arial" w:hAnsi="Arial" w:cs="Arial"/>
        </w:rPr>
      </w:pPr>
      <w:r w:rsidRPr="001865A0">
        <w:rPr>
          <w:rFonts w:ascii="Arial" w:hAnsi="Arial" w:cs="Arial"/>
        </w:rPr>
        <w:t xml:space="preserve">“3. </w:t>
      </w:r>
      <w:r w:rsidRPr="001865A0">
        <w:rPr>
          <w:rFonts w:ascii="Arial" w:hAnsi="Arial" w:cs="Arial"/>
          <w:b/>
          <w:bCs/>
        </w:rPr>
        <w:t>En los asuntos de nulidad y restablecimiento del derecho de carácter laboral se determinará por el último lugar donde se prestaron o debieron prestarse los servicios</w:t>
      </w:r>
      <w:r w:rsidRPr="001865A0">
        <w:rPr>
          <w:rFonts w:ascii="Arial" w:hAnsi="Arial" w:cs="Arial"/>
        </w:rPr>
        <w:t>. Cuando se trate de derechos pensionales, se determinará por el domicilio del demandante, siempre y cuando la entidad demandada tenga sede en dicho lugar.”</w:t>
      </w:r>
    </w:p>
    <w:p w14:paraId="433B17CD" w14:textId="77777777" w:rsidR="00CD4BAA" w:rsidRPr="001865A0" w:rsidRDefault="00CD4BAA" w:rsidP="007B72E2">
      <w:pPr>
        <w:spacing w:line="360" w:lineRule="auto"/>
        <w:jc w:val="both"/>
        <w:rPr>
          <w:rFonts w:ascii="Arial" w:hAnsi="Arial" w:cs="Arial"/>
        </w:rPr>
      </w:pPr>
    </w:p>
    <w:p w14:paraId="12607DB0" w14:textId="52A44D7E" w:rsidR="00CD4BAA" w:rsidRPr="001865A0" w:rsidRDefault="007E0F1B" w:rsidP="00CA7984">
      <w:pPr>
        <w:spacing w:line="360" w:lineRule="auto"/>
        <w:ind w:right="51"/>
        <w:jc w:val="both"/>
        <w:rPr>
          <w:rFonts w:ascii="Arial" w:hAnsi="Arial" w:cs="Arial"/>
        </w:rPr>
      </w:pPr>
      <w:r w:rsidRPr="001865A0">
        <w:rPr>
          <w:rFonts w:ascii="Arial" w:hAnsi="Arial" w:cs="Arial"/>
        </w:rPr>
        <w:t xml:space="preserve">Así las cosas, al observarse que el </w:t>
      </w:r>
      <w:r w:rsidRPr="001865A0">
        <w:rPr>
          <w:rFonts w:ascii="Arial" w:hAnsi="Arial" w:cs="Arial"/>
          <w:b/>
          <w:bCs/>
        </w:rPr>
        <w:t>lugar de prestación de servicios de la demandante es Santa Rosa de Viterbo</w:t>
      </w:r>
      <w:r w:rsidRPr="001865A0">
        <w:rPr>
          <w:rFonts w:ascii="Arial" w:hAnsi="Arial" w:cs="Arial"/>
        </w:rPr>
        <w:t xml:space="preserve"> (anexo 01 demanda f</w:t>
      </w:r>
      <w:r w:rsidR="78ECE9A1" w:rsidRPr="001865A0">
        <w:rPr>
          <w:rFonts w:ascii="Arial" w:hAnsi="Arial" w:cs="Arial"/>
        </w:rPr>
        <w:t>.</w:t>
      </w:r>
      <w:r w:rsidRPr="001865A0">
        <w:rPr>
          <w:rFonts w:ascii="Arial" w:hAnsi="Arial" w:cs="Arial"/>
        </w:rPr>
        <w:t xml:space="preserve"> 50), el competente para asumir el conocimiento de la demanda </w:t>
      </w:r>
      <w:r w:rsidR="480BA122" w:rsidRPr="001865A0">
        <w:rPr>
          <w:rFonts w:ascii="Arial" w:hAnsi="Arial" w:cs="Arial"/>
        </w:rPr>
        <w:t>corresponde al</w:t>
      </w:r>
      <w:r w:rsidRPr="001865A0">
        <w:rPr>
          <w:rFonts w:ascii="Arial" w:hAnsi="Arial" w:cs="Arial"/>
        </w:rPr>
        <w:t xml:space="preserve"> Juzgado Tercero Administrativo de Duitama, despacho a quién le </w:t>
      </w:r>
      <w:r w:rsidR="14EDC7D2" w:rsidRPr="001865A0">
        <w:rPr>
          <w:rFonts w:ascii="Arial" w:hAnsi="Arial" w:cs="Arial"/>
        </w:rPr>
        <w:t xml:space="preserve">fue </w:t>
      </w:r>
      <w:r w:rsidRPr="001865A0">
        <w:rPr>
          <w:rFonts w:ascii="Arial" w:hAnsi="Arial" w:cs="Arial"/>
        </w:rPr>
        <w:t>inicialmente repart</w:t>
      </w:r>
      <w:r w:rsidR="54276327" w:rsidRPr="001865A0">
        <w:rPr>
          <w:rFonts w:ascii="Arial" w:hAnsi="Arial" w:cs="Arial"/>
        </w:rPr>
        <w:t>ida</w:t>
      </w:r>
      <w:r w:rsidRPr="001865A0">
        <w:rPr>
          <w:rFonts w:ascii="Arial" w:hAnsi="Arial" w:cs="Arial"/>
        </w:rPr>
        <w:t xml:space="preserve"> la demanda. </w:t>
      </w:r>
    </w:p>
    <w:p w14:paraId="360B7390" w14:textId="77777777" w:rsidR="00CD4BAA" w:rsidRPr="001865A0" w:rsidRDefault="00CD4BAA" w:rsidP="00CA7984">
      <w:pPr>
        <w:spacing w:line="360" w:lineRule="auto"/>
        <w:ind w:right="51"/>
        <w:jc w:val="both"/>
        <w:rPr>
          <w:rFonts w:ascii="Arial" w:hAnsi="Arial" w:cs="Arial"/>
        </w:rPr>
      </w:pPr>
    </w:p>
    <w:p w14:paraId="486B824F" w14:textId="463477B5" w:rsidR="00645100" w:rsidRPr="001865A0" w:rsidRDefault="00645100" w:rsidP="00CA7984">
      <w:pPr>
        <w:spacing w:line="360" w:lineRule="auto"/>
        <w:ind w:right="51"/>
        <w:jc w:val="both"/>
        <w:rPr>
          <w:rFonts w:ascii="Arial" w:hAnsi="Arial" w:cs="Arial"/>
        </w:rPr>
      </w:pPr>
      <w:r w:rsidRPr="001865A0">
        <w:rPr>
          <w:rFonts w:ascii="Arial" w:hAnsi="Arial" w:cs="Arial"/>
          <w:bCs/>
        </w:rPr>
        <w:t xml:space="preserve">Por tal motivo, </w:t>
      </w:r>
      <w:r w:rsidR="00CA7984" w:rsidRPr="001865A0">
        <w:rPr>
          <w:rFonts w:ascii="Arial" w:hAnsi="Arial" w:cs="Arial"/>
          <w:bCs/>
        </w:rPr>
        <w:t xml:space="preserve">el Despacho </w:t>
      </w:r>
      <w:r w:rsidRPr="001865A0">
        <w:rPr>
          <w:rFonts w:ascii="Arial" w:hAnsi="Arial" w:cs="Arial"/>
          <w:bCs/>
        </w:rPr>
        <w:t xml:space="preserve">declarará competente para el conocimiento de la demanda de la referencia al </w:t>
      </w:r>
      <w:r w:rsidRPr="001865A0">
        <w:rPr>
          <w:rFonts w:ascii="Arial" w:hAnsi="Arial" w:cs="Arial"/>
        </w:rPr>
        <w:t xml:space="preserve">Juzgado </w:t>
      </w:r>
      <w:r w:rsidR="00CA7984" w:rsidRPr="001865A0">
        <w:rPr>
          <w:rFonts w:ascii="Arial" w:hAnsi="Arial" w:cs="Arial"/>
        </w:rPr>
        <w:t xml:space="preserve">Tercero </w:t>
      </w:r>
      <w:r w:rsidRPr="001865A0">
        <w:rPr>
          <w:rFonts w:ascii="Arial" w:hAnsi="Arial" w:cs="Arial"/>
        </w:rPr>
        <w:t xml:space="preserve">Administrativo de Oralidad del Circuito Judicial de </w:t>
      </w:r>
      <w:r w:rsidR="00CA7984" w:rsidRPr="001865A0">
        <w:rPr>
          <w:rFonts w:ascii="Arial" w:hAnsi="Arial" w:cs="Arial"/>
        </w:rPr>
        <w:t>Duitama</w:t>
      </w:r>
      <w:r w:rsidRPr="001865A0">
        <w:rPr>
          <w:rFonts w:ascii="Arial" w:hAnsi="Arial" w:cs="Arial"/>
        </w:rPr>
        <w:t>.</w:t>
      </w:r>
    </w:p>
    <w:p w14:paraId="24B4DA3E" w14:textId="77777777" w:rsidR="00CB20C9" w:rsidRPr="001865A0" w:rsidRDefault="00CB20C9" w:rsidP="00CA7984">
      <w:pPr>
        <w:spacing w:line="360" w:lineRule="auto"/>
        <w:ind w:right="51"/>
        <w:jc w:val="both"/>
        <w:rPr>
          <w:rFonts w:ascii="Arial" w:hAnsi="Arial" w:cs="Arial"/>
          <w:bCs/>
          <w:iCs/>
        </w:rPr>
      </w:pPr>
    </w:p>
    <w:p w14:paraId="57D2F3D6" w14:textId="3CCD2297" w:rsidR="00645100" w:rsidRPr="001865A0" w:rsidRDefault="00645100" w:rsidP="00CA7984">
      <w:pPr>
        <w:spacing w:line="360" w:lineRule="auto"/>
        <w:ind w:right="51"/>
        <w:jc w:val="both"/>
        <w:rPr>
          <w:rFonts w:ascii="Arial" w:hAnsi="Arial" w:cs="Arial"/>
          <w:bCs/>
          <w:iCs/>
          <w:lang w:val="x-none"/>
        </w:rPr>
      </w:pPr>
      <w:r w:rsidRPr="001865A0">
        <w:rPr>
          <w:rFonts w:ascii="Arial" w:hAnsi="Arial" w:cs="Arial"/>
          <w:bCs/>
          <w:iCs/>
        </w:rPr>
        <w:t>E</w:t>
      </w:r>
      <w:r w:rsidRPr="001865A0">
        <w:rPr>
          <w:rFonts w:ascii="Arial" w:hAnsi="Arial" w:cs="Arial"/>
          <w:bCs/>
          <w:iCs/>
          <w:lang w:val="x-none"/>
        </w:rPr>
        <w:t xml:space="preserve">n mérito de lo expuesto, </w:t>
      </w:r>
      <w:r w:rsidR="00CA7984" w:rsidRPr="001865A0">
        <w:rPr>
          <w:rFonts w:ascii="Arial" w:hAnsi="Arial" w:cs="Arial"/>
          <w:bCs/>
          <w:iCs/>
        </w:rPr>
        <w:t>se</w:t>
      </w:r>
      <w:r w:rsidRPr="001865A0">
        <w:rPr>
          <w:rFonts w:ascii="Arial" w:hAnsi="Arial" w:cs="Arial"/>
          <w:bCs/>
          <w:iCs/>
          <w:lang w:val="x-none"/>
        </w:rPr>
        <w:t xml:space="preserve"> </w:t>
      </w:r>
    </w:p>
    <w:p w14:paraId="1F8E9A96" w14:textId="004428F8" w:rsidR="00CB20C9" w:rsidRPr="001865A0" w:rsidRDefault="00CB20C9" w:rsidP="00CA7984">
      <w:pPr>
        <w:spacing w:line="360" w:lineRule="auto"/>
        <w:ind w:right="51"/>
        <w:jc w:val="both"/>
        <w:rPr>
          <w:rFonts w:ascii="Arial" w:hAnsi="Arial" w:cs="Arial"/>
          <w:bCs/>
          <w:iCs/>
          <w:lang w:val="x-none"/>
        </w:rPr>
      </w:pPr>
    </w:p>
    <w:p w14:paraId="51E450AA" w14:textId="3EF767CB" w:rsidR="00E97468" w:rsidRPr="001865A0" w:rsidRDefault="00E97468" w:rsidP="00CA7984">
      <w:pPr>
        <w:spacing w:line="360" w:lineRule="auto"/>
        <w:ind w:right="51"/>
        <w:jc w:val="both"/>
        <w:rPr>
          <w:rFonts w:ascii="Arial" w:hAnsi="Arial" w:cs="Arial"/>
          <w:bCs/>
          <w:iCs/>
          <w:lang w:val="x-none"/>
        </w:rPr>
      </w:pPr>
    </w:p>
    <w:p w14:paraId="3455BD66" w14:textId="584FC60C" w:rsidR="00E97468" w:rsidRPr="001865A0" w:rsidRDefault="00E97468" w:rsidP="00CA7984">
      <w:pPr>
        <w:spacing w:line="360" w:lineRule="auto"/>
        <w:ind w:right="51"/>
        <w:jc w:val="both"/>
        <w:rPr>
          <w:rFonts w:ascii="Arial" w:hAnsi="Arial" w:cs="Arial"/>
          <w:bCs/>
          <w:iCs/>
          <w:lang w:val="x-none"/>
        </w:rPr>
      </w:pPr>
    </w:p>
    <w:p w14:paraId="076DABF4" w14:textId="77777777" w:rsidR="00E97468" w:rsidRPr="001865A0" w:rsidRDefault="00E97468" w:rsidP="00CA7984">
      <w:pPr>
        <w:spacing w:line="360" w:lineRule="auto"/>
        <w:ind w:right="51"/>
        <w:jc w:val="both"/>
        <w:rPr>
          <w:rFonts w:ascii="Arial" w:hAnsi="Arial" w:cs="Arial"/>
          <w:bCs/>
          <w:iCs/>
          <w:lang w:val="x-none"/>
        </w:rPr>
      </w:pPr>
    </w:p>
    <w:p w14:paraId="26977632" w14:textId="77777777" w:rsidR="00645100" w:rsidRPr="001865A0" w:rsidRDefault="00645100" w:rsidP="00CA7984">
      <w:pPr>
        <w:spacing w:line="360" w:lineRule="auto"/>
        <w:ind w:right="-288"/>
        <w:jc w:val="center"/>
        <w:rPr>
          <w:rFonts w:ascii="Arial" w:hAnsi="Arial" w:cs="Arial"/>
          <w:b/>
          <w:iCs/>
        </w:rPr>
      </w:pPr>
      <w:r w:rsidRPr="001865A0">
        <w:rPr>
          <w:rFonts w:ascii="Arial" w:hAnsi="Arial" w:cs="Arial"/>
          <w:b/>
          <w:iCs/>
        </w:rPr>
        <w:t>RESUELVE:</w:t>
      </w:r>
    </w:p>
    <w:p w14:paraId="1B9E2B37" w14:textId="77777777" w:rsidR="00645100" w:rsidRPr="001865A0" w:rsidRDefault="00645100" w:rsidP="00CA7984">
      <w:pPr>
        <w:spacing w:line="360" w:lineRule="auto"/>
        <w:ind w:right="-288"/>
        <w:jc w:val="both"/>
        <w:rPr>
          <w:rFonts w:ascii="Arial" w:hAnsi="Arial" w:cs="Arial"/>
          <w:iCs/>
        </w:rPr>
      </w:pPr>
    </w:p>
    <w:p w14:paraId="1DECA8A9" w14:textId="156A7135" w:rsidR="00645100" w:rsidRPr="001865A0" w:rsidRDefault="00645100" w:rsidP="2B7B4C60">
      <w:pPr>
        <w:suppressAutoHyphens/>
        <w:overflowPunct w:val="0"/>
        <w:autoSpaceDE w:val="0"/>
        <w:autoSpaceDN w:val="0"/>
        <w:adjustRightInd w:val="0"/>
        <w:spacing w:line="360" w:lineRule="auto"/>
        <w:jc w:val="both"/>
        <w:textAlignment w:val="baseline"/>
        <w:rPr>
          <w:rFonts w:ascii="Arial" w:hAnsi="Arial" w:cs="Arial"/>
        </w:rPr>
      </w:pPr>
      <w:r w:rsidRPr="001865A0">
        <w:rPr>
          <w:rFonts w:ascii="Arial" w:hAnsi="Arial" w:cs="Arial"/>
          <w:b/>
          <w:bCs/>
        </w:rPr>
        <w:t xml:space="preserve">PRIMERO: DECLARAR </w:t>
      </w:r>
      <w:r w:rsidRPr="001865A0">
        <w:rPr>
          <w:rFonts w:ascii="Arial" w:hAnsi="Arial" w:cs="Arial"/>
        </w:rPr>
        <w:t xml:space="preserve">competente </w:t>
      </w:r>
      <w:r w:rsidR="7B2214C4" w:rsidRPr="001865A0">
        <w:rPr>
          <w:rFonts w:ascii="Arial" w:hAnsi="Arial" w:cs="Arial"/>
        </w:rPr>
        <w:t>al Juzgado Tercero Administrativo de Oralidad del Circuito Judicial de Duitam</w:t>
      </w:r>
      <w:r w:rsidR="00E97468" w:rsidRPr="001865A0">
        <w:rPr>
          <w:rFonts w:ascii="Arial" w:hAnsi="Arial" w:cs="Arial"/>
        </w:rPr>
        <w:t>a</w:t>
      </w:r>
      <w:r w:rsidR="7B2214C4" w:rsidRPr="001865A0">
        <w:rPr>
          <w:rFonts w:ascii="Arial" w:hAnsi="Arial" w:cs="Arial"/>
        </w:rPr>
        <w:t xml:space="preserve">, </w:t>
      </w:r>
      <w:r w:rsidRPr="001865A0">
        <w:rPr>
          <w:rFonts w:ascii="Arial" w:hAnsi="Arial" w:cs="Arial"/>
        </w:rPr>
        <w:t>para el conocimiento de la demanda presentada en ejercicio del medio de control de nulidad y restablecimiento del derecho por l</w:t>
      </w:r>
      <w:r w:rsidR="00CA7984" w:rsidRPr="001865A0">
        <w:rPr>
          <w:rFonts w:ascii="Arial" w:hAnsi="Arial" w:cs="Arial"/>
        </w:rPr>
        <w:t>a</w:t>
      </w:r>
      <w:r w:rsidRPr="001865A0">
        <w:rPr>
          <w:rFonts w:ascii="Arial" w:hAnsi="Arial" w:cs="Arial"/>
        </w:rPr>
        <w:t xml:space="preserve"> señor</w:t>
      </w:r>
      <w:r w:rsidR="00CA7984" w:rsidRPr="001865A0">
        <w:rPr>
          <w:rFonts w:ascii="Arial" w:hAnsi="Arial" w:cs="Arial"/>
        </w:rPr>
        <w:t xml:space="preserve">a </w:t>
      </w:r>
      <w:r w:rsidR="00CA7984" w:rsidRPr="001865A0">
        <w:rPr>
          <w:rFonts w:ascii="Arial" w:hAnsi="Arial" w:cs="Arial"/>
          <w:b/>
          <w:bCs/>
        </w:rPr>
        <w:t>Zita María Hernández Díaz</w:t>
      </w:r>
      <w:r w:rsidRPr="001865A0">
        <w:rPr>
          <w:rFonts w:ascii="Arial" w:hAnsi="Arial" w:cs="Arial"/>
        </w:rPr>
        <w:t xml:space="preserve">, contra </w:t>
      </w:r>
      <w:r w:rsidR="00CA7984" w:rsidRPr="001865A0">
        <w:rPr>
          <w:rFonts w:ascii="Arial" w:hAnsi="Arial" w:cs="Arial"/>
        </w:rPr>
        <w:t>la Nación-Ministerio de Educación-Fondo Nacional de Prestaciones Sociales del Magisterio</w:t>
      </w:r>
      <w:r w:rsidR="2E36CACA" w:rsidRPr="001865A0">
        <w:rPr>
          <w:rFonts w:ascii="Arial" w:hAnsi="Arial" w:cs="Arial"/>
        </w:rPr>
        <w:t>.</w:t>
      </w:r>
    </w:p>
    <w:p w14:paraId="1B0F2068" w14:textId="77777777" w:rsidR="00645100" w:rsidRPr="001865A0" w:rsidRDefault="00645100" w:rsidP="00CA7984">
      <w:pPr>
        <w:tabs>
          <w:tab w:val="left" w:pos="-720"/>
        </w:tabs>
        <w:suppressAutoHyphens/>
        <w:overflowPunct w:val="0"/>
        <w:autoSpaceDE w:val="0"/>
        <w:autoSpaceDN w:val="0"/>
        <w:adjustRightInd w:val="0"/>
        <w:spacing w:line="360" w:lineRule="auto"/>
        <w:ind w:left="720"/>
        <w:jc w:val="both"/>
        <w:textAlignment w:val="baseline"/>
        <w:rPr>
          <w:rFonts w:ascii="Arial" w:hAnsi="Arial" w:cs="Arial"/>
          <w:lang w:val="es-ES_tradnl"/>
        </w:rPr>
      </w:pPr>
    </w:p>
    <w:p w14:paraId="2E5AF46C" w14:textId="6AC2094F" w:rsidR="00645100" w:rsidRPr="001865A0" w:rsidRDefault="00645100" w:rsidP="00CA7984">
      <w:pPr>
        <w:tabs>
          <w:tab w:val="left" w:pos="-720"/>
        </w:tabs>
        <w:suppressAutoHyphens/>
        <w:overflowPunct w:val="0"/>
        <w:autoSpaceDE w:val="0"/>
        <w:autoSpaceDN w:val="0"/>
        <w:adjustRightInd w:val="0"/>
        <w:spacing w:line="360" w:lineRule="auto"/>
        <w:jc w:val="both"/>
        <w:textAlignment w:val="baseline"/>
        <w:rPr>
          <w:rFonts w:ascii="Arial" w:hAnsi="Arial" w:cs="Arial"/>
          <w:lang w:val="es-ES_tradnl"/>
        </w:rPr>
      </w:pPr>
      <w:r w:rsidRPr="001865A0">
        <w:rPr>
          <w:rFonts w:ascii="Arial" w:hAnsi="Arial" w:cs="Arial"/>
          <w:b/>
          <w:lang w:val="es-ES_tradnl"/>
        </w:rPr>
        <w:lastRenderedPageBreak/>
        <w:t>SEGUNDO:</w:t>
      </w:r>
      <w:r w:rsidRPr="001865A0">
        <w:rPr>
          <w:rFonts w:ascii="Arial" w:hAnsi="Arial" w:cs="Arial"/>
          <w:lang w:val="es-ES_tradnl"/>
        </w:rPr>
        <w:t xml:space="preserve"> Notifíquese esta decisión al Juzgado </w:t>
      </w:r>
      <w:r w:rsidR="00CA7984" w:rsidRPr="001865A0">
        <w:rPr>
          <w:rFonts w:ascii="Arial" w:hAnsi="Arial" w:cs="Arial"/>
          <w:lang w:val="es-ES_tradnl"/>
        </w:rPr>
        <w:t xml:space="preserve">Quinto </w:t>
      </w:r>
      <w:r w:rsidRPr="001865A0">
        <w:rPr>
          <w:rFonts w:ascii="Arial" w:hAnsi="Arial" w:cs="Arial"/>
          <w:lang w:val="es-ES_tradnl"/>
        </w:rPr>
        <w:t>Administrativo</w:t>
      </w:r>
      <w:r w:rsidR="00CA7984" w:rsidRPr="001865A0">
        <w:rPr>
          <w:rFonts w:ascii="Arial" w:hAnsi="Arial" w:cs="Arial"/>
          <w:lang w:val="es-ES_tradnl"/>
        </w:rPr>
        <w:t xml:space="preserve"> </w:t>
      </w:r>
      <w:r w:rsidRPr="001865A0">
        <w:rPr>
          <w:rFonts w:ascii="Arial" w:hAnsi="Arial" w:cs="Arial"/>
          <w:lang w:val="es-ES_tradnl"/>
        </w:rPr>
        <w:t>Oral</w:t>
      </w:r>
      <w:r w:rsidR="00CA7984" w:rsidRPr="001865A0">
        <w:rPr>
          <w:rFonts w:ascii="Arial" w:hAnsi="Arial" w:cs="Arial"/>
          <w:lang w:val="es-ES_tradnl"/>
        </w:rPr>
        <w:t xml:space="preserve"> </w:t>
      </w:r>
      <w:r w:rsidRPr="001865A0">
        <w:rPr>
          <w:rFonts w:ascii="Arial" w:hAnsi="Arial" w:cs="Arial"/>
          <w:lang w:val="es-ES_tradnl"/>
        </w:rPr>
        <w:t>de Tunja</w:t>
      </w:r>
      <w:r w:rsidR="00CA7984" w:rsidRPr="001865A0">
        <w:rPr>
          <w:rFonts w:ascii="Arial" w:hAnsi="Arial" w:cs="Arial"/>
          <w:lang w:val="es-ES_tradnl"/>
        </w:rPr>
        <w:t>.</w:t>
      </w:r>
    </w:p>
    <w:p w14:paraId="5AA50D67" w14:textId="77777777" w:rsidR="006F1287" w:rsidRPr="001865A0" w:rsidRDefault="006F1287" w:rsidP="00CA7984">
      <w:pPr>
        <w:tabs>
          <w:tab w:val="left" w:pos="-720"/>
        </w:tabs>
        <w:suppressAutoHyphens/>
        <w:overflowPunct w:val="0"/>
        <w:autoSpaceDE w:val="0"/>
        <w:autoSpaceDN w:val="0"/>
        <w:adjustRightInd w:val="0"/>
        <w:spacing w:line="360" w:lineRule="auto"/>
        <w:jc w:val="both"/>
        <w:textAlignment w:val="baseline"/>
        <w:rPr>
          <w:rFonts w:ascii="Arial" w:hAnsi="Arial" w:cs="Arial"/>
          <w:b/>
          <w:lang w:val="es-ES_tradnl"/>
        </w:rPr>
      </w:pPr>
    </w:p>
    <w:p w14:paraId="09000841" w14:textId="037D5A0B" w:rsidR="00645100" w:rsidRPr="001865A0" w:rsidRDefault="00645100" w:rsidP="00CA7984">
      <w:pPr>
        <w:tabs>
          <w:tab w:val="left" w:pos="-720"/>
        </w:tabs>
        <w:suppressAutoHyphens/>
        <w:overflowPunct w:val="0"/>
        <w:autoSpaceDE w:val="0"/>
        <w:autoSpaceDN w:val="0"/>
        <w:adjustRightInd w:val="0"/>
        <w:spacing w:line="360" w:lineRule="auto"/>
        <w:jc w:val="both"/>
        <w:textAlignment w:val="baseline"/>
        <w:rPr>
          <w:rFonts w:ascii="Arial" w:hAnsi="Arial" w:cs="Arial"/>
          <w:lang w:val="es-ES_tradnl"/>
        </w:rPr>
      </w:pPr>
      <w:r w:rsidRPr="001865A0">
        <w:rPr>
          <w:rFonts w:ascii="Arial" w:hAnsi="Arial" w:cs="Arial"/>
          <w:b/>
          <w:lang w:val="es-ES_tradnl"/>
        </w:rPr>
        <w:t>TERCERO:</w:t>
      </w:r>
      <w:r w:rsidRPr="001865A0">
        <w:rPr>
          <w:rFonts w:ascii="Arial" w:hAnsi="Arial" w:cs="Arial"/>
          <w:lang w:val="es-ES_tradnl"/>
        </w:rPr>
        <w:t xml:space="preserve"> Envíese de forma inmediata el expediente al conocimiento del</w:t>
      </w:r>
      <w:r w:rsidR="00CA7984" w:rsidRPr="001865A0">
        <w:rPr>
          <w:rFonts w:ascii="Arial" w:hAnsi="Arial" w:cs="Arial"/>
          <w:lang w:val="es-ES_tradnl"/>
        </w:rPr>
        <w:t xml:space="preserve"> </w:t>
      </w:r>
      <w:r w:rsidRPr="001865A0">
        <w:rPr>
          <w:rFonts w:ascii="Arial" w:hAnsi="Arial" w:cs="Arial"/>
          <w:lang w:val="es-ES_tradnl"/>
        </w:rPr>
        <w:t xml:space="preserve">Juzgado </w:t>
      </w:r>
      <w:r w:rsidR="00CA7984" w:rsidRPr="001865A0">
        <w:rPr>
          <w:rFonts w:ascii="Arial" w:hAnsi="Arial" w:cs="Arial"/>
          <w:lang w:val="es-ES_tradnl"/>
        </w:rPr>
        <w:t xml:space="preserve">Tercero </w:t>
      </w:r>
      <w:r w:rsidRPr="001865A0">
        <w:rPr>
          <w:rFonts w:ascii="Arial" w:hAnsi="Arial" w:cs="Arial"/>
          <w:lang w:val="es-ES_tradnl"/>
        </w:rPr>
        <w:t xml:space="preserve">Administrativo de Oralidad del Circuito Judicial de </w:t>
      </w:r>
      <w:r w:rsidR="00CA7984" w:rsidRPr="001865A0">
        <w:rPr>
          <w:rFonts w:ascii="Arial" w:hAnsi="Arial" w:cs="Arial"/>
          <w:lang w:val="es-ES_tradnl"/>
        </w:rPr>
        <w:t>Duitama</w:t>
      </w:r>
      <w:r w:rsidRPr="001865A0">
        <w:rPr>
          <w:rFonts w:ascii="Arial" w:hAnsi="Arial" w:cs="Arial"/>
          <w:lang w:val="es-ES_tradnl"/>
        </w:rPr>
        <w:t xml:space="preserve">. </w:t>
      </w:r>
    </w:p>
    <w:p w14:paraId="012FE71D" w14:textId="77777777" w:rsidR="007B72E2" w:rsidRPr="001865A0" w:rsidRDefault="007B72E2" w:rsidP="00CA7984">
      <w:pPr>
        <w:spacing w:line="360" w:lineRule="auto"/>
        <w:jc w:val="both"/>
        <w:rPr>
          <w:rFonts w:ascii="Arial" w:hAnsi="Arial" w:cs="Arial"/>
        </w:rPr>
      </w:pPr>
    </w:p>
    <w:p w14:paraId="25C2021A" w14:textId="77777777" w:rsidR="00BC02C4" w:rsidRPr="001865A0" w:rsidRDefault="00BC02C4" w:rsidP="00CA7984">
      <w:pPr>
        <w:spacing w:line="360" w:lineRule="auto"/>
        <w:ind w:left="708" w:hanging="708"/>
        <w:jc w:val="center"/>
        <w:rPr>
          <w:rFonts w:ascii="Arial" w:hAnsi="Arial" w:cs="Arial"/>
        </w:rPr>
      </w:pPr>
      <w:r w:rsidRPr="001865A0">
        <w:rPr>
          <w:rFonts w:ascii="Arial" w:hAnsi="Arial" w:cs="Arial"/>
        </w:rPr>
        <w:t>Notifíquese y cúmplase</w:t>
      </w:r>
    </w:p>
    <w:p w14:paraId="1ED76CA0" w14:textId="77777777" w:rsidR="00BC02C4" w:rsidRPr="001865A0" w:rsidRDefault="00BC02C4" w:rsidP="00CA7984">
      <w:pPr>
        <w:spacing w:line="360" w:lineRule="auto"/>
        <w:jc w:val="both"/>
        <w:rPr>
          <w:rFonts w:ascii="Arial" w:hAnsi="Arial" w:cs="Arial"/>
        </w:rPr>
      </w:pPr>
    </w:p>
    <w:p w14:paraId="496EF88C" w14:textId="77777777" w:rsidR="007B72E2" w:rsidRPr="001865A0" w:rsidRDefault="007B72E2" w:rsidP="00CA7984">
      <w:pPr>
        <w:spacing w:line="360" w:lineRule="auto"/>
        <w:jc w:val="both"/>
        <w:rPr>
          <w:rFonts w:ascii="Arial" w:hAnsi="Arial" w:cs="Arial"/>
        </w:rPr>
      </w:pPr>
    </w:p>
    <w:p w14:paraId="414200D1" w14:textId="77777777" w:rsidR="00BC02C4" w:rsidRPr="001865A0" w:rsidRDefault="00BC02C4" w:rsidP="00CA7984">
      <w:pPr>
        <w:spacing w:line="360" w:lineRule="auto"/>
        <w:ind w:right="51"/>
        <w:jc w:val="center"/>
        <w:rPr>
          <w:rFonts w:ascii="Arial" w:hAnsi="Arial" w:cs="Arial"/>
        </w:rPr>
      </w:pPr>
      <w:r w:rsidRPr="001865A0">
        <w:rPr>
          <w:rFonts w:ascii="Arial" w:hAnsi="Arial" w:cs="Arial"/>
        </w:rPr>
        <w:t>LUÍS ERNESTO ARCINIEGAS TRIANA</w:t>
      </w:r>
    </w:p>
    <w:p w14:paraId="1C262DF1" w14:textId="77777777" w:rsidR="00BC02C4" w:rsidRPr="001865A0" w:rsidRDefault="00BC02C4" w:rsidP="00CA7984">
      <w:pPr>
        <w:spacing w:line="360" w:lineRule="auto"/>
        <w:ind w:right="51"/>
        <w:jc w:val="center"/>
        <w:rPr>
          <w:rFonts w:ascii="Arial" w:hAnsi="Arial" w:cs="Arial"/>
          <w:b/>
        </w:rPr>
      </w:pPr>
      <w:r w:rsidRPr="001865A0">
        <w:rPr>
          <w:rFonts w:ascii="Arial" w:hAnsi="Arial" w:cs="Arial"/>
          <w:b/>
        </w:rPr>
        <w:t xml:space="preserve">Magistrado </w:t>
      </w:r>
    </w:p>
    <w:sectPr w:rsidR="00BC02C4" w:rsidRPr="001865A0" w:rsidSect="00773E87">
      <w:headerReference w:type="even" r:id="rId12"/>
      <w:headerReference w:type="default" r:id="rId13"/>
      <w:headerReference w:type="first" r:id="rId14"/>
      <w:pgSz w:w="12242" w:h="18722" w:code="121"/>
      <w:pgMar w:top="1418" w:right="1701" w:bottom="1418" w:left="1701" w:header="113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105A" w14:textId="77777777" w:rsidR="00101296" w:rsidRDefault="00101296" w:rsidP="004F5C5A">
      <w:r>
        <w:separator/>
      </w:r>
    </w:p>
  </w:endnote>
  <w:endnote w:type="continuationSeparator" w:id="0">
    <w:p w14:paraId="395A8C06" w14:textId="77777777" w:rsidR="00101296" w:rsidRDefault="00101296" w:rsidP="004F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9FA6B" w14:textId="77777777" w:rsidR="00101296" w:rsidRDefault="00101296" w:rsidP="004F5C5A">
      <w:r>
        <w:separator/>
      </w:r>
    </w:p>
  </w:footnote>
  <w:footnote w:type="continuationSeparator" w:id="0">
    <w:p w14:paraId="56A7692A" w14:textId="77777777" w:rsidR="00101296" w:rsidRDefault="00101296" w:rsidP="004F5C5A">
      <w:r>
        <w:continuationSeparator/>
      </w:r>
    </w:p>
  </w:footnote>
  <w:footnote w:id="1">
    <w:p w14:paraId="523431F8" w14:textId="0FD1A6CB" w:rsidR="00CC05CD" w:rsidRDefault="00CC05CD">
      <w:pPr>
        <w:pStyle w:val="Textonotapie"/>
      </w:pPr>
      <w:r>
        <w:rPr>
          <w:rStyle w:val="Refdenotaalpie"/>
        </w:rPr>
        <w:footnoteRef/>
      </w:r>
      <w:r>
        <w:t xml:space="preserve"> Radicación: 17001-23-33-000-2016-00102-02 (5427-2019)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3A60" w14:textId="77777777" w:rsidR="0082730C" w:rsidRDefault="00617448" w:rsidP="0082730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4AA360C5" w14:textId="77777777" w:rsidR="0082730C" w:rsidRDefault="0082730C">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D2536" w14:textId="77777777" w:rsidR="0082730C" w:rsidRDefault="00617448" w:rsidP="0082730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1287">
      <w:rPr>
        <w:rStyle w:val="Nmerodepgina"/>
        <w:noProof/>
      </w:rPr>
      <w:t>9</w:t>
    </w:r>
    <w:r>
      <w:rPr>
        <w:rStyle w:val="Nmerodepgina"/>
      </w:rPr>
      <w:fldChar w:fldCharType="end"/>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4110"/>
    </w:tblGrid>
    <w:tr w:rsidR="00CD4BAA" w:rsidRPr="00CD4BAA" w14:paraId="58C5D8E5" w14:textId="77777777" w:rsidTr="00CD4BAA">
      <w:trPr>
        <w:jc w:val="center"/>
      </w:trPr>
      <w:tc>
        <w:tcPr>
          <w:tcW w:w="1276" w:type="dxa"/>
        </w:tcPr>
        <w:p w14:paraId="0BD23403" w14:textId="77777777" w:rsidR="00CD4BAA" w:rsidRPr="00CD4BAA" w:rsidRDefault="00CD4BAA" w:rsidP="00CD4BAA">
          <w:pPr>
            <w:rPr>
              <w:bCs/>
              <w:iCs/>
              <w:sz w:val="20"/>
              <w:szCs w:val="20"/>
            </w:rPr>
          </w:pPr>
          <w:r w:rsidRPr="00CD4BAA">
            <w:rPr>
              <w:bCs/>
              <w:iCs/>
              <w:sz w:val="20"/>
              <w:szCs w:val="20"/>
            </w:rPr>
            <w:t>Asunto</w:t>
          </w:r>
        </w:p>
      </w:tc>
      <w:tc>
        <w:tcPr>
          <w:tcW w:w="284" w:type="dxa"/>
        </w:tcPr>
        <w:p w14:paraId="1A2211FC" w14:textId="77777777" w:rsidR="00CD4BAA" w:rsidRPr="00CD4BAA" w:rsidRDefault="00CD4BAA" w:rsidP="00CD4BAA">
          <w:pPr>
            <w:jc w:val="center"/>
            <w:rPr>
              <w:bCs/>
              <w:iCs/>
              <w:sz w:val="20"/>
              <w:szCs w:val="20"/>
            </w:rPr>
          </w:pPr>
          <w:r w:rsidRPr="00CD4BAA">
            <w:rPr>
              <w:bCs/>
              <w:iCs/>
              <w:sz w:val="20"/>
              <w:szCs w:val="20"/>
            </w:rPr>
            <w:t>:</w:t>
          </w:r>
        </w:p>
      </w:tc>
      <w:tc>
        <w:tcPr>
          <w:tcW w:w="4110" w:type="dxa"/>
        </w:tcPr>
        <w:p w14:paraId="2818C18C" w14:textId="77777777" w:rsidR="00CD4BAA" w:rsidRPr="00CD4BAA" w:rsidRDefault="00CD4BAA" w:rsidP="00CD4BAA">
          <w:pPr>
            <w:rPr>
              <w:bCs/>
              <w:iCs/>
              <w:sz w:val="20"/>
              <w:szCs w:val="20"/>
            </w:rPr>
          </w:pPr>
          <w:r w:rsidRPr="00CD4BAA">
            <w:rPr>
              <w:bCs/>
              <w:iCs/>
              <w:sz w:val="20"/>
              <w:szCs w:val="20"/>
            </w:rPr>
            <w:t xml:space="preserve">Conflicto de competencia </w:t>
          </w:r>
        </w:p>
      </w:tc>
    </w:tr>
    <w:tr w:rsidR="00CD4BAA" w:rsidRPr="00CD4BAA" w14:paraId="08908990" w14:textId="77777777" w:rsidTr="00CD4BAA">
      <w:trPr>
        <w:jc w:val="center"/>
      </w:trPr>
      <w:tc>
        <w:tcPr>
          <w:tcW w:w="1276" w:type="dxa"/>
        </w:tcPr>
        <w:p w14:paraId="391EBC82" w14:textId="77777777" w:rsidR="00CD4BAA" w:rsidRPr="00CD4BAA" w:rsidRDefault="00CD4BAA" w:rsidP="00CD4BAA">
          <w:pPr>
            <w:rPr>
              <w:bCs/>
              <w:iCs/>
              <w:sz w:val="20"/>
              <w:szCs w:val="20"/>
            </w:rPr>
          </w:pPr>
          <w:r w:rsidRPr="00CD4BAA">
            <w:rPr>
              <w:bCs/>
              <w:iCs/>
              <w:sz w:val="20"/>
              <w:szCs w:val="20"/>
            </w:rPr>
            <w:t>Solicitantes</w:t>
          </w:r>
        </w:p>
      </w:tc>
      <w:tc>
        <w:tcPr>
          <w:tcW w:w="284" w:type="dxa"/>
        </w:tcPr>
        <w:p w14:paraId="6B328F9B" w14:textId="77777777" w:rsidR="00CD4BAA" w:rsidRPr="00CD4BAA" w:rsidRDefault="00CD4BAA" w:rsidP="00CD4BAA">
          <w:pPr>
            <w:jc w:val="center"/>
            <w:rPr>
              <w:bCs/>
              <w:iCs/>
              <w:sz w:val="20"/>
              <w:szCs w:val="20"/>
            </w:rPr>
          </w:pPr>
          <w:r w:rsidRPr="00CD4BAA">
            <w:rPr>
              <w:bCs/>
              <w:iCs/>
              <w:sz w:val="20"/>
              <w:szCs w:val="20"/>
            </w:rPr>
            <w:t>:</w:t>
          </w:r>
        </w:p>
      </w:tc>
      <w:tc>
        <w:tcPr>
          <w:tcW w:w="4110" w:type="dxa"/>
        </w:tcPr>
        <w:p w14:paraId="0DBC18FC" w14:textId="77777777" w:rsidR="00CD4BAA" w:rsidRPr="00CD4BAA" w:rsidRDefault="00CD4BAA" w:rsidP="00CD4BAA">
          <w:pPr>
            <w:rPr>
              <w:bCs/>
              <w:iCs/>
              <w:sz w:val="20"/>
              <w:szCs w:val="20"/>
            </w:rPr>
          </w:pPr>
          <w:r w:rsidRPr="00CD4BAA">
            <w:rPr>
              <w:bCs/>
              <w:iCs/>
              <w:sz w:val="20"/>
              <w:szCs w:val="20"/>
            </w:rPr>
            <w:t xml:space="preserve">Juzgado Quinto Administrativo de Tunja </w:t>
          </w:r>
        </w:p>
        <w:p w14:paraId="04172FC7" w14:textId="77777777" w:rsidR="00CD4BAA" w:rsidRPr="00CD4BAA" w:rsidRDefault="00CD4BAA" w:rsidP="00CD4BAA">
          <w:pPr>
            <w:rPr>
              <w:bCs/>
              <w:iCs/>
              <w:sz w:val="20"/>
              <w:szCs w:val="20"/>
            </w:rPr>
          </w:pPr>
          <w:r w:rsidRPr="00CD4BAA">
            <w:rPr>
              <w:bCs/>
              <w:iCs/>
              <w:sz w:val="20"/>
              <w:szCs w:val="20"/>
            </w:rPr>
            <w:t xml:space="preserve">Juzgado tercero Administrativo de Duitama </w:t>
          </w:r>
        </w:p>
      </w:tc>
    </w:tr>
    <w:tr w:rsidR="00CD4BAA" w:rsidRPr="00CD4BAA" w14:paraId="7D6D829F" w14:textId="77777777" w:rsidTr="00CD4BAA">
      <w:trPr>
        <w:jc w:val="center"/>
      </w:trPr>
      <w:tc>
        <w:tcPr>
          <w:tcW w:w="1276" w:type="dxa"/>
        </w:tcPr>
        <w:p w14:paraId="2BFA097E" w14:textId="77777777" w:rsidR="00CD4BAA" w:rsidRPr="00CD4BAA" w:rsidRDefault="00CD4BAA" w:rsidP="00CD4BAA">
          <w:pPr>
            <w:rPr>
              <w:bCs/>
              <w:iCs/>
              <w:sz w:val="20"/>
              <w:szCs w:val="20"/>
            </w:rPr>
          </w:pPr>
          <w:r w:rsidRPr="00CD4BAA">
            <w:rPr>
              <w:bCs/>
              <w:iCs/>
              <w:sz w:val="20"/>
              <w:szCs w:val="20"/>
            </w:rPr>
            <w:t>Radicado</w:t>
          </w:r>
        </w:p>
      </w:tc>
      <w:tc>
        <w:tcPr>
          <w:tcW w:w="284" w:type="dxa"/>
        </w:tcPr>
        <w:p w14:paraId="324AF8BF" w14:textId="77777777" w:rsidR="00CD4BAA" w:rsidRPr="00CD4BAA" w:rsidRDefault="00CD4BAA" w:rsidP="00CD4BAA">
          <w:pPr>
            <w:jc w:val="center"/>
            <w:rPr>
              <w:bCs/>
              <w:iCs/>
              <w:sz w:val="20"/>
              <w:szCs w:val="20"/>
            </w:rPr>
          </w:pPr>
          <w:r w:rsidRPr="00CD4BAA">
            <w:rPr>
              <w:bCs/>
              <w:iCs/>
              <w:sz w:val="20"/>
              <w:szCs w:val="20"/>
            </w:rPr>
            <w:t>:</w:t>
          </w:r>
        </w:p>
      </w:tc>
      <w:tc>
        <w:tcPr>
          <w:tcW w:w="4110" w:type="dxa"/>
        </w:tcPr>
        <w:p w14:paraId="0135864A" w14:textId="77777777" w:rsidR="00CD4BAA" w:rsidRPr="00CD4BAA" w:rsidRDefault="00CD4BAA" w:rsidP="00CD4BAA">
          <w:pPr>
            <w:rPr>
              <w:bCs/>
              <w:iCs/>
              <w:sz w:val="20"/>
              <w:szCs w:val="20"/>
            </w:rPr>
          </w:pPr>
          <w:r w:rsidRPr="00CD4BAA">
            <w:rPr>
              <w:bCs/>
              <w:iCs/>
              <w:sz w:val="20"/>
              <w:szCs w:val="20"/>
            </w:rPr>
            <w:t>15001-23-33-000-2022-00409-00</w:t>
          </w:r>
        </w:p>
      </w:tc>
    </w:tr>
  </w:tbl>
  <w:p w14:paraId="155C0977" w14:textId="77777777" w:rsidR="0082730C" w:rsidRDefault="0082730C" w:rsidP="0082730C">
    <w:pPr>
      <w:pStyle w:val="Encabezado"/>
      <w:rPr>
        <w:rFonts w:ascii="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5C1F" w14:textId="77777777" w:rsidR="00E97468" w:rsidRPr="00126FC1" w:rsidRDefault="00E97468" w:rsidP="00E97468">
    <w:pPr>
      <w:jc w:val="center"/>
      <w:rPr>
        <w:rFonts w:ascii="Edwardian Script ITC" w:hAnsi="Edwardian Script ITC" w:cs="Tahoma"/>
        <w:b/>
        <w:noProof/>
        <w:sz w:val="28"/>
        <w:szCs w:val="28"/>
        <w:lang w:val="es-CO" w:eastAsia="es-CO"/>
      </w:rPr>
    </w:pPr>
    <w:r>
      <w:rPr>
        <w:b/>
        <w:sz w:val="28"/>
        <w:szCs w:val="28"/>
      </w:rPr>
      <w:t xml:space="preserve">REPÚBLICA DE COLOMBIA </w:t>
    </w:r>
  </w:p>
  <w:p w14:paraId="4C4CFECE" w14:textId="77777777" w:rsidR="00E97468" w:rsidRDefault="00E97468" w:rsidP="00E97468">
    <w:pPr>
      <w:jc w:val="center"/>
      <w:rPr>
        <w:rFonts w:ascii="Edwardian Script ITC" w:hAnsi="Edwardian Script ITC" w:cs="Tahoma"/>
        <w:b/>
        <w:i/>
        <w:spacing w:val="20"/>
        <w:sz w:val="20"/>
        <w:szCs w:val="44"/>
      </w:rPr>
    </w:pPr>
    <w:r w:rsidRPr="00B059CD">
      <w:rPr>
        <w:rFonts w:ascii="Edwardian Script ITC" w:hAnsi="Edwardian Script ITC" w:cs="Tahoma"/>
        <w:b/>
        <w:i/>
        <w:noProof/>
        <w:sz w:val="20"/>
        <w:szCs w:val="22"/>
        <w:lang w:val="es-CO" w:eastAsia="es-CO"/>
      </w:rPr>
      <w:drawing>
        <wp:inline distT="0" distB="0" distL="0" distR="0" wp14:anchorId="4D2E886F" wp14:editId="0D34F6F9">
          <wp:extent cx="676275" cy="676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p w14:paraId="40D8141B" w14:textId="77777777" w:rsidR="00E97468" w:rsidRPr="00493DAC" w:rsidRDefault="00E97468" w:rsidP="00E97468">
    <w:pPr>
      <w:jc w:val="center"/>
      <w:rPr>
        <w:b/>
        <w:sz w:val="28"/>
        <w:szCs w:val="28"/>
      </w:rPr>
    </w:pPr>
    <w:r w:rsidRPr="00493DAC">
      <w:rPr>
        <w:b/>
        <w:sz w:val="28"/>
        <w:szCs w:val="28"/>
      </w:rPr>
      <w:t>T</w:t>
    </w:r>
    <w:r>
      <w:rPr>
        <w:b/>
        <w:sz w:val="28"/>
        <w:szCs w:val="28"/>
      </w:rPr>
      <w:t>RIBUNAL ADMINISTRATIVO DE BOYACÁ</w:t>
    </w:r>
  </w:p>
  <w:p w14:paraId="6611CD5B" w14:textId="43F37078" w:rsidR="00E97468" w:rsidRPr="00E97468" w:rsidRDefault="00E97468" w:rsidP="00E97468">
    <w:pPr>
      <w:jc w:val="center"/>
      <w:rPr>
        <w:b/>
        <w:bCs/>
        <w:iCs/>
        <w:spacing w:val="20"/>
        <w:sz w:val="28"/>
        <w:szCs w:val="28"/>
      </w:rPr>
    </w:pPr>
    <w:r>
      <w:rPr>
        <w:b/>
        <w:bCs/>
        <w:iCs/>
        <w:spacing w:val="20"/>
        <w:sz w:val="28"/>
        <w:szCs w:val="28"/>
      </w:rPr>
      <w:t xml:space="preserve">DESPACHO </w:t>
    </w:r>
    <w:proofErr w:type="spellStart"/>
    <w:r>
      <w:rPr>
        <w:b/>
        <w:bCs/>
        <w:iCs/>
        <w:spacing w:val="20"/>
        <w:sz w:val="28"/>
        <w:szCs w:val="28"/>
      </w:rPr>
      <w:t>Nº</w:t>
    </w:r>
    <w:proofErr w:type="spellEnd"/>
    <w:r>
      <w:rPr>
        <w:b/>
        <w:bCs/>
        <w:iCs/>
        <w:spacing w:val="20"/>
        <w:sz w:val="28"/>
        <w:szCs w:val="28"/>
      </w:rPr>
      <w:t xml:space="preserv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2336E"/>
    <w:multiLevelType w:val="hybridMultilevel"/>
    <w:tmpl w:val="4E00C938"/>
    <w:lvl w:ilvl="0" w:tplc="40D6D1C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CF40F6"/>
    <w:multiLevelType w:val="hybridMultilevel"/>
    <w:tmpl w:val="5E94B5AC"/>
    <w:lvl w:ilvl="0" w:tplc="F5BA8766">
      <w:start w:val="1"/>
      <w:numFmt w:val="decimal"/>
      <w:lvlText w:val="%1."/>
      <w:lvlJc w:val="left"/>
      <w:pPr>
        <w:ind w:left="720" w:hanging="360"/>
      </w:pPr>
    </w:lvl>
    <w:lvl w:ilvl="1" w:tplc="E1669384">
      <w:start w:val="1"/>
      <w:numFmt w:val="lowerLetter"/>
      <w:lvlText w:val="%2."/>
      <w:lvlJc w:val="left"/>
      <w:pPr>
        <w:ind w:left="1440" w:hanging="360"/>
      </w:pPr>
    </w:lvl>
    <w:lvl w:ilvl="2" w:tplc="D4E4E2F6">
      <w:start w:val="1"/>
      <w:numFmt w:val="lowerRoman"/>
      <w:lvlText w:val="%3."/>
      <w:lvlJc w:val="right"/>
      <w:pPr>
        <w:ind w:left="2160" w:hanging="180"/>
      </w:pPr>
    </w:lvl>
    <w:lvl w:ilvl="3" w:tplc="AC689E40">
      <w:start w:val="1"/>
      <w:numFmt w:val="decimal"/>
      <w:lvlText w:val="%4."/>
      <w:lvlJc w:val="left"/>
      <w:pPr>
        <w:ind w:left="2880" w:hanging="360"/>
      </w:pPr>
    </w:lvl>
    <w:lvl w:ilvl="4" w:tplc="7C1A689A">
      <w:start w:val="1"/>
      <w:numFmt w:val="lowerLetter"/>
      <w:lvlText w:val="%5."/>
      <w:lvlJc w:val="left"/>
      <w:pPr>
        <w:ind w:left="3600" w:hanging="360"/>
      </w:pPr>
    </w:lvl>
    <w:lvl w:ilvl="5" w:tplc="630E8D56">
      <w:start w:val="1"/>
      <w:numFmt w:val="lowerRoman"/>
      <w:lvlText w:val="%6."/>
      <w:lvlJc w:val="right"/>
      <w:pPr>
        <w:ind w:left="4320" w:hanging="180"/>
      </w:pPr>
    </w:lvl>
    <w:lvl w:ilvl="6" w:tplc="B57258C8">
      <w:start w:val="1"/>
      <w:numFmt w:val="decimal"/>
      <w:lvlText w:val="%7."/>
      <w:lvlJc w:val="left"/>
      <w:pPr>
        <w:ind w:left="5040" w:hanging="360"/>
      </w:pPr>
    </w:lvl>
    <w:lvl w:ilvl="7" w:tplc="4EC661F2">
      <w:start w:val="1"/>
      <w:numFmt w:val="lowerLetter"/>
      <w:lvlText w:val="%8."/>
      <w:lvlJc w:val="left"/>
      <w:pPr>
        <w:ind w:left="5760" w:hanging="360"/>
      </w:pPr>
    </w:lvl>
    <w:lvl w:ilvl="8" w:tplc="F050B83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5A"/>
    <w:rsid w:val="00042B87"/>
    <w:rsid w:val="000627B5"/>
    <w:rsid w:val="00082754"/>
    <w:rsid w:val="0009001F"/>
    <w:rsid w:val="00090849"/>
    <w:rsid w:val="000A2B63"/>
    <w:rsid w:val="000E715E"/>
    <w:rsid w:val="000E7E7E"/>
    <w:rsid w:val="000F53C9"/>
    <w:rsid w:val="0010058F"/>
    <w:rsid w:val="00101296"/>
    <w:rsid w:val="00101E3B"/>
    <w:rsid w:val="00111F14"/>
    <w:rsid w:val="00125DAA"/>
    <w:rsid w:val="00136C1A"/>
    <w:rsid w:val="001865A0"/>
    <w:rsid w:val="001C2CF3"/>
    <w:rsid w:val="001D329D"/>
    <w:rsid w:val="001F30AC"/>
    <w:rsid w:val="001F5A18"/>
    <w:rsid w:val="00215F81"/>
    <w:rsid w:val="0025513E"/>
    <w:rsid w:val="00272F66"/>
    <w:rsid w:val="002765A2"/>
    <w:rsid w:val="00295837"/>
    <w:rsid w:val="002D768F"/>
    <w:rsid w:val="002F5A0C"/>
    <w:rsid w:val="002F7895"/>
    <w:rsid w:val="003411AB"/>
    <w:rsid w:val="003414FC"/>
    <w:rsid w:val="00347588"/>
    <w:rsid w:val="00387072"/>
    <w:rsid w:val="003A38B6"/>
    <w:rsid w:val="003E21D0"/>
    <w:rsid w:val="00410432"/>
    <w:rsid w:val="004203A0"/>
    <w:rsid w:val="0043630C"/>
    <w:rsid w:val="00441144"/>
    <w:rsid w:val="00451221"/>
    <w:rsid w:val="004C40F4"/>
    <w:rsid w:val="004F5C5A"/>
    <w:rsid w:val="00505C8B"/>
    <w:rsid w:val="00506B76"/>
    <w:rsid w:val="0051605B"/>
    <w:rsid w:val="00531AF4"/>
    <w:rsid w:val="00541DBD"/>
    <w:rsid w:val="00570C9B"/>
    <w:rsid w:val="0057394D"/>
    <w:rsid w:val="00590644"/>
    <w:rsid w:val="005B4E23"/>
    <w:rsid w:val="005C07E4"/>
    <w:rsid w:val="005E729D"/>
    <w:rsid w:val="005F6560"/>
    <w:rsid w:val="00607C25"/>
    <w:rsid w:val="00617448"/>
    <w:rsid w:val="00632B12"/>
    <w:rsid w:val="00641EE2"/>
    <w:rsid w:val="00645100"/>
    <w:rsid w:val="00645B07"/>
    <w:rsid w:val="0067564C"/>
    <w:rsid w:val="006A529A"/>
    <w:rsid w:val="006B2D70"/>
    <w:rsid w:val="006C0D57"/>
    <w:rsid w:val="006C6678"/>
    <w:rsid w:val="006D3B94"/>
    <w:rsid w:val="006E7745"/>
    <w:rsid w:val="006F1287"/>
    <w:rsid w:val="006F4531"/>
    <w:rsid w:val="00701CC3"/>
    <w:rsid w:val="00713BB0"/>
    <w:rsid w:val="0074284E"/>
    <w:rsid w:val="00753C6A"/>
    <w:rsid w:val="00773E87"/>
    <w:rsid w:val="007A79F0"/>
    <w:rsid w:val="007B72E2"/>
    <w:rsid w:val="007D5084"/>
    <w:rsid w:val="007E0F1B"/>
    <w:rsid w:val="007F477C"/>
    <w:rsid w:val="008004FB"/>
    <w:rsid w:val="00814053"/>
    <w:rsid w:val="0082730C"/>
    <w:rsid w:val="0084659A"/>
    <w:rsid w:val="0085080D"/>
    <w:rsid w:val="00857370"/>
    <w:rsid w:val="008A2740"/>
    <w:rsid w:val="00907C1A"/>
    <w:rsid w:val="00916CC2"/>
    <w:rsid w:val="00925107"/>
    <w:rsid w:val="00952B55"/>
    <w:rsid w:val="009A6ACF"/>
    <w:rsid w:val="00A22F87"/>
    <w:rsid w:val="00A36739"/>
    <w:rsid w:val="00A4706E"/>
    <w:rsid w:val="00A47689"/>
    <w:rsid w:val="00A92BB9"/>
    <w:rsid w:val="00A93B79"/>
    <w:rsid w:val="00A93CCF"/>
    <w:rsid w:val="00AA649D"/>
    <w:rsid w:val="00AB7B45"/>
    <w:rsid w:val="00B059CD"/>
    <w:rsid w:val="00B86DD6"/>
    <w:rsid w:val="00BC02C4"/>
    <w:rsid w:val="00BD70C7"/>
    <w:rsid w:val="00BF1D65"/>
    <w:rsid w:val="00BF7A5A"/>
    <w:rsid w:val="00C10EF7"/>
    <w:rsid w:val="00C231DA"/>
    <w:rsid w:val="00C857CD"/>
    <w:rsid w:val="00CA2CF9"/>
    <w:rsid w:val="00CA7984"/>
    <w:rsid w:val="00CB20C9"/>
    <w:rsid w:val="00CC05CD"/>
    <w:rsid w:val="00CC20AC"/>
    <w:rsid w:val="00CC4342"/>
    <w:rsid w:val="00CD4BAA"/>
    <w:rsid w:val="00CE3FA0"/>
    <w:rsid w:val="00CE51D2"/>
    <w:rsid w:val="00CF3936"/>
    <w:rsid w:val="00D1286B"/>
    <w:rsid w:val="00D33C81"/>
    <w:rsid w:val="00D33E43"/>
    <w:rsid w:val="00D6035A"/>
    <w:rsid w:val="00D60A6B"/>
    <w:rsid w:val="00D61AEE"/>
    <w:rsid w:val="00D70F89"/>
    <w:rsid w:val="00D95978"/>
    <w:rsid w:val="00DC78D7"/>
    <w:rsid w:val="00DF48B4"/>
    <w:rsid w:val="00E13AEB"/>
    <w:rsid w:val="00E22279"/>
    <w:rsid w:val="00E417D8"/>
    <w:rsid w:val="00E44B62"/>
    <w:rsid w:val="00E61BC7"/>
    <w:rsid w:val="00E90753"/>
    <w:rsid w:val="00E97468"/>
    <w:rsid w:val="00EA53B0"/>
    <w:rsid w:val="00F3370F"/>
    <w:rsid w:val="00F51121"/>
    <w:rsid w:val="00F52082"/>
    <w:rsid w:val="00F55D20"/>
    <w:rsid w:val="00F70B92"/>
    <w:rsid w:val="00F7442F"/>
    <w:rsid w:val="00FA54D5"/>
    <w:rsid w:val="00FC5E68"/>
    <w:rsid w:val="00FD3A1A"/>
    <w:rsid w:val="00FE4291"/>
    <w:rsid w:val="00FF4B57"/>
    <w:rsid w:val="03CAA2C4"/>
    <w:rsid w:val="0962EA67"/>
    <w:rsid w:val="09DE5DD5"/>
    <w:rsid w:val="0B14401E"/>
    <w:rsid w:val="0C0FD0CC"/>
    <w:rsid w:val="0C8C5235"/>
    <w:rsid w:val="0DAC4861"/>
    <w:rsid w:val="14EDC7D2"/>
    <w:rsid w:val="14FE4BD4"/>
    <w:rsid w:val="1527B2EB"/>
    <w:rsid w:val="18C0C3FE"/>
    <w:rsid w:val="1D28022C"/>
    <w:rsid w:val="1D434B06"/>
    <w:rsid w:val="1E0CDEBB"/>
    <w:rsid w:val="26654CC6"/>
    <w:rsid w:val="2729AABC"/>
    <w:rsid w:val="29CAAABB"/>
    <w:rsid w:val="2A598FCC"/>
    <w:rsid w:val="2B7B4C60"/>
    <w:rsid w:val="2E36CACA"/>
    <w:rsid w:val="30FFF1FF"/>
    <w:rsid w:val="35754A1A"/>
    <w:rsid w:val="37124327"/>
    <w:rsid w:val="37AE9555"/>
    <w:rsid w:val="3F0C5F63"/>
    <w:rsid w:val="480BA122"/>
    <w:rsid w:val="53568B59"/>
    <w:rsid w:val="54276327"/>
    <w:rsid w:val="5C6531FB"/>
    <w:rsid w:val="5CF483FA"/>
    <w:rsid w:val="5F11D349"/>
    <w:rsid w:val="5F7D6301"/>
    <w:rsid w:val="602C24BC"/>
    <w:rsid w:val="64DC7CEC"/>
    <w:rsid w:val="6E28F897"/>
    <w:rsid w:val="7315A3D9"/>
    <w:rsid w:val="75B73B52"/>
    <w:rsid w:val="75BA3099"/>
    <w:rsid w:val="75E01587"/>
    <w:rsid w:val="75E9830A"/>
    <w:rsid w:val="7709E6DF"/>
    <w:rsid w:val="78ECE9A1"/>
    <w:rsid w:val="7B2214C4"/>
    <w:rsid w:val="7D6C8113"/>
    <w:rsid w:val="7EB808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DAD15"/>
  <w15:chartTrackingRefBased/>
  <w15:docId w15:val="{0DD3E430-8FD6-4ECE-B677-A730983F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C5A"/>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F5C5A"/>
    <w:pPr>
      <w:overflowPunct w:val="0"/>
      <w:autoSpaceDE w:val="0"/>
      <w:autoSpaceDN w:val="0"/>
      <w:adjustRightInd w:val="0"/>
      <w:spacing w:line="360" w:lineRule="auto"/>
      <w:jc w:val="both"/>
      <w:textAlignment w:val="baseline"/>
    </w:pPr>
    <w:rPr>
      <w:rFonts w:ascii="Arial" w:hAnsi="Arial"/>
      <w:szCs w:val="20"/>
      <w:lang w:val="es-CO"/>
    </w:rPr>
  </w:style>
  <w:style w:type="character" w:customStyle="1" w:styleId="TextoindependienteCar">
    <w:name w:val="Texto independiente Car"/>
    <w:link w:val="Textoindependiente"/>
    <w:rsid w:val="004F5C5A"/>
    <w:rPr>
      <w:rFonts w:ascii="Arial" w:eastAsia="Times New Roman" w:hAnsi="Arial" w:cs="Times New Roman"/>
      <w:sz w:val="24"/>
      <w:szCs w:val="20"/>
      <w:lang w:eastAsia="es-ES"/>
    </w:rPr>
  </w:style>
  <w:style w:type="paragraph" w:styleId="Encabezado">
    <w:name w:val="header"/>
    <w:basedOn w:val="Normal"/>
    <w:link w:val="EncabezadoCar"/>
    <w:rsid w:val="004F5C5A"/>
    <w:pPr>
      <w:tabs>
        <w:tab w:val="center" w:pos="4419"/>
        <w:tab w:val="right" w:pos="8838"/>
      </w:tabs>
      <w:overflowPunct w:val="0"/>
      <w:autoSpaceDE w:val="0"/>
      <w:autoSpaceDN w:val="0"/>
      <w:adjustRightInd w:val="0"/>
      <w:textAlignment w:val="baseline"/>
    </w:pPr>
    <w:rPr>
      <w:sz w:val="20"/>
      <w:szCs w:val="20"/>
      <w:lang w:val="es-ES_tradnl"/>
    </w:rPr>
  </w:style>
  <w:style w:type="character" w:customStyle="1" w:styleId="EncabezadoCar">
    <w:name w:val="Encabezado Car"/>
    <w:link w:val="Encabezado"/>
    <w:rsid w:val="004F5C5A"/>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4F5C5A"/>
  </w:style>
  <w:style w:type="paragraph" w:styleId="Textonotapie">
    <w:name w:val="footnote text"/>
    <w:aliases w:val="Ref. de nota al pie1,Ref. de nota al pie 2"/>
    <w:basedOn w:val="Normal"/>
    <w:link w:val="TextonotapieCar"/>
    <w:uiPriority w:val="99"/>
    <w:rsid w:val="004F5C5A"/>
    <w:pPr>
      <w:overflowPunct w:val="0"/>
      <w:autoSpaceDE w:val="0"/>
      <w:autoSpaceDN w:val="0"/>
      <w:adjustRightInd w:val="0"/>
      <w:textAlignment w:val="baseline"/>
    </w:pPr>
    <w:rPr>
      <w:sz w:val="20"/>
      <w:szCs w:val="20"/>
    </w:rPr>
  </w:style>
  <w:style w:type="character" w:customStyle="1" w:styleId="TextonotapieCar">
    <w:name w:val="Texto nota pie Car"/>
    <w:aliases w:val="Ref. de nota al pie1 Car,Ref. de nota al pie 2 Car"/>
    <w:link w:val="Textonotapie"/>
    <w:uiPriority w:val="99"/>
    <w:rsid w:val="004F5C5A"/>
    <w:rPr>
      <w:rFonts w:ascii="Times New Roman" w:eastAsia="Times New Roman" w:hAnsi="Times New Roman" w:cs="Times New Roman"/>
      <w:sz w:val="20"/>
      <w:szCs w:val="20"/>
      <w:lang w:val="es-ES" w:eastAsia="es-ES"/>
    </w:rPr>
  </w:style>
  <w:style w:type="character" w:styleId="Refdenotaalpie">
    <w:name w:val="footnote reference"/>
    <w:uiPriority w:val="99"/>
    <w:rsid w:val="004F5C5A"/>
    <w:rPr>
      <w:vertAlign w:val="superscript"/>
    </w:rPr>
  </w:style>
  <w:style w:type="paragraph" w:customStyle="1" w:styleId="Textoindependiente21">
    <w:name w:val="Texto independiente 21"/>
    <w:basedOn w:val="Normal"/>
    <w:rsid w:val="004F5C5A"/>
    <w:pPr>
      <w:overflowPunct w:val="0"/>
      <w:autoSpaceDE w:val="0"/>
      <w:autoSpaceDN w:val="0"/>
      <w:adjustRightInd w:val="0"/>
      <w:spacing w:line="360" w:lineRule="auto"/>
      <w:ind w:left="2805"/>
      <w:jc w:val="both"/>
      <w:textAlignment w:val="baseline"/>
    </w:pPr>
    <w:rPr>
      <w:rFonts w:ascii="Arial" w:hAnsi="Arial"/>
      <w:sz w:val="26"/>
      <w:szCs w:val="20"/>
      <w:lang w:val="es-ES_tradnl"/>
    </w:rPr>
  </w:style>
  <w:style w:type="paragraph" w:customStyle="1" w:styleId="Sangra2detindependiente1">
    <w:name w:val="Sangría 2 de t. independiente1"/>
    <w:basedOn w:val="Normal"/>
    <w:rsid w:val="004F5C5A"/>
    <w:pPr>
      <w:overflowPunct w:val="0"/>
      <w:autoSpaceDE w:val="0"/>
      <w:autoSpaceDN w:val="0"/>
      <w:adjustRightInd w:val="0"/>
      <w:spacing w:line="360" w:lineRule="auto"/>
      <w:ind w:firstLine="1416"/>
      <w:jc w:val="both"/>
    </w:pPr>
    <w:rPr>
      <w:rFonts w:ascii="Arial" w:hAnsi="Arial"/>
      <w:sz w:val="26"/>
      <w:szCs w:val="20"/>
    </w:rPr>
  </w:style>
  <w:style w:type="paragraph" w:styleId="NormalWeb">
    <w:name w:val="Normal (Web)"/>
    <w:basedOn w:val="Normal"/>
    <w:uiPriority w:val="99"/>
    <w:semiHidden/>
    <w:unhideWhenUsed/>
    <w:rsid w:val="004F5C5A"/>
    <w:pPr>
      <w:spacing w:before="100" w:beforeAutospacing="1" w:after="100" w:afterAutospacing="1"/>
    </w:pPr>
    <w:rPr>
      <w:lang w:val="es-CO" w:eastAsia="es-CO"/>
    </w:rPr>
  </w:style>
  <w:style w:type="paragraph" w:styleId="Piedepgina">
    <w:name w:val="footer"/>
    <w:basedOn w:val="Normal"/>
    <w:link w:val="PiedepginaCar"/>
    <w:uiPriority w:val="99"/>
    <w:unhideWhenUsed/>
    <w:rsid w:val="0084659A"/>
    <w:pPr>
      <w:tabs>
        <w:tab w:val="center" w:pos="4419"/>
        <w:tab w:val="right" w:pos="8838"/>
      </w:tabs>
    </w:pPr>
  </w:style>
  <w:style w:type="character" w:customStyle="1" w:styleId="PiedepginaCar">
    <w:name w:val="Pie de página Car"/>
    <w:link w:val="Piedepgina"/>
    <w:uiPriority w:val="99"/>
    <w:rsid w:val="0084659A"/>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C0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BC02C4"/>
    <w:pPr>
      <w:spacing w:after="120" w:line="259" w:lineRule="auto"/>
      <w:ind w:left="283"/>
    </w:pPr>
    <w:rPr>
      <w:rFonts w:ascii="Calibri" w:eastAsia="Calibri" w:hAnsi="Calibri"/>
      <w:sz w:val="16"/>
      <w:szCs w:val="16"/>
      <w:lang w:val="es-CO" w:eastAsia="en-US"/>
    </w:rPr>
  </w:style>
  <w:style w:type="character" w:customStyle="1" w:styleId="Sangra3detindependienteCar">
    <w:name w:val="Sangría 3 de t. independiente Car"/>
    <w:link w:val="Sangra3detindependiente"/>
    <w:uiPriority w:val="99"/>
    <w:semiHidden/>
    <w:rsid w:val="00BC02C4"/>
    <w:rPr>
      <w:sz w:val="16"/>
      <w:szCs w:val="16"/>
      <w:lang w:eastAsia="en-US"/>
    </w:rPr>
  </w:style>
  <w:style w:type="character" w:customStyle="1" w:styleId="textonavy">
    <w:name w:val="texto_navy"/>
    <w:rsid w:val="00BC02C4"/>
  </w:style>
  <w:style w:type="character" w:customStyle="1" w:styleId="apple-converted-space">
    <w:name w:val="apple-converted-space"/>
    <w:rsid w:val="00BC02C4"/>
  </w:style>
  <w:style w:type="paragraph" w:styleId="Prrafodelista">
    <w:name w:val="List Paragraph"/>
    <w:basedOn w:val="Normal"/>
    <w:uiPriority w:val="34"/>
    <w:qFormat/>
    <w:rsid w:val="00BC02C4"/>
    <w:pPr>
      <w:spacing w:after="160" w:line="259" w:lineRule="auto"/>
      <w:ind w:left="720"/>
      <w:contextualSpacing/>
    </w:pPr>
    <w:rPr>
      <w:rFonts w:ascii="Calibri" w:eastAsia="Calibri" w:hAnsi="Calibri"/>
      <w:sz w:val="22"/>
      <w:szCs w:val="22"/>
      <w:lang w:val="es-CO" w:eastAsia="en-US"/>
    </w:rPr>
  </w:style>
  <w:style w:type="paragraph" w:styleId="Sinespaciado">
    <w:name w:val="No Spacing"/>
    <w:uiPriority w:val="1"/>
    <w:qFormat/>
    <w:rsid w:val="00BC02C4"/>
    <w:rPr>
      <w:sz w:val="22"/>
      <w:szCs w:val="22"/>
      <w:lang w:eastAsia="en-US"/>
    </w:rPr>
  </w:style>
  <w:style w:type="character" w:styleId="Hipervnculo">
    <w:name w:val="Hyperlink"/>
    <w:uiPriority w:val="99"/>
    <w:unhideWhenUsed/>
    <w:rsid w:val="00A47689"/>
    <w:rPr>
      <w:color w:val="0000FF"/>
      <w:u w:val="single"/>
    </w:rPr>
  </w:style>
  <w:style w:type="paragraph" w:styleId="Textodeglobo">
    <w:name w:val="Balloon Text"/>
    <w:basedOn w:val="Normal"/>
    <w:link w:val="TextodegloboCar"/>
    <w:uiPriority w:val="99"/>
    <w:semiHidden/>
    <w:unhideWhenUsed/>
    <w:rsid w:val="00F7442F"/>
    <w:rPr>
      <w:rFonts w:ascii="Segoe UI" w:hAnsi="Segoe UI" w:cs="Segoe UI"/>
      <w:sz w:val="18"/>
      <w:szCs w:val="18"/>
    </w:rPr>
  </w:style>
  <w:style w:type="character" w:customStyle="1" w:styleId="TextodegloboCar">
    <w:name w:val="Texto de globo Car"/>
    <w:link w:val="Textodeglobo"/>
    <w:uiPriority w:val="99"/>
    <w:semiHidden/>
    <w:rsid w:val="00F7442F"/>
    <w:rPr>
      <w:rFonts w:ascii="Segoe UI" w:eastAsia="Times New Roman" w:hAnsi="Segoe UI" w:cs="Segoe UI"/>
      <w:sz w:val="18"/>
      <w:szCs w:val="18"/>
      <w:lang w:val="es-ES" w:eastAsia="es-ES"/>
    </w:rPr>
  </w:style>
  <w:style w:type="paragraph" w:customStyle="1" w:styleId="BodyText21">
    <w:name w:val="Body Text 21"/>
    <w:basedOn w:val="Normal"/>
    <w:rsid w:val="003411AB"/>
    <w:pPr>
      <w:overflowPunct w:val="0"/>
      <w:autoSpaceDE w:val="0"/>
      <w:autoSpaceDN w:val="0"/>
      <w:adjustRightInd w:val="0"/>
      <w:spacing w:line="360" w:lineRule="auto"/>
      <w:jc w:val="both"/>
    </w:pPr>
    <w:rPr>
      <w:rFonts w:ascii="Arial" w:hAnsi="Arial"/>
      <w:sz w:val="25"/>
      <w:szCs w:val="20"/>
      <w:lang w:val="es-ES_tradnl"/>
    </w:rPr>
  </w:style>
  <w:style w:type="paragraph" w:customStyle="1" w:styleId="Puesto">
    <w:name w:val="Puesto"/>
    <w:basedOn w:val="Normal"/>
    <w:link w:val="PuestoCar"/>
    <w:qFormat/>
    <w:rsid w:val="003411AB"/>
    <w:pPr>
      <w:spacing w:line="360" w:lineRule="auto"/>
      <w:jc w:val="center"/>
    </w:pPr>
    <w:rPr>
      <w:rFonts w:ascii="Arial" w:hAnsi="Arial"/>
      <w:b/>
      <w:szCs w:val="20"/>
      <w:lang w:val="es-MX" w:eastAsia="x-none"/>
    </w:rPr>
  </w:style>
  <w:style w:type="character" w:customStyle="1" w:styleId="PuestoCar">
    <w:name w:val="Puesto Car"/>
    <w:link w:val="Puesto"/>
    <w:rsid w:val="003411AB"/>
    <w:rPr>
      <w:rFonts w:ascii="Arial" w:eastAsia="Times New Roman" w:hAnsi="Arial"/>
      <w:b/>
      <w:sz w:val="24"/>
      <w:lang w:val="es-MX" w:eastAsia="x-none"/>
    </w:rPr>
  </w:style>
  <w:style w:type="character" w:styleId="Mencinsinresolver">
    <w:name w:val="Unresolved Mention"/>
    <w:basedOn w:val="Fuentedeprrafopredeter"/>
    <w:uiPriority w:val="99"/>
    <w:semiHidden/>
    <w:unhideWhenUsed/>
    <w:rsid w:val="0043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2080_2021.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260D-64BA-4447-AA96-76D95DF9AC09}">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2.xml><?xml version="1.0" encoding="utf-8"?>
<ds:datastoreItem xmlns:ds="http://schemas.openxmlformats.org/officeDocument/2006/customXml" ds:itemID="{72162712-7E70-4B86-962B-6046E5E97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E4643-616D-4981-99EC-BF6A119B7EBC}">
  <ds:schemaRefs>
    <ds:schemaRef ds:uri="http://schemas.microsoft.com/sharepoint/v3/contenttype/forms"/>
  </ds:schemaRefs>
</ds:datastoreItem>
</file>

<file path=customXml/itemProps4.xml><?xml version="1.0" encoding="utf-8"?>
<ds:datastoreItem xmlns:ds="http://schemas.openxmlformats.org/officeDocument/2006/customXml" ds:itemID="{253423DF-B3FB-4A3D-B35E-D4B43D30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2491</Words>
  <Characters>13704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MILENA OCHOA SANCHEZ</dc:creator>
  <cp:keywords/>
  <dc:description/>
  <cp:lastModifiedBy>Relatoria Tribunal Administrativo - Boyaca - Seccional Tunja</cp:lastModifiedBy>
  <cp:revision>2</cp:revision>
  <cp:lastPrinted>2019-02-06T22:46:00Z</cp:lastPrinted>
  <dcterms:created xsi:type="dcterms:W3CDTF">2022-09-06T16:03:00Z</dcterms:created>
  <dcterms:modified xsi:type="dcterms:W3CDTF">2022-09-06T16:03:00Z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