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1B6D" w14:textId="2E035CDB" w:rsidR="00216859" w:rsidRPr="00216859" w:rsidRDefault="004965F3" w:rsidP="00216859">
      <w:pPr>
        <w:jc w:val="both"/>
        <w:rPr>
          <w:rFonts w:eastAsia="MS Mincho" w:cs="Arial"/>
          <w:b/>
          <w:sz w:val="24"/>
          <w:szCs w:val="24"/>
        </w:rPr>
      </w:pPr>
      <w:r w:rsidRPr="00216859">
        <w:rPr>
          <w:rFonts w:eastAsia="MS Mincho" w:cs="Arial"/>
          <w:b/>
          <w:sz w:val="24"/>
          <w:szCs w:val="24"/>
          <w:lang w:val="es-ES_tradnl"/>
        </w:rPr>
        <w:t>MEDIDA CAUTELAR DE SUSPENSIÓN DE LOS EFECTOS</w:t>
      </w:r>
      <w:r w:rsidR="00216859" w:rsidRPr="00216859">
        <w:rPr>
          <w:rFonts w:eastAsia="MS Mincho" w:cs="Arial"/>
          <w:b/>
          <w:sz w:val="24"/>
          <w:szCs w:val="24"/>
          <w:lang w:val="es-ES_tradnl"/>
        </w:rPr>
        <w:t xml:space="preserve"> DE UN ACTO ADMINISTRATIVO - </w:t>
      </w:r>
      <w:r w:rsidR="00216859" w:rsidRPr="00216859">
        <w:rPr>
          <w:rFonts w:eastAsia="MS Mincho" w:cs="Arial"/>
          <w:b/>
          <w:sz w:val="24"/>
          <w:szCs w:val="24"/>
        </w:rPr>
        <w:t>L</w:t>
      </w:r>
      <w:r w:rsidR="00216859" w:rsidRPr="00216859">
        <w:rPr>
          <w:rFonts w:eastAsia="MS Mincho" w:cs="Arial"/>
          <w:b/>
          <w:sz w:val="24"/>
          <w:szCs w:val="24"/>
          <w:lang w:val="es-ES_tradnl"/>
        </w:rPr>
        <w:t xml:space="preserve">a simple </w:t>
      </w:r>
      <w:r w:rsidR="00216859" w:rsidRPr="00216859">
        <w:rPr>
          <w:rFonts w:eastAsia="MS Mincho" w:cs="Arial"/>
          <w:b/>
          <w:sz w:val="24"/>
          <w:szCs w:val="24"/>
          <w:lang w:val="es-ES_tradnl"/>
        </w:rPr>
        <w:t>aseveración</w:t>
      </w:r>
      <w:r w:rsidR="00216859" w:rsidRPr="00216859">
        <w:rPr>
          <w:rFonts w:eastAsia="MS Mincho" w:cs="Arial"/>
          <w:b/>
          <w:sz w:val="24"/>
          <w:szCs w:val="24"/>
          <w:lang w:val="es-ES_tradnl"/>
        </w:rPr>
        <w:t xml:space="preserve"> de un perjuicio</w:t>
      </w:r>
      <w:r w:rsidR="00216859" w:rsidRPr="00216859">
        <w:rPr>
          <w:rFonts w:eastAsia="MS Mincho" w:cs="Arial"/>
          <w:b/>
          <w:sz w:val="24"/>
          <w:szCs w:val="24"/>
        </w:rPr>
        <w:t xml:space="preserve">, </w:t>
      </w:r>
      <w:r w:rsidR="00216859" w:rsidRPr="00216859">
        <w:rPr>
          <w:rFonts w:eastAsia="MS Mincho" w:cs="Arial"/>
          <w:b/>
          <w:sz w:val="24"/>
          <w:szCs w:val="24"/>
          <w:lang w:val="es-ES_tradnl"/>
        </w:rPr>
        <w:t>no hace procedente</w:t>
      </w:r>
      <w:r w:rsidR="00216859" w:rsidRPr="00216859">
        <w:rPr>
          <w:rFonts w:eastAsia="MS Mincho" w:cs="Arial"/>
          <w:b/>
          <w:sz w:val="24"/>
          <w:szCs w:val="24"/>
        </w:rPr>
        <w:t xml:space="preserve"> la</w:t>
      </w:r>
      <w:r w:rsidR="00216859" w:rsidRPr="00216859">
        <w:rPr>
          <w:rFonts w:eastAsia="MS Mincho" w:cs="Arial"/>
          <w:b/>
          <w:sz w:val="24"/>
          <w:szCs w:val="24"/>
          <w:lang w:val="es-ES_tradnl"/>
        </w:rPr>
        <w:t xml:space="preserve"> suspensión de</w:t>
      </w:r>
      <w:r w:rsidR="00216859" w:rsidRPr="00216859">
        <w:rPr>
          <w:rFonts w:eastAsia="MS Mincho" w:cs="Arial"/>
          <w:b/>
          <w:sz w:val="24"/>
          <w:szCs w:val="24"/>
        </w:rPr>
        <w:t xml:space="preserve"> los</w:t>
      </w:r>
      <w:r w:rsidR="00216859" w:rsidRPr="00216859">
        <w:rPr>
          <w:rFonts w:eastAsia="MS Mincho" w:cs="Arial"/>
          <w:b/>
          <w:sz w:val="24"/>
          <w:szCs w:val="24"/>
          <w:lang w:val="es-ES_tradnl"/>
        </w:rPr>
        <w:t xml:space="preserve"> efectos de un acto administrativo</w:t>
      </w:r>
      <w:r w:rsidR="00216859" w:rsidRPr="00216859">
        <w:rPr>
          <w:rFonts w:eastAsia="MS Mincho" w:cs="Arial"/>
          <w:b/>
          <w:sz w:val="24"/>
          <w:szCs w:val="24"/>
        </w:rPr>
        <w:t>. E</w:t>
      </w:r>
      <w:r w:rsidR="00216859" w:rsidRPr="00216859">
        <w:rPr>
          <w:rFonts w:eastAsia="MS Mincho" w:cs="Arial"/>
          <w:b/>
          <w:sz w:val="24"/>
          <w:szCs w:val="24"/>
          <w:lang w:val="es-ES_tradnl"/>
        </w:rPr>
        <w:t>s necesario que lo aducido se pruebe sumariamente</w:t>
      </w:r>
      <w:r w:rsidR="00216859" w:rsidRPr="00216859">
        <w:rPr>
          <w:rFonts w:eastAsia="MS Mincho" w:cs="Arial"/>
          <w:b/>
          <w:sz w:val="24"/>
          <w:szCs w:val="24"/>
        </w:rPr>
        <w:t>,</w:t>
      </w:r>
      <w:r w:rsidR="00216859" w:rsidRPr="00216859">
        <w:rPr>
          <w:rFonts w:eastAsia="MS Mincho" w:cs="Arial"/>
          <w:b/>
          <w:sz w:val="24"/>
          <w:szCs w:val="24"/>
          <w:lang w:val="es-ES_tradnl"/>
        </w:rPr>
        <w:t xml:space="preserve"> de manera que el ju</w:t>
      </w:r>
      <w:r w:rsidR="00216859" w:rsidRPr="00216859">
        <w:rPr>
          <w:rFonts w:eastAsia="MS Mincho" w:cs="Arial"/>
          <w:b/>
          <w:sz w:val="24"/>
          <w:szCs w:val="24"/>
        </w:rPr>
        <w:t>ez</w:t>
      </w:r>
      <w:r w:rsidR="00216859" w:rsidRPr="00216859">
        <w:rPr>
          <w:rFonts w:eastAsia="MS Mincho" w:cs="Arial"/>
          <w:b/>
          <w:sz w:val="24"/>
          <w:szCs w:val="24"/>
          <w:lang w:val="es-ES_tradnl"/>
        </w:rPr>
        <w:t xml:space="preserve"> evidencie </w:t>
      </w:r>
      <w:r w:rsidR="00216859" w:rsidRPr="00216859">
        <w:rPr>
          <w:rFonts w:eastAsia="MS Mincho" w:cs="Arial"/>
          <w:b/>
          <w:sz w:val="24"/>
          <w:szCs w:val="24"/>
        </w:rPr>
        <w:t>que es</w:t>
      </w:r>
      <w:r w:rsidR="00216859" w:rsidRPr="00216859">
        <w:rPr>
          <w:rFonts w:eastAsia="MS Mincho" w:cs="Arial"/>
          <w:b/>
          <w:sz w:val="24"/>
          <w:szCs w:val="24"/>
          <w:lang w:val="es-ES_tradnl"/>
        </w:rPr>
        <w:t xml:space="preserve"> real y serio</w:t>
      </w:r>
      <w:r w:rsidR="00216859" w:rsidRPr="00216859">
        <w:rPr>
          <w:rFonts w:eastAsia="MS Mincho" w:cs="Arial"/>
          <w:b/>
          <w:sz w:val="24"/>
          <w:szCs w:val="24"/>
        </w:rPr>
        <w:t xml:space="preserve"> y </w:t>
      </w:r>
      <w:r w:rsidR="00216859" w:rsidRPr="00216859">
        <w:rPr>
          <w:rFonts w:eastAsia="MS Mincho" w:cs="Arial"/>
          <w:b/>
          <w:sz w:val="24"/>
          <w:szCs w:val="24"/>
          <w:lang w:val="es-ES_tradnl"/>
        </w:rPr>
        <w:t>no eventual e hipotético.</w:t>
      </w:r>
    </w:p>
    <w:p w14:paraId="6BA4BB91" w14:textId="0367F10F" w:rsidR="001407BF" w:rsidRPr="00216859" w:rsidRDefault="001407BF" w:rsidP="00216859">
      <w:pPr>
        <w:jc w:val="both"/>
        <w:rPr>
          <w:rFonts w:eastAsia="MS Mincho" w:cs="Arial"/>
          <w:b/>
          <w:sz w:val="24"/>
          <w:szCs w:val="24"/>
          <w:lang w:val="es-ES_tradnl"/>
        </w:rPr>
      </w:pPr>
    </w:p>
    <w:p w14:paraId="73FA752D" w14:textId="2F16DB98" w:rsidR="001407BF" w:rsidRPr="00216859" w:rsidRDefault="001407BF" w:rsidP="00216859">
      <w:pPr>
        <w:jc w:val="both"/>
        <w:rPr>
          <w:rFonts w:eastAsia="MS Mincho" w:cs="Arial"/>
          <w:sz w:val="24"/>
          <w:szCs w:val="24"/>
          <w:lang w:val="es-ES_tradnl"/>
        </w:rPr>
      </w:pPr>
      <w:r w:rsidRPr="00216859">
        <w:rPr>
          <w:rFonts w:eastAsia="MS Mincho" w:cs="Arial"/>
          <w:sz w:val="24"/>
          <w:szCs w:val="24"/>
          <w:lang w:val="es-ES_tradnl"/>
        </w:rPr>
        <w:t>Sobre los criterios de procedencia del decreto de una medida cautelar, el Consejo de Estado, ha sostenido lo siguiente:</w:t>
      </w:r>
      <w:r w:rsidR="00216859" w:rsidRPr="00216859">
        <w:rPr>
          <w:rFonts w:eastAsia="MS Mincho" w:cs="Arial"/>
          <w:sz w:val="24"/>
          <w:szCs w:val="24"/>
          <w:lang w:val="es-ES_tradnl"/>
        </w:rPr>
        <w:t xml:space="preserve"> </w:t>
      </w:r>
      <w:r w:rsidRPr="00216859">
        <w:rPr>
          <w:rFonts w:eastAsia="MS Mincho" w:cs="Arial"/>
          <w:sz w:val="24"/>
          <w:szCs w:val="24"/>
          <w:lang w:val="es-ES_tradnl"/>
        </w:rPr>
        <w:t xml:space="preserve">“En cuanto a los criterios que debe seguir el juez para determinar la procedencia de una medida cautelar, es preciso reconocer que éste cuenta </w:t>
      </w:r>
      <w:r w:rsidRPr="00216859">
        <w:rPr>
          <w:rFonts w:eastAsia="MS Mincho" w:cs="Arial"/>
          <w:bCs/>
          <w:sz w:val="24"/>
          <w:szCs w:val="24"/>
          <w:lang w:val="es-ES_tradnl"/>
        </w:rPr>
        <w:t>con una razonada discrecionalidad para adoptarla</w:t>
      </w:r>
      <w:r w:rsidRPr="00216859">
        <w:rPr>
          <w:rFonts w:eastAsia="MS Mincho" w:cs="Arial"/>
          <w:sz w:val="24"/>
          <w:szCs w:val="24"/>
          <w:lang w:val="es-ES_tradnl"/>
        </w:rPr>
        <w:t xml:space="preserve">, así como para modular sus efectos en el caso concreto. En este contexto, debe el Juez incorporar en su análisis jurídico la observancia del principio de proporcionalidad como, de hecho, se desprende, además de las exigencias constitucionales y convencionales, de la normativa sobre las medidas cautelares al establecer </w:t>
      </w:r>
      <w:r w:rsidRPr="00216859">
        <w:rPr>
          <w:rFonts w:eastAsia="MS Mincho" w:cs="Arial"/>
          <w:bCs/>
          <w:sz w:val="24"/>
          <w:szCs w:val="24"/>
          <w:lang w:val="es-ES_tradnl"/>
        </w:rPr>
        <w:t xml:space="preserve">como uno de los requisitos para el decreto de la cautela que “el demandante haya presentado los documentos, informaciones, argumentos y justificaciones </w:t>
      </w:r>
      <w:r w:rsidRPr="00216859">
        <w:rPr>
          <w:rFonts w:eastAsia="MS Mincho" w:cs="Arial"/>
          <w:sz w:val="24"/>
          <w:szCs w:val="24"/>
          <w:lang w:val="es-ES_tradnl"/>
        </w:rPr>
        <w:t>que permitan concluir, mediante un juicio de ponderación de intereses, que resultaría más gravoso negar la medida cautelar que concederla</w:t>
      </w:r>
      <w:r w:rsidRPr="00216859">
        <w:rPr>
          <w:rFonts w:eastAsia="MS Mincho" w:cs="Arial"/>
          <w:bCs/>
          <w:sz w:val="24"/>
          <w:szCs w:val="24"/>
          <w:lang w:val="es-ES_tradnl"/>
        </w:rPr>
        <w:t>”(…)</w:t>
      </w:r>
      <w:r w:rsidRPr="00216859">
        <w:rPr>
          <w:rFonts w:eastAsia="MS Mincho" w:cs="Arial"/>
          <w:sz w:val="24"/>
          <w:szCs w:val="24"/>
          <w:lang w:val="es-ES_tradnl"/>
        </w:rPr>
        <w:t xml:space="preserve"> hay que decir que ello implica valorar si está justificada la adopción de la medida cautelar para la protección de un derecho en circunstancias de amenaza, en desmedro de la administración. El propio artículo 231 de la Ley 1437 de 2011 da lugar a esta consideración imperativa en el numeral 4 literales a) y b) cuando prescribe como </w:t>
      </w:r>
      <w:proofErr w:type="gramStart"/>
      <w:r w:rsidRPr="00216859">
        <w:rPr>
          <w:rFonts w:eastAsia="MS Mincho" w:cs="Arial"/>
          <w:sz w:val="24"/>
          <w:szCs w:val="24"/>
          <w:lang w:val="es-ES_tradnl"/>
        </w:rPr>
        <w:t xml:space="preserve">exigencia </w:t>
      </w:r>
      <w:r w:rsidR="00216859" w:rsidRPr="00216859">
        <w:rPr>
          <w:rFonts w:eastAsia="MS Mincho" w:cs="Arial"/>
          <w:sz w:val="24"/>
          <w:szCs w:val="24"/>
          <w:lang w:val="es-ES_tradnl"/>
        </w:rPr>
        <w:t xml:space="preserve"> </w:t>
      </w:r>
      <w:r w:rsidRPr="00216859">
        <w:rPr>
          <w:rFonts w:eastAsia="MS Mincho" w:cs="Arial"/>
          <w:sz w:val="24"/>
          <w:szCs w:val="24"/>
          <w:lang w:val="es-ES_tradnl"/>
        </w:rPr>
        <w:t>Que</w:t>
      </w:r>
      <w:proofErr w:type="gramEnd"/>
      <w:r w:rsidRPr="00216859">
        <w:rPr>
          <w:rFonts w:eastAsia="MS Mincho" w:cs="Arial"/>
          <w:sz w:val="24"/>
          <w:szCs w:val="24"/>
          <w:lang w:val="es-ES_tradnl"/>
        </w:rPr>
        <w:t xml:space="preserve">, adicionalmente, se cumpla con una de las siguientes condiciones: </w:t>
      </w:r>
      <w:r w:rsidR="00216859" w:rsidRPr="00216859">
        <w:rPr>
          <w:rFonts w:eastAsia="MS Mincho" w:cs="Arial"/>
          <w:sz w:val="24"/>
          <w:szCs w:val="24"/>
          <w:lang w:val="es-ES_tradnl"/>
        </w:rPr>
        <w:t xml:space="preserve"> </w:t>
      </w:r>
      <w:r w:rsidRPr="00216859">
        <w:rPr>
          <w:rFonts w:eastAsia="MS Mincho" w:cs="Arial"/>
          <w:sz w:val="24"/>
          <w:szCs w:val="24"/>
          <w:lang w:val="es-ES_tradnl"/>
        </w:rPr>
        <w:t>a)</w:t>
      </w:r>
      <w:r w:rsidR="00216859" w:rsidRPr="00216859">
        <w:rPr>
          <w:rFonts w:eastAsia="MS Mincho" w:cs="Arial"/>
          <w:sz w:val="24"/>
          <w:szCs w:val="24"/>
          <w:lang w:val="es-ES_tradnl"/>
        </w:rPr>
        <w:t xml:space="preserve"> </w:t>
      </w:r>
      <w:r w:rsidRPr="00216859">
        <w:rPr>
          <w:rFonts w:eastAsia="MS Mincho" w:cs="Arial"/>
          <w:bCs/>
          <w:sz w:val="24"/>
          <w:szCs w:val="24"/>
          <w:lang w:val="es-ES_tradnl"/>
        </w:rPr>
        <w:t>Que al no otorgarse la medida se cause un perjuicio irremediable</w:t>
      </w:r>
      <w:r w:rsidRPr="00216859">
        <w:rPr>
          <w:rFonts w:eastAsia="MS Mincho" w:cs="Arial"/>
          <w:sz w:val="24"/>
          <w:szCs w:val="24"/>
          <w:lang w:val="es-ES_tradnl"/>
        </w:rPr>
        <w:t xml:space="preserve">, o </w:t>
      </w:r>
      <w:r w:rsidR="00216859" w:rsidRPr="00216859">
        <w:rPr>
          <w:rFonts w:eastAsia="MS Mincho" w:cs="Arial"/>
          <w:sz w:val="24"/>
          <w:szCs w:val="24"/>
          <w:lang w:val="es-ES_tradnl"/>
        </w:rPr>
        <w:t xml:space="preserve"> </w:t>
      </w:r>
      <w:r w:rsidRPr="00216859">
        <w:rPr>
          <w:rFonts w:eastAsia="MS Mincho" w:cs="Arial"/>
          <w:sz w:val="24"/>
          <w:szCs w:val="24"/>
          <w:lang w:val="es-ES_tradnl"/>
        </w:rPr>
        <w:t xml:space="preserve">b)Que existan serios motivos para considerar que de no otorgarse la medida los efectos de la sentencia serían nugatorios”. </w:t>
      </w:r>
      <w:r w:rsidR="00216859" w:rsidRPr="00216859">
        <w:rPr>
          <w:rFonts w:eastAsia="MS Mincho" w:cs="Arial"/>
          <w:sz w:val="24"/>
          <w:szCs w:val="24"/>
          <w:lang w:val="es-ES_tradnl"/>
        </w:rPr>
        <w:t xml:space="preserve"> </w:t>
      </w:r>
      <w:r w:rsidRPr="00216859">
        <w:rPr>
          <w:rFonts w:eastAsia="MS Mincho" w:cs="Arial"/>
          <w:sz w:val="24"/>
          <w:szCs w:val="24"/>
          <w:lang w:val="es-ES_tradnl"/>
        </w:rPr>
        <w:t>En ese sentido, advierte el Despacho que los argumentos principales a efecto de negar la medida cautelar en la providencia recurrida -suspensión provisional de los efectos de un acto administrativo-, estuvieron dados por cuanto la parte demandante no acreditó la existencia de un perjuicio irremediable, conforme lo exige el inciso 1 del artículo 231 del CPACA, para aquellos eventos en los cuales se persigue el restablecimiento del derecho como consecuencia de la declaratoria de nulidad de los actos enjuiciados.</w:t>
      </w:r>
      <w:r w:rsidR="00216859" w:rsidRPr="00216859">
        <w:rPr>
          <w:rFonts w:eastAsia="MS Mincho" w:cs="Arial"/>
          <w:sz w:val="24"/>
          <w:szCs w:val="24"/>
          <w:lang w:val="es-ES_tradnl"/>
        </w:rPr>
        <w:t xml:space="preserve"> </w:t>
      </w:r>
      <w:r w:rsidRPr="00216859">
        <w:rPr>
          <w:rFonts w:eastAsia="MS Mincho" w:cs="Arial"/>
          <w:sz w:val="24"/>
          <w:szCs w:val="24"/>
          <w:lang w:val="es-ES_tradnl"/>
        </w:rPr>
        <w:t>Es así que el Consejo de Estado ha considerado que en esta clase de litigios se debe demostrar, al menos de forma sumaria, la existencia de un perjuicio real y serio, acreditado con un elemento probatorio que lo represente de manera suficiente, completa y fidedigna.</w:t>
      </w:r>
      <w:r w:rsidR="00216859" w:rsidRPr="00216859">
        <w:rPr>
          <w:rFonts w:eastAsia="MS Mincho" w:cs="Arial"/>
          <w:sz w:val="24"/>
          <w:szCs w:val="24"/>
          <w:lang w:val="es-ES_tradnl"/>
        </w:rPr>
        <w:t xml:space="preserve"> </w:t>
      </w:r>
      <w:r w:rsidRPr="00216859">
        <w:rPr>
          <w:rFonts w:eastAsia="MS Mincho" w:cs="Arial"/>
          <w:sz w:val="24"/>
          <w:szCs w:val="24"/>
          <w:lang w:val="es-ES_tradnl"/>
        </w:rPr>
        <w:t xml:space="preserve">Ahora bien, en la demanda y en la solicitud de cautela en cuanto al “perjuicio irremediable” ocasionado a la demandante, se limitó a afirmar que este se causa ya que con la destitución e inhabilidad ordenada en los actos administrativos demandado se afecta su derecho al mínimo vital y móvil, el derecho al trabajo, a obtener una remuneración por este y a su patrimonio. </w:t>
      </w:r>
      <w:r w:rsidR="00216859" w:rsidRPr="00216859">
        <w:rPr>
          <w:rFonts w:eastAsia="MS Mincho" w:cs="Arial"/>
          <w:sz w:val="24"/>
          <w:szCs w:val="24"/>
          <w:lang w:val="es-ES_tradnl"/>
        </w:rPr>
        <w:t xml:space="preserve"> </w:t>
      </w:r>
      <w:r w:rsidRPr="00216859">
        <w:rPr>
          <w:rFonts w:eastAsia="MS Mincho" w:cs="Arial"/>
          <w:sz w:val="24"/>
          <w:szCs w:val="24"/>
          <w:lang w:val="es-ES_tradnl"/>
        </w:rPr>
        <w:t>Por su parte, en el recurso que ahora se estudia, como argumentos nuevos, señaló la parte demandante que el perjuicio surge de la misma inhabilidad, ya que la demandante en calidad de representante legal de la Asociación Sociedad San Vicente de Paul de Tunja (sin ánimo de lucro) no puede suscribir contratos o convenios con entidades públicas, no puede desarrollar actividades productivas hasta la edad de retiro forzoso, se le afecta su  buen nombre y honra y su derecho a la libertad de escoger su profesión y oficio, situaciones que le impiden obtener ingresos para satisfacer su mínimo vital y el de su núcleo familiar.</w:t>
      </w:r>
      <w:r w:rsidR="00216859" w:rsidRPr="00216859">
        <w:rPr>
          <w:rFonts w:eastAsia="MS Mincho" w:cs="Arial"/>
          <w:sz w:val="24"/>
          <w:szCs w:val="24"/>
          <w:lang w:val="es-ES_tradnl"/>
        </w:rPr>
        <w:t xml:space="preserve"> </w:t>
      </w:r>
      <w:r w:rsidRPr="00216859">
        <w:rPr>
          <w:rFonts w:eastAsia="MS Mincho" w:cs="Arial"/>
          <w:sz w:val="24"/>
          <w:szCs w:val="24"/>
          <w:lang w:val="es-ES_tradnl"/>
        </w:rPr>
        <w:t>Así las cosas, la simple aseveración de un perjuicio no hace procedente la medida cautelar de suspensión de efectos de un acto administrativo, sino que, conforme se mencionó en precedencia, es necesario que lo aducido se pruebe sumariamente de manera que el juzgador evidencie un perjuicio real y serio y no uno eventual e hipotético.</w:t>
      </w:r>
      <w:r w:rsidR="00216859" w:rsidRPr="00216859">
        <w:rPr>
          <w:rFonts w:eastAsia="MS Mincho" w:cs="Arial"/>
          <w:sz w:val="24"/>
          <w:szCs w:val="24"/>
          <w:lang w:val="es-ES_tradnl"/>
        </w:rPr>
        <w:t xml:space="preserve"> </w:t>
      </w:r>
      <w:r w:rsidRPr="00216859">
        <w:rPr>
          <w:rFonts w:eastAsia="MS Mincho" w:cs="Arial"/>
          <w:sz w:val="24"/>
          <w:szCs w:val="24"/>
          <w:lang w:val="es-ES_tradnl"/>
        </w:rPr>
        <w:t>En el recurso menciona la parte demandante que la señora LUZ ESPERANZA SALAMANCA DE FONSECA percibe una pensión, no obstante, que la inhabilidad impuesta en los actos administrativos demandados le impiden obtener ingresos para satisfacer su mínimo vital y el de su núcleo familiar. Sin embargo, no allega ninguna prueba que demuestre dicha afectación, es más ni siquiera hace mención a la conformación del núcleo familiar que presuntamente se ve perjudicado.</w:t>
      </w:r>
      <w:r w:rsidR="00216859" w:rsidRPr="00216859">
        <w:rPr>
          <w:rFonts w:eastAsia="MS Mincho" w:cs="Arial"/>
          <w:sz w:val="24"/>
          <w:szCs w:val="24"/>
          <w:lang w:val="es-ES_tradnl"/>
        </w:rPr>
        <w:t xml:space="preserve"> </w:t>
      </w:r>
      <w:r w:rsidRPr="00216859">
        <w:rPr>
          <w:rFonts w:eastAsia="MS Mincho" w:cs="Arial"/>
          <w:sz w:val="24"/>
          <w:szCs w:val="24"/>
          <w:lang w:val="es-ES_tradnl"/>
        </w:rPr>
        <w:t xml:space="preserve">En ese </w:t>
      </w:r>
      <w:r w:rsidRPr="00216859">
        <w:rPr>
          <w:rFonts w:eastAsia="MS Mincho" w:cs="Arial"/>
          <w:sz w:val="24"/>
          <w:szCs w:val="24"/>
          <w:lang w:val="es-ES_tradnl"/>
        </w:rPr>
        <w:lastRenderedPageBreak/>
        <w:t xml:space="preserve">sentido y atendiendo a que en el caso sub examine no se cumplen los requisitos y exigencias que impone el artículo 231 del CPACA y la jurisprudencia del Consejo de Estado, esbozada anteriormente, para la concesión de la medida cautelar, </w:t>
      </w:r>
      <w:r w:rsidRPr="00216859">
        <w:rPr>
          <w:rFonts w:cs="Arial"/>
          <w:sz w:val="24"/>
          <w:szCs w:val="24"/>
        </w:rPr>
        <w:t>el Despacho no repondrá el auto del 27 de febrero de 2020, como en efecto se dispondrá en la parte resolutiva de este proveído.</w:t>
      </w:r>
      <w:r w:rsidR="00216859" w:rsidRPr="00216859">
        <w:rPr>
          <w:rFonts w:cs="Arial"/>
          <w:sz w:val="24"/>
          <w:szCs w:val="24"/>
        </w:rPr>
        <w:t xml:space="preserve"> </w:t>
      </w:r>
      <w:r w:rsidRPr="00216859">
        <w:rPr>
          <w:rFonts w:eastAsia="MS Mincho" w:cs="Arial"/>
          <w:sz w:val="24"/>
          <w:szCs w:val="24"/>
          <w:lang w:val="es-ES_tradnl"/>
        </w:rPr>
        <w:t>No obstante, el despacho procede analizar la procedencia del recurso de apelación impetrado en subsidio.</w:t>
      </w:r>
    </w:p>
    <w:p w14:paraId="1AF3262B" w14:textId="7D0C1230" w:rsidR="00216859" w:rsidRPr="00216859" w:rsidRDefault="00216859" w:rsidP="00216859">
      <w:pPr>
        <w:jc w:val="both"/>
        <w:rPr>
          <w:rFonts w:eastAsia="MS Mincho" w:cs="Arial"/>
          <w:sz w:val="24"/>
          <w:szCs w:val="24"/>
          <w:lang w:val="es-ES_tradnl"/>
        </w:rPr>
      </w:pPr>
    </w:p>
    <w:p w14:paraId="777C8933" w14:textId="5972F08B" w:rsidR="00216859" w:rsidRDefault="00216859" w:rsidP="00216859">
      <w:pPr>
        <w:jc w:val="both"/>
        <w:rPr>
          <w:rFonts w:cs="Arial"/>
          <w:iCs/>
          <w:sz w:val="24"/>
          <w:szCs w:val="24"/>
        </w:rPr>
      </w:pPr>
      <w:bookmarkStart w:id="0" w:name="_Hlk135229561"/>
      <w:bookmarkStart w:id="1" w:name="_Hlk105513629"/>
      <w:r w:rsidRPr="00216859">
        <w:rPr>
          <w:rFonts w:cs="Arial"/>
          <w:b/>
          <w:bCs/>
          <w:sz w:val="24"/>
          <w:szCs w:val="24"/>
          <w:lang w:val="es-CO"/>
        </w:rPr>
        <w:t>NOTA DE RELATORÍA:</w:t>
      </w:r>
      <w:r w:rsidRPr="00216859">
        <w:rPr>
          <w:rFonts w:cs="Arial"/>
          <w:bCs/>
          <w:sz w:val="24"/>
          <w:szCs w:val="24"/>
          <w:lang w:val="es-CO"/>
        </w:rPr>
        <w:t xml:space="preserve"> </w:t>
      </w:r>
      <w:r w:rsidRPr="00216859">
        <w:rPr>
          <w:rFonts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bookmarkEnd w:id="0"/>
      <w:r w:rsidRPr="00216859">
        <w:rPr>
          <w:rFonts w:cs="Arial"/>
          <w:iCs/>
          <w:sz w:val="24"/>
          <w:szCs w:val="24"/>
        </w:rPr>
        <w:t xml:space="preserve"> siguiendo este link: </w:t>
      </w:r>
    </w:p>
    <w:p w14:paraId="79CC64C7" w14:textId="77777777" w:rsidR="00D953F1" w:rsidRDefault="00D953F1" w:rsidP="00D953F1"/>
    <w:tbl>
      <w:tblPr>
        <w:tblStyle w:val="Tablaconcuadrcula"/>
        <w:tblW w:w="0" w:type="auto"/>
        <w:tblLook w:val="04A0" w:firstRow="1" w:lastRow="0" w:firstColumn="1" w:lastColumn="0" w:noHBand="0" w:noVBand="1"/>
      </w:tblPr>
      <w:tblGrid>
        <w:gridCol w:w="8828"/>
      </w:tblGrid>
      <w:tr w:rsidR="00D953F1" w14:paraId="7887838A" w14:textId="77777777" w:rsidTr="004C414E">
        <w:tc>
          <w:tcPr>
            <w:tcW w:w="8828" w:type="dxa"/>
          </w:tcPr>
          <w:p w14:paraId="314328F8" w14:textId="63D96746" w:rsidR="00D953F1" w:rsidRDefault="00D953F1" w:rsidP="004C414E">
            <w:pPr>
              <w:tabs>
                <w:tab w:val="left" w:pos="1199"/>
              </w:tabs>
            </w:pPr>
            <w:r>
              <w:tab/>
            </w:r>
            <w:hyperlink r:id="rId11" w:history="1">
              <w:r w:rsidRPr="00216859">
                <w:rPr>
                  <w:rStyle w:val="Hipervnculo"/>
                  <w:rFonts w:cs="Arial"/>
                  <w:sz w:val="24"/>
                  <w:szCs w:val="24"/>
                  <w:lang w:eastAsia="es-CO"/>
                </w:rPr>
                <w:t>https://samairj.consejodeestado.gov.co/Vistas/Casos/list_procesos.aspx?guid=150012333000202200519001500123</w:t>
              </w:r>
            </w:hyperlink>
          </w:p>
        </w:tc>
      </w:tr>
    </w:tbl>
    <w:bookmarkEnd w:id="1"/>
    <w:p w14:paraId="2C5A4E99" w14:textId="308600DD" w:rsidR="00C33BDD" w:rsidRPr="00216859" w:rsidRDefault="00C33BDD" w:rsidP="003A170E">
      <w:pPr>
        <w:spacing w:line="360" w:lineRule="auto"/>
        <w:jc w:val="center"/>
        <w:rPr>
          <w:rFonts w:cs="Arial"/>
          <w:b/>
          <w:bCs/>
          <w:sz w:val="24"/>
          <w:szCs w:val="24"/>
          <w:lang w:val="es-ES_tradnl"/>
        </w:rPr>
      </w:pPr>
      <w:r w:rsidRPr="00216859">
        <w:rPr>
          <w:rFonts w:cs="Arial"/>
          <w:b/>
          <w:bCs/>
          <w:sz w:val="24"/>
          <w:szCs w:val="24"/>
          <w:lang w:val="es-ES_tradnl"/>
        </w:rPr>
        <w:t xml:space="preserve"> </w:t>
      </w:r>
    </w:p>
    <w:p w14:paraId="1F860F69" w14:textId="77777777" w:rsidR="003A170E" w:rsidRPr="00216859" w:rsidRDefault="003A170E" w:rsidP="003A170E">
      <w:pPr>
        <w:spacing w:line="360" w:lineRule="auto"/>
        <w:jc w:val="center"/>
        <w:rPr>
          <w:rFonts w:cs="Arial"/>
          <w:b/>
          <w:bCs/>
          <w:sz w:val="24"/>
          <w:szCs w:val="24"/>
          <w:lang w:val="es-ES_tradnl"/>
        </w:rPr>
      </w:pPr>
      <w:r w:rsidRPr="00216859">
        <w:rPr>
          <w:rFonts w:cs="Arial"/>
          <w:noProof/>
          <w:sz w:val="24"/>
          <w:szCs w:val="24"/>
          <w:lang w:val="es-CO" w:eastAsia="es-CO"/>
        </w:rPr>
        <w:drawing>
          <wp:inline distT="0" distB="0" distL="0" distR="0" wp14:anchorId="36A940E6" wp14:editId="162B7F1D">
            <wp:extent cx="636422" cy="599846"/>
            <wp:effectExtent l="0" t="0" r="0" b="0"/>
            <wp:docPr id="8" name="Imagen 8" descr="Descripción: Descripción: F:\Logo_Rama_Judicial_3.pn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F:\Logo_Rama_Judicial_3.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913" cy="604079"/>
                    </a:xfrm>
                    <a:prstGeom prst="rect">
                      <a:avLst/>
                    </a:prstGeom>
                    <a:noFill/>
                    <a:ln>
                      <a:noFill/>
                    </a:ln>
                  </pic:spPr>
                </pic:pic>
              </a:graphicData>
            </a:graphic>
          </wp:inline>
        </w:drawing>
      </w:r>
    </w:p>
    <w:p w14:paraId="750A0216" w14:textId="77777777" w:rsidR="003A170E" w:rsidRPr="00216859" w:rsidRDefault="003A170E" w:rsidP="003A170E">
      <w:pPr>
        <w:spacing w:line="360" w:lineRule="auto"/>
        <w:jc w:val="center"/>
        <w:rPr>
          <w:rFonts w:cs="Arial"/>
          <w:b/>
          <w:bCs/>
          <w:sz w:val="24"/>
          <w:szCs w:val="24"/>
          <w:lang w:val="es-ES_tradnl"/>
        </w:rPr>
      </w:pPr>
      <w:r w:rsidRPr="00216859">
        <w:rPr>
          <w:rFonts w:cs="Arial"/>
          <w:b/>
          <w:bCs/>
          <w:sz w:val="24"/>
          <w:szCs w:val="24"/>
          <w:lang w:val="es-ES_tradnl"/>
        </w:rPr>
        <w:t>TRIBUNAL ADMINISTRATIVO DE BOYACÁ</w:t>
      </w:r>
    </w:p>
    <w:p w14:paraId="1BFF091F" w14:textId="77777777" w:rsidR="003A170E" w:rsidRPr="00216859" w:rsidRDefault="003A170E" w:rsidP="003A170E">
      <w:pPr>
        <w:spacing w:line="360" w:lineRule="auto"/>
        <w:jc w:val="center"/>
        <w:rPr>
          <w:rFonts w:cs="Arial"/>
          <w:b/>
          <w:bCs/>
          <w:sz w:val="24"/>
          <w:szCs w:val="24"/>
          <w:lang w:val="es-ES_tradnl"/>
        </w:rPr>
      </w:pPr>
      <w:r w:rsidRPr="00216859">
        <w:rPr>
          <w:rFonts w:cs="Arial"/>
          <w:b/>
          <w:bCs/>
          <w:sz w:val="24"/>
          <w:szCs w:val="24"/>
          <w:lang w:val="es-ES_tradnl"/>
        </w:rPr>
        <w:t>DESPACHO No. 4</w:t>
      </w:r>
    </w:p>
    <w:p w14:paraId="220D98F2" w14:textId="77777777" w:rsidR="003A170E" w:rsidRPr="00216859" w:rsidRDefault="003A170E" w:rsidP="003A170E">
      <w:pPr>
        <w:spacing w:line="360" w:lineRule="auto"/>
        <w:jc w:val="center"/>
        <w:rPr>
          <w:rFonts w:cs="Arial"/>
          <w:b/>
          <w:bCs/>
          <w:sz w:val="24"/>
          <w:szCs w:val="24"/>
          <w:lang w:val="es-ES_tradnl"/>
        </w:rPr>
      </w:pPr>
      <w:r w:rsidRPr="00216859">
        <w:rPr>
          <w:rFonts w:cs="Arial"/>
          <w:b/>
          <w:bCs/>
          <w:sz w:val="24"/>
          <w:szCs w:val="24"/>
          <w:lang w:val="es-ES_tradnl"/>
        </w:rPr>
        <w:t xml:space="preserve">MAGISTRADO: FÉLIX ALBERTO RODRÍGUEZ RIVEROS </w:t>
      </w:r>
    </w:p>
    <w:p w14:paraId="7EB1359B" w14:textId="77777777" w:rsidR="003A170E" w:rsidRPr="00216859" w:rsidRDefault="003A170E" w:rsidP="003A170E">
      <w:pPr>
        <w:spacing w:line="360" w:lineRule="auto"/>
        <w:jc w:val="both"/>
        <w:rPr>
          <w:rFonts w:cs="Arial"/>
          <w:sz w:val="24"/>
          <w:szCs w:val="24"/>
          <w:lang w:val="es-ES_tradnl"/>
        </w:rPr>
      </w:pPr>
    </w:p>
    <w:p w14:paraId="4453F898" w14:textId="77777777" w:rsidR="00284616" w:rsidRPr="00216859" w:rsidRDefault="003A170E" w:rsidP="00FF2752">
      <w:pPr>
        <w:tabs>
          <w:tab w:val="left" w:pos="2820"/>
        </w:tabs>
        <w:spacing w:line="360" w:lineRule="auto"/>
        <w:jc w:val="both"/>
        <w:rPr>
          <w:rFonts w:cs="Arial"/>
          <w:sz w:val="24"/>
          <w:szCs w:val="24"/>
          <w:lang w:val="es-ES_tradnl"/>
        </w:rPr>
      </w:pPr>
      <w:r w:rsidRPr="00216859">
        <w:rPr>
          <w:rFonts w:cs="Arial"/>
          <w:sz w:val="24"/>
          <w:szCs w:val="24"/>
          <w:lang w:val="es-ES_tradnl"/>
        </w:rPr>
        <w:t xml:space="preserve">Tunja, </w:t>
      </w:r>
      <w:r w:rsidR="00595E3E" w:rsidRPr="00216859">
        <w:rPr>
          <w:rFonts w:cs="Arial"/>
          <w:sz w:val="24"/>
          <w:szCs w:val="24"/>
          <w:lang w:val="es-ES_tradnl"/>
        </w:rPr>
        <w:t>trece (13) de junio de dos mil veintitrés (2023)</w:t>
      </w:r>
    </w:p>
    <w:p w14:paraId="6F627643" w14:textId="0833BFDB" w:rsidR="003A170E" w:rsidRPr="00216859" w:rsidRDefault="00FF2752" w:rsidP="00FF2752">
      <w:pPr>
        <w:tabs>
          <w:tab w:val="left" w:pos="2820"/>
        </w:tabs>
        <w:spacing w:line="360" w:lineRule="auto"/>
        <w:jc w:val="both"/>
        <w:rPr>
          <w:rFonts w:cs="Arial"/>
          <w:sz w:val="24"/>
          <w:szCs w:val="24"/>
          <w:lang w:val="es-ES_tradnl"/>
        </w:rPr>
      </w:pPr>
      <w:r w:rsidRPr="00216859">
        <w:rPr>
          <w:rFonts w:cs="Arial"/>
          <w:sz w:val="24"/>
          <w:szCs w:val="24"/>
          <w:lang w:val="es-ES_tradnl"/>
        </w:rPr>
        <w:tab/>
      </w:r>
    </w:p>
    <w:tbl>
      <w:tblPr>
        <w:tblW w:w="854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6"/>
        <w:gridCol w:w="5630"/>
      </w:tblGrid>
      <w:tr w:rsidR="00284616" w:rsidRPr="00216859" w14:paraId="01C8463F" w14:textId="77777777" w:rsidTr="00521214">
        <w:trPr>
          <w:trHeight w:val="351"/>
        </w:trPr>
        <w:tc>
          <w:tcPr>
            <w:tcW w:w="2529" w:type="dxa"/>
            <w:tcBorders>
              <w:top w:val="single" w:sz="6" w:space="0" w:color="auto"/>
              <w:left w:val="single" w:sz="6" w:space="0" w:color="auto"/>
              <w:bottom w:val="single" w:sz="6" w:space="0" w:color="auto"/>
              <w:right w:val="single" w:sz="6" w:space="0" w:color="auto"/>
            </w:tcBorders>
            <w:shd w:val="clear" w:color="auto" w:fill="auto"/>
            <w:hideMark/>
          </w:tcPr>
          <w:p w14:paraId="55E7DE54" w14:textId="77777777" w:rsidR="00284616" w:rsidRPr="00216859" w:rsidRDefault="00284616" w:rsidP="00521214">
            <w:pPr>
              <w:textAlignment w:val="baseline"/>
              <w:rPr>
                <w:rFonts w:cs="Arial"/>
                <w:sz w:val="24"/>
                <w:szCs w:val="24"/>
                <w:lang w:eastAsia="es-CO"/>
              </w:rPr>
            </w:pPr>
            <w:r w:rsidRPr="00216859">
              <w:rPr>
                <w:rFonts w:cs="Arial"/>
                <w:b/>
                <w:bCs/>
                <w:sz w:val="24"/>
                <w:szCs w:val="24"/>
                <w:lang w:eastAsia="es-CO"/>
              </w:rPr>
              <w:t>MEDIO DE CONTROL:</w:t>
            </w:r>
            <w:r w:rsidRPr="00216859">
              <w:rPr>
                <w:rFonts w:cs="Arial"/>
                <w:sz w:val="24"/>
                <w:szCs w:val="24"/>
                <w:lang w:eastAsia="es-CO"/>
              </w:rPr>
              <w:t> </w:t>
            </w:r>
          </w:p>
        </w:tc>
        <w:tc>
          <w:tcPr>
            <w:tcW w:w="6017" w:type="dxa"/>
            <w:tcBorders>
              <w:top w:val="single" w:sz="6" w:space="0" w:color="auto"/>
              <w:left w:val="single" w:sz="6" w:space="0" w:color="auto"/>
              <w:bottom w:val="single" w:sz="6" w:space="0" w:color="auto"/>
              <w:right w:val="single" w:sz="6" w:space="0" w:color="auto"/>
            </w:tcBorders>
            <w:shd w:val="clear" w:color="auto" w:fill="auto"/>
            <w:hideMark/>
          </w:tcPr>
          <w:p w14:paraId="3B493021" w14:textId="77777777" w:rsidR="00284616" w:rsidRPr="00216859" w:rsidRDefault="00284616" w:rsidP="00521214">
            <w:pPr>
              <w:textAlignment w:val="baseline"/>
              <w:rPr>
                <w:rFonts w:cs="Arial"/>
                <w:b/>
                <w:sz w:val="24"/>
                <w:szCs w:val="24"/>
                <w:lang w:eastAsia="es-CO"/>
              </w:rPr>
            </w:pPr>
            <w:r w:rsidRPr="00216859">
              <w:rPr>
                <w:rFonts w:cs="Arial"/>
                <w:b/>
                <w:sz w:val="24"/>
                <w:szCs w:val="24"/>
                <w:lang w:eastAsia="es-CO"/>
              </w:rPr>
              <w:t>NULIDAD Y RESTABLECIMIENTO DEL DERECHO </w:t>
            </w:r>
          </w:p>
        </w:tc>
      </w:tr>
      <w:tr w:rsidR="00284616" w:rsidRPr="00216859" w14:paraId="57FFAA01" w14:textId="77777777" w:rsidTr="00521214">
        <w:trPr>
          <w:trHeight w:val="300"/>
        </w:trPr>
        <w:tc>
          <w:tcPr>
            <w:tcW w:w="2529" w:type="dxa"/>
            <w:tcBorders>
              <w:top w:val="single" w:sz="6" w:space="0" w:color="auto"/>
              <w:left w:val="single" w:sz="6" w:space="0" w:color="auto"/>
              <w:bottom w:val="single" w:sz="6" w:space="0" w:color="auto"/>
              <w:right w:val="single" w:sz="6" w:space="0" w:color="auto"/>
            </w:tcBorders>
            <w:shd w:val="clear" w:color="auto" w:fill="auto"/>
            <w:hideMark/>
          </w:tcPr>
          <w:p w14:paraId="7B3B93B5" w14:textId="77777777" w:rsidR="00284616" w:rsidRPr="00216859" w:rsidRDefault="00284616" w:rsidP="00521214">
            <w:pPr>
              <w:textAlignment w:val="baseline"/>
              <w:rPr>
                <w:rFonts w:cs="Arial"/>
                <w:sz w:val="24"/>
                <w:szCs w:val="24"/>
                <w:lang w:eastAsia="es-CO"/>
              </w:rPr>
            </w:pPr>
            <w:r w:rsidRPr="00216859">
              <w:rPr>
                <w:rFonts w:cs="Arial"/>
                <w:b/>
                <w:bCs/>
                <w:sz w:val="24"/>
                <w:szCs w:val="24"/>
                <w:lang w:eastAsia="es-CO"/>
              </w:rPr>
              <w:t>DEMANDANTE:</w:t>
            </w:r>
            <w:r w:rsidRPr="00216859">
              <w:rPr>
                <w:rFonts w:cs="Arial"/>
                <w:sz w:val="24"/>
                <w:szCs w:val="24"/>
                <w:lang w:eastAsia="es-CO"/>
              </w:rPr>
              <w:t> </w:t>
            </w:r>
          </w:p>
        </w:tc>
        <w:tc>
          <w:tcPr>
            <w:tcW w:w="6017" w:type="dxa"/>
            <w:tcBorders>
              <w:top w:val="single" w:sz="6" w:space="0" w:color="auto"/>
              <w:left w:val="single" w:sz="6" w:space="0" w:color="auto"/>
              <w:bottom w:val="single" w:sz="6" w:space="0" w:color="auto"/>
              <w:right w:val="single" w:sz="6" w:space="0" w:color="auto"/>
            </w:tcBorders>
            <w:shd w:val="clear" w:color="auto" w:fill="auto"/>
            <w:hideMark/>
          </w:tcPr>
          <w:p w14:paraId="379E8922" w14:textId="77777777" w:rsidR="00284616" w:rsidRPr="00216859" w:rsidRDefault="00284616" w:rsidP="00521214">
            <w:pPr>
              <w:textAlignment w:val="baseline"/>
              <w:rPr>
                <w:rFonts w:cs="Arial"/>
                <w:b/>
                <w:sz w:val="24"/>
                <w:szCs w:val="24"/>
                <w:lang w:eastAsia="es-CO"/>
              </w:rPr>
            </w:pPr>
            <w:r w:rsidRPr="00216859">
              <w:rPr>
                <w:rFonts w:cs="Arial"/>
                <w:b/>
                <w:sz w:val="24"/>
                <w:szCs w:val="24"/>
                <w:lang w:eastAsia="es-CO"/>
              </w:rPr>
              <w:t>LUZ ESPERANZA SALAMANCA DE FONSECA  </w:t>
            </w:r>
          </w:p>
        </w:tc>
      </w:tr>
      <w:tr w:rsidR="00284616" w:rsidRPr="00216859" w14:paraId="5A35F3DE" w14:textId="77777777" w:rsidTr="00521214">
        <w:trPr>
          <w:trHeight w:val="1098"/>
        </w:trPr>
        <w:tc>
          <w:tcPr>
            <w:tcW w:w="2529" w:type="dxa"/>
            <w:tcBorders>
              <w:top w:val="single" w:sz="6" w:space="0" w:color="auto"/>
              <w:left w:val="single" w:sz="6" w:space="0" w:color="auto"/>
              <w:bottom w:val="single" w:sz="6" w:space="0" w:color="auto"/>
              <w:right w:val="single" w:sz="6" w:space="0" w:color="auto"/>
            </w:tcBorders>
            <w:shd w:val="clear" w:color="auto" w:fill="auto"/>
            <w:hideMark/>
          </w:tcPr>
          <w:p w14:paraId="0629BB3D" w14:textId="77777777" w:rsidR="00284616" w:rsidRPr="00216859" w:rsidRDefault="00284616" w:rsidP="00521214">
            <w:pPr>
              <w:textAlignment w:val="baseline"/>
              <w:rPr>
                <w:rFonts w:cs="Arial"/>
                <w:sz w:val="24"/>
                <w:szCs w:val="24"/>
                <w:lang w:eastAsia="es-CO"/>
              </w:rPr>
            </w:pPr>
            <w:r w:rsidRPr="00216859">
              <w:rPr>
                <w:rFonts w:cs="Arial"/>
                <w:b/>
                <w:bCs/>
                <w:sz w:val="24"/>
                <w:szCs w:val="24"/>
                <w:lang w:eastAsia="es-CO"/>
              </w:rPr>
              <w:t>DEMANDADO:</w:t>
            </w:r>
            <w:r w:rsidRPr="00216859">
              <w:rPr>
                <w:rFonts w:cs="Arial"/>
                <w:sz w:val="24"/>
                <w:szCs w:val="24"/>
                <w:lang w:eastAsia="es-CO"/>
              </w:rPr>
              <w:t> </w:t>
            </w:r>
          </w:p>
        </w:tc>
        <w:tc>
          <w:tcPr>
            <w:tcW w:w="6017" w:type="dxa"/>
            <w:tcBorders>
              <w:top w:val="single" w:sz="6" w:space="0" w:color="auto"/>
              <w:left w:val="single" w:sz="6" w:space="0" w:color="auto"/>
              <w:bottom w:val="single" w:sz="6" w:space="0" w:color="auto"/>
              <w:right w:val="single" w:sz="6" w:space="0" w:color="auto"/>
            </w:tcBorders>
            <w:shd w:val="clear" w:color="auto" w:fill="auto"/>
            <w:hideMark/>
          </w:tcPr>
          <w:p w14:paraId="0A00C298" w14:textId="77777777" w:rsidR="00284616" w:rsidRPr="00216859" w:rsidRDefault="00284616" w:rsidP="00521214">
            <w:pPr>
              <w:jc w:val="both"/>
              <w:rPr>
                <w:rFonts w:cs="Arial"/>
                <w:b/>
                <w:sz w:val="24"/>
                <w:szCs w:val="24"/>
              </w:rPr>
            </w:pPr>
            <w:r w:rsidRPr="00216859">
              <w:rPr>
                <w:rFonts w:cs="Arial"/>
                <w:b/>
                <w:sz w:val="24"/>
                <w:szCs w:val="24"/>
                <w:lang w:eastAsia="es-CO"/>
              </w:rPr>
              <w:t xml:space="preserve">NACIÓN - </w:t>
            </w:r>
            <w:r w:rsidRPr="00216859">
              <w:rPr>
                <w:rFonts w:cs="Arial"/>
                <w:b/>
                <w:sz w:val="24"/>
                <w:szCs w:val="24"/>
              </w:rPr>
              <w:t>MINISTERIO DE HACIENDA Y CRÉDITO PÚBLICO y AGENCIA DEL INSPECTOR GENERAL DE TRIBUTOS, RENTAS Y CONTRIBUCIONES PARAFISCALES – ITRC.</w:t>
            </w:r>
          </w:p>
        </w:tc>
      </w:tr>
      <w:tr w:rsidR="00284616" w:rsidRPr="00216859" w14:paraId="22D4A0D9" w14:textId="77777777" w:rsidTr="00521214">
        <w:trPr>
          <w:trHeight w:val="300"/>
        </w:trPr>
        <w:tc>
          <w:tcPr>
            <w:tcW w:w="2529" w:type="dxa"/>
            <w:tcBorders>
              <w:top w:val="single" w:sz="6" w:space="0" w:color="auto"/>
              <w:left w:val="single" w:sz="6" w:space="0" w:color="auto"/>
              <w:bottom w:val="single" w:sz="6" w:space="0" w:color="auto"/>
              <w:right w:val="single" w:sz="6" w:space="0" w:color="auto"/>
            </w:tcBorders>
            <w:shd w:val="clear" w:color="auto" w:fill="auto"/>
            <w:hideMark/>
          </w:tcPr>
          <w:p w14:paraId="62D983C2" w14:textId="77777777" w:rsidR="00284616" w:rsidRPr="00216859" w:rsidRDefault="00284616" w:rsidP="00521214">
            <w:pPr>
              <w:textAlignment w:val="baseline"/>
              <w:rPr>
                <w:rFonts w:cs="Arial"/>
                <w:b/>
                <w:sz w:val="24"/>
                <w:szCs w:val="24"/>
                <w:lang w:eastAsia="es-CO"/>
              </w:rPr>
            </w:pPr>
            <w:r w:rsidRPr="00216859">
              <w:rPr>
                <w:rFonts w:cs="Arial"/>
                <w:b/>
                <w:bCs/>
                <w:sz w:val="24"/>
                <w:szCs w:val="24"/>
                <w:lang w:eastAsia="es-CO"/>
              </w:rPr>
              <w:t>RADICACIÓN No:</w:t>
            </w:r>
            <w:r w:rsidRPr="00216859">
              <w:rPr>
                <w:rFonts w:cs="Arial"/>
                <w:b/>
                <w:sz w:val="24"/>
                <w:szCs w:val="24"/>
                <w:lang w:eastAsia="es-CO"/>
              </w:rPr>
              <w:t> </w:t>
            </w:r>
          </w:p>
        </w:tc>
        <w:tc>
          <w:tcPr>
            <w:tcW w:w="6017" w:type="dxa"/>
            <w:tcBorders>
              <w:top w:val="single" w:sz="6" w:space="0" w:color="auto"/>
              <w:left w:val="single" w:sz="6" w:space="0" w:color="auto"/>
              <w:bottom w:val="single" w:sz="6" w:space="0" w:color="auto"/>
              <w:right w:val="single" w:sz="6" w:space="0" w:color="auto"/>
            </w:tcBorders>
            <w:shd w:val="clear" w:color="auto" w:fill="auto"/>
            <w:hideMark/>
          </w:tcPr>
          <w:p w14:paraId="4DA089D5" w14:textId="77777777" w:rsidR="00284616" w:rsidRPr="00216859" w:rsidRDefault="00284616" w:rsidP="00521214">
            <w:pPr>
              <w:textAlignment w:val="baseline"/>
              <w:rPr>
                <w:rFonts w:cs="Arial"/>
                <w:b/>
                <w:sz w:val="24"/>
                <w:szCs w:val="24"/>
                <w:lang w:eastAsia="es-CO"/>
              </w:rPr>
            </w:pPr>
            <w:bookmarkStart w:id="2" w:name="_GoBack"/>
            <w:r w:rsidRPr="00216859">
              <w:rPr>
                <w:rFonts w:cs="Arial"/>
                <w:b/>
                <w:sz w:val="24"/>
                <w:szCs w:val="24"/>
                <w:lang w:eastAsia="es-CO"/>
              </w:rPr>
              <w:t>15001-23-33-000-2022-00519-00</w:t>
            </w:r>
            <w:bookmarkEnd w:id="2"/>
          </w:p>
        </w:tc>
      </w:tr>
      <w:tr w:rsidR="00284616" w:rsidRPr="00216859" w14:paraId="007E4BEF" w14:textId="77777777" w:rsidTr="00521214">
        <w:trPr>
          <w:trHeight w:val="900"/>
        </w:trPr>
        <w:tc>
          <w:tcPr>
            <w:tcW w:w="85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2B70F5" w14:textId="77777777" w:rsidR="00284616" w:rsidRPr="00216859" w:rsidRDefault="00284616" w:rsidP="00521214">
            <w:pPr>
              <w:textAlignment w:val="baseline"/>
              <w:rPr>
                <w:rFonts w:cs="Arial"/>
                <w:sz w:val="24"/>
                <w:szCs w:val="24"/>
                <w:lang w:eastAsia="es-CO"/>
              </w:rPr>
            </w:pPr>
            <w:r w:rsidRPr="00216859">
              <w:rPr>
                <w:rFonts w:cs="Arial"/>
                <w:sz w:val="24"/>
                <w:szCs w:val="24"/>
                <w:lang w:eastAsia="es-CO"/>
              </w:rPr>
              <w:t>Link de consulta </w:t>
            </w:r>
          </w:p>
          <w:p w14:paraId="679955D2" w14:textId="77777777" w:rsidR="00284616" w:rsidRPr="00216859" w:rsidRDefault="009469A4" w:rsidP="00521214">
            <w:pPr>
              <w:textAlignment w:val="baseline"/>
              <w:rPr>
                <w:rFonts w:cs="Arial"/>
                <w:sz w:val="24"/>
                <w:szCs w:val="24"/>
                <w:lang w:eastAsia="es-CO"/>
              </w:rPr>
            </w:pPr>
            <w:hyperlink r:id="rId13" w:history="1">
              <w:r w:rsidR="00284616" w:rsidRPr="00216859">
                <w:rPr>
                  <w:rStyle w:val="Hipervnculo"/>
                  <w:rFonts w:cs="Arial"/>
                  <w:sz w:val="24"/>
                  <w:szCs w:val="24"/>
                  <w:lang w:eastAsia="es-CO"/>
                </w:rPr>
                <w:t>https://samairj.consejodeestado.gov.co/Vistas/Casos/list_procesos.aspx?guid=150012333000202200519001500123</w:t>
              </w:r>
            </w:hyperlink>
            <w:r w:rsidR="00284616" w:rsidRPr="00216859">
              <w:rPr>
                <w:rFonts w:cs="Arial"/>
                <w:sz w:val="24"/>
                <w:szCs w:val="24"/>
                <w:lang w:eastAsia="es-CO"/>
              </w:rPr>
              <w:t xml:space="preserve"> </w:t>
            </w:r>
          </w:p>
        </w:tc>
      </w:tr>
    </w:tbl>
    <w:p w14:paraId="4777DB92" w14:textId="77777777" w:rsidR="00FF2752" w:rsidRPr="00216859" w:rsidRDefault="00FF2752" w:rsidP="00FF2752">
      <w:pPr>
        <w:tabs>
          <w:tab w:val="left" w:pos="2820"/>
        </w:tabs>
        <w:spacing w:line="360" w:lineRule="auto"/>
        <w:jc w:val="both"/>
        <w:rPr>
          <w:rFonts w:cs="Arial"/>
          <w:b/>
          <w:sz w:val="24"/>
          <w:szCs w:val="24"/>
        </w:rPr>
      </w:pPr>
    </w:p>
    <w:p w14:paraId="4F108F41" w14:textId="639679E0" w:rsidR="00FF2752" w:rsidRPr="00216859" w:rsidRDefault="00FF2752" w:rsidP="00FF2752">
      <w:pPr>
        <w:tabs>
          <w:tab w:val="left" w:pos="2820"/>
        </w:tabs>
        <w:spacing w:line="360" w:lineRule="auto"/>
        <w:jc w:val="both"/>
        <w:rPr>
          <w:rFonts w:cs="Arial"/>
          <w:b/>
          <w:sz w:val="24"/>
          <w:szCs w:val="24"/>
        </w:rPr>
      </w:pPr>
    </w:p>
    <w:p w14:paraId="49549D1C" w14:textId="77777777" w:rsidR="00FF2752" w:rsidRPr="00216859" w:rsidRDefault="00FF2752" w:rsidP="00FF2752">
      <w:pPr>
        <w:tabs>
          <w:tab w:val="left" w:pos="2820"/>
        </w:tabs>
        <w:spacing w:line="360" w:lineRule="auto"/>
        <w:jc w:val="both"/>
        <w:rPr>
          <w:rFonts w:cs="Arial"/>
          <w:sz w:val="24"/>
          <w:szCs w:val="24"/>
        </w:rPr>
      </w:pPr>
    </w:p>
    <w:p w14:paraId="0DA368A6" w14:textId="77777777" w:rsidR="003A170E" w:rsidRPr="00216859" w:rsidRDefault="003A170E" w:rsidP="003A170E">
      <w:pPr>
        <w:numPr>
          <w:ilvl w:val="0"/>
          <w:numId w:val="1"/>
        </w:numPr>
        <w:overflowPunct/>
        <w:autoSpaceDE/>
        <w:autoSpaceDN/>
        <w:adjustRightInd/>
        <w:spacing w:line="360" w:lineRule="auto"/>
        <w:jc w:val="center"/>
        <w:rPr>
          <w:rFonts w:cs="Arial"/>
          <w:b/>
          <w:sz w:val="24"/>
          <w:szCs w:val="24"/>
        </w:rPr>
      </w:pPr>
      <w:r w:rsidRPr="00216859">
        <w:rPr>
          <w:rFonts w:cs="Arial"/>
          <w:b/>
          <w:sz w:val="24"/>
          <w:szCs w:val="24"/>
        </w:rPr>
        <w:t>ASUNTO A RESOLVER</w:t>
      </w:r>
    </w:p>
    <w:p w14:paraId="50F25257" w14:textId="4D99B36C" w:rsidR="003A170E" w:rsidRPr="00216859" w:rsidRDefault="003A170E" w:rsidP="003A170E">
      <w:pPr>
        <w:pStyle w:val="Default"/>
        <w:spacing w:line="360" w:lineRule="auto"/>
        <w:ind w:left="360"/>
        <w:jc w:val="both"/>
        <w:rPr>
          <w:rFonts w:ascii="Arial" w:hAnsi="Arial" w:cs="Arial"/>
        </w:rPr>
      </w:pPr>
    </w:p>
    <w:p w14:paraId="1C8516AB" w14:textId="77777777" w:rsidR="00FF2752" w:rsidRPr="00216859" w:rsidRDefault="00FF2752" w:rsidP="003A170E">
      <w:pPr>
        <w:pStyle w:val="Default"/>
        <w:spacing w:line="360" w:lineRule="auto"/>
        <w:ind w:left="360"/>
        <w:jc w:val="both"/>
        <w:rPr>
          <w:rFonts w:ascii="Arial" w:hAnsi="Arial" w:cs="Arial"/>
        </w:rPr>
      </w:pPr>
    </w:p>
    <w:p w14:paraId="7B4DA99F" w14:textId="6A48CC59" w:rsidR="00EE7DA7" w:rsidRPr="00216859" w:rsidRDefault="003A170E" w:rsidP="003A170E">
      <w:pPr>
        <w:spacing w:line="360" w:lineRule="auto"/>
        <w:jc w:val="both"/>
        <w:rPr>
          <w:rFonts w:eastAsia="MS Mincho" w:cs="Arial"/>
          <w:sz w:val="24"/>
          <w:szCs w:val="24"/>
          <w:lang w:val="es-ES_tradnl"/>
        </w:rPr>
      </w:pPr>
      <w:r w:rsidRPr="00216859">
        <w:rPr>
          <w:rFonts w:eastAsia="MS Mincho" w:cs="Arial"/>
          <w:sz w:val="24"/>
          <w:szCs w:val="24"/>
          <w:lang w:val="es-ES_tradnl"/>
        </w:rPr>
        <w:t>Procede el Despacho a resolver el recurso de reposición</w:t>
      </w:r>
      <w:r w:rsidR="009D41B8" w:rsidRPr="00216859">
        <w:rPr>
          <w:rFonts w:eastAsia="MS Mincho" w:cs="Arial"/>
          <w:sz w:val="24"/>
          <w:szCs w:val="24"/>
          <w:lang w:val="es-ES_tradnl"/>
        </w:rPr>
        <w:t xml:space="preserve"> y como subsidiario el de apelación</w:t>
      </w:r>
      <w:r w:rsidRPr="00216859">
        <w:rPr>
          <w:rFonts w:eastAsia="MS Mincho" w:cs="Arial"/>
          <w:sz w:val="24"/>
          <w:szCs w:val="24"/>
          <w:lang w:val="es-ES_tradnl"/>
        </w:rPr>
        <w:t xml:space="preserve"> </w:t>
      </w:r>
      <w:r w:rsidR="00C11748" w:rsidRPr="00216859">
        <w:rPr>
          <w:rFonts w:eastAsia="MS Mincho" w:cs="Arial"/>
          <w:sz w:val="24"/>
          <w:szCs w:val="24"/>
          <w:lang w:val="es-ES_tradnl"/>
        </w:rPr>
        <w:t>interpuesto</w:t>
      </w:r>
      <w:r w:rsidR="00330CC4" w:rsidRPr="00216859">
        <w:rPr>
          <w:rFonts w:eastAsia="MS Mincho" w:cs="Arial"/>
          <w:sz w:val="24"/>
          <w:szCs w:val="24"/>
          <w:lang w:val="es-ES_tradnl"/>
        </w:rPr>
        <w:t xml:space="preserve"> por </w:t>
      </w:r>
      <w:r w:rsidR="00791BF2" w:rsidRPr="00216859">
        <w:rPr>
          <w:rFonts w:eastAsia="MS Mincho" w:cs="Arial"/>
          <w:sz w:val="24"/>
          <w:szCs w:val="24"/>
          <w:lang w:val="es-ES_tradnl"/>
        </w:rPr>
        <w:t>el</w:t>
      </w:r>
      <w:r w:rsidR="00330CC4" w:rsidRPr="00216859">
        <w:rPr>
          <w:rFonts w:eastAsia="MS Mincho" w:cs="Arial"/>
          <w:sz w:val="24"/>
          <w:szCs w:val="24"/>
          <w:lang w:val="es-ES_tradnl"/>
        </w:rPr>
        <w:t xml:space="preserve"> apoderad</w:t>
      </w:r>
      <w:r w:rsidR="00045B38" w:rsidRPr="00216859">
        <w:rPr>
          <w:rFonts w:eastAsia="MS Mincho" w:cs="Arial"/>
          <w:sz w:val="24"/>
          <w:szCs w:val="24"/>
          <w:lang w:val="es-ES_tradnl"/>
        </w:rPr>
        <w:t xml:space="preserve">o </w:t>
      </w:r>
      <w:r w:rsidR="00330CC4" w:rsidRPr="00216859">
        <w:rPr>
          <w:rFonts w:eastAsia="MS Mincho" w:cs="Arial"/>
          <w:sz w:val="24"/>
          <w:szCs w:val="24"/>
          <w:lang w:val="es-ES_tradnl"/>
        </w:rPr>
        <w:t>judicial de</w:t>
      </w:r>
      <w:r w:rsidR="006F27A9" w:rsidRPr="00216859">
        <w:rPr>
          <w:rFonts w:eastAsia="MS Mincho" w:cs="Arial"/>
          <w:sz w:val="24"/>
          <w:szCs w:val="24"/>
          <w:lang w:val="es-ES_tradnl"/>
        </w:rPr>
        <w:t xml:space="preserve"> la </w:t>
      </w:r>
      <w:r w:rsidR="00284616" w:rsidRPr="00216859">
        <w:rPr>
          <w:rFonts w:eastAsia="MS Mincho" w:cs="Arial"/>
          <w:sz w:val="24"/>
          <w:szCs w:val="24"/>
          <w:lang w:val="es-ES_tradnl"/>
        </w:rPr>
        <w:t>parte</w:t>
      </w:r>
      <w:r w:rsidR="006F27A9" w:rsidRPr="00216859">
        <w:rPr>
          <w:rFonts w:eastAsia="MS Mincho" w:cs="Arial"/>
          <w:sz w:val="24"/>
          <w:szCs w:val="24"/>
          <w:lang w:val="es-ES_tradnl"/>
        </w:rPr>
        <w:t xml:space="preserve"> </w:t>
      </w:r>
      <w:r w:rsidR="00945EBA" w:rsidRPr="00216859">
        <w:rPr>
          <w:rFonts w:eastAsia="MS Mincho" w:cs="Arial"/>
          <w:sz w:val="24"/>
          <w:szCs w:val="24"/>
          <w:lang w:val="es-ES_tradnl"/>
        </w:rPr>
        <w:t>demandante,</w:t>
      </w:r>
      <w:r w:rsidR="00330CC4" w:rsidRPr="00216859">
        <w:rPr>
          <w:rFonts w:eastAsia="MS Mincho" w:cs="Arial"/>
          <w:sz w:val="24"/>
          <w:szCs w:val="24"/>
          <w:lang w:val="es-ES_tradnl"/>
        </w:rPr>
        <w:t xml:space="preserve"> </w:t>
      </w:r>
      <w:r w:rsidRPr="00216859">
        <w:rPr>
          <w:rFonts w:eastAsia="MS Mincho" w:cs="Arial"/>
          <w:sz w:val="24"/>
          <w:szCs w:val="24"/>
          <w:lang w:val="es-ES_tradnl"/>
        </w:rPr>
        <w:t xml:space="preserve">contra </w:t>
      </w:r>
      <w:r w:rsidR="009D41B8" w:rsidRPr="00216859">
        <w:rPr>
          <w:rFonts w:eastAsia="MS Mincho" w:cs="Arial"/>
          <w:sz w:val="24"/>
          <w:szCs w:val="24"/>
          <w:lang w:val="es-ES_tradnl"/>
        </w:rPr>
        <w:t>el auto</w:t>
      </w:r>
      <w:r w:rsidRPr="00216859">
        <w:rPr>
          <w:rFonts w:eastAsia="MS Mincho" w:cs="Arial"/>
          <w:sz w:val="24"/>
          <w:szCs w:val="24"/>
          <w:lang w:val="es-ES_tradnl"/>
        </w:rPr>
        <w:t xml:space="preserve"> proferid</w:t>
      </w:r>
      <w:r w:rsidR="009D41B8" w:rsidRPr="00216859">
        <w:rPr>
          <w:rFonts w:eastAsia="MS Mincho" w:cs="Arial"/>
          <w:sz w:val="24"/>
          <w:szCs w:val="24"/>
          <w:lang w:val="es-ES_tradnl"/>
        </w:rPr>
        <w:t>o</w:t>
      </w:r>
      <w:r w:rsidRPr="00216859">
        <w:rPr>
          <w:rFonts w:eastAsia="MS Mincho" w:cs="Arial"/>
          <w:sz w:val="24"/>
          <w:szCs w:val="24"/>
          <w:lang w:val="es-ES_tradnl"/>
        </w:rPr>
        <w:t xml:space="preserve"> </w:t>
      </w:r>
      <w:r w:rsidR="00284616" w:rsidRPr="00216859">
        <w:rPr>
          <w:rFonts w:eastAsia="MS Mincho" w:cs="Arial"/>
          <w:sz w:val="24"/>
          <w:szCs w:val="24"/>
          <w:lang w:val="es-ES_tradnl"/>
        </w:rPr>
        <w:t xml:space="preserve">por este Despacho </w:t>
      </w:r>
      <w:r w:rsidRPr="00216859">
        <w:rPr>
          <w:rFonts w:eastAsia="MS Mincho" w:cs="Arial"/>
          <w:sz w:val="24"/>
          <w:szCs w:val="24"/>
          <w:lang w:val="es-ES_tradnl"/>
        </w:rPr>
        <w:t xml:space="preserve">el </w:t>
      </w:r>
      <w:r w:rsidR="00D53B86" w:rsidRPr="00216859">
        <w:rPr>
          <w:rFonts w:eastAsia="MS Mincho" w:cs="Arial"/>
          <w:sz w:val="24"/>
          <w:szCs w:val="24"/>
          <w:lang w:val="es-ES_tradnl"/>
        </w:rPr>
        <w:t xml:space="preserve">día </w:t>
      </w:r>
      <w:r w:rsidR="00257C49" w:rsidRPr="00216859">
        <w:rPr>
          <w:rFonts w:eastAsia="MS Mincho" w:cs="Arial"/>
          <w:sz w:val="24"/>
          <w:szCs w:val="24"/>
          <w:lang w:val="es-ES_tradnl"/>
        </w:rPr>
        <w:t>1</w:t>
      </w:r>
      <w:r w:rsidR="00F04244" w:rsidRPr="00216859">
        <w:rPr>
          <w:rFonts w:eastAsia="MS Mincho" w:cs="Arial"/>
          <w:sz w:val="24"/>
          <w:szCs w:val="24"/>
          <w:lang w:val="es-ES_tradnl"/>
        </w:rPr>
        <w:t>6</w:t>
      </w:r>
      <w:r w:rsidR="00D53B86" w:rsidRPr="00216859">
        <w:rPr>
          <w:rFonts w:eastAsia="MS Mincho" w:cs="Arial"/>
          <w:sz w:val="24"/>
          <w:szCs w:val="24"/>
          <w:lang w:val="es-ES_tradnl"/>
        </w:rPr>
        <w:t xml:space="preserve"> de </w:t>
      </w:r>
      <w:r w:rsidR="00257C49" w:rsidRPr="00216859">
        <w:rPr>
          <w:rFonts w:eastAsia="MS Mincho" w:cs="Arial"/>
          <w:sz w:val="24"/>
          <w:szCs w:val="24"/>
          <w:lang w:val="es-ES_tradnl"/>
        </w:rPr>
        <w:t>may</w:t>
      </w:r>
      <w:r w:rsidR="006F27A9" w:rsidRPr="00216859">
        <w:rPr>
          <w:rFonts w:eastAsia="MS Mincho" w:cs="Arial"/>
          <w:sz w:val="24"/>
          <w:szCs w:val="24"/>
          <w:lang w:val="es-ES_tradnl"/>
        </w:rPr>
        <w:t>o</w:t>
      </w:r>
      <w:r w:rsidR="00945EBA" w:rsidRPr="00216859">
        <w:rPr>
          <w:rFonts w:eastAsia="MS Mincho" w:cs="Arial"/>
          <w:sz w:val="24"/>
          <w:szCs w:val="24"/>
          <w:lang w:val="es-ES_tradnl"/>
        </w:rPr>
        <w:t xml:space="preserve"> de 20</w:t>
      </w:r>
      <w:r w:rsidR="006F27A9" w:rsidRPr="00216859">
        <w:rPr>
          <w:rFonts w:eastAsia="MS Mincho" w:cs="Arial"/>
          <w:sz w:val="24"/>
          <w:szCs w:val="24"/>
          <w:lang w:val="es-ES_tradnl"/>
        </w:rPr>
        <w:t>2</w:t>
      </w:r>
      <w:r w:rsidR="00257C49" w:rsidRPr="00216859">
        <w:rPr>
          <w:rFonts w:eastAsia="MS Mincho" w:cs="Arial"/>
          <w:sz w:val="24"/>
          <w:szCs w:val="24"/>
          <w:lang w:val="es-ES_tradnl"/>
        </w:rPr>
        <w:t>3</w:t>
      </w:r>
      <w:r w:rsidR="009D41B8" w:rsidRPr="00216859">
        <w:rPr>
          <w:rFonts w:eastAsia="MS Mincho" w:cs="Arial"/>
          <w:sz w:val="24"/>
          <w:szCs w:val="24"/>
          <w:lang w:val="es-ES_tradnl"/>
        </w:rPr>
        <w:t>,</w:t>
      </w:r>
      <w:r w:rsidRPr="00216859">
        <w:rPr>
          <w:rFonts w:eastAsia="MS Mincho" w:cs="Arial"/>
          <w:sz w:val="24"/>
          <w:szCs w:val="24"/>
          <w:lang w:val="es-ES_tradnl"/>
        </w:rPr>
        <w:t xml:space="preserve"> mediante </w:t>
      </w:r>
      <w:r w:rsidR="009D41B8" w:rsidRPr="00216859">
        <w:rPr>
          <w:rFonts w:eastAsia="MS Mincho" w:cs="Arial"/>
          <w:sz w:val="24"/>
          <w:szCs w:val="24"/>
          <w:lang w:val="es-ES_tradnl"/>
        </w:rPr>
        <w:t>el</w:t>
      </w:r>
      <w:r w:rsidRPr="00216859">
        <w:rPr>
          <w:rFonts w:eastAsia="MS Mincho" w:cs="Arial"/>
          <w:sz w:val="24"/>
          <w:szCs w:val="24"/>
          <w:lang w:val="es-ES_tradnl"/>
        </w:rPr>
        <w:t xml:space="preserve"> cual </w:t>
      </w:r>
      <w:r w:rsidR="00D53B86" w:rsidRPr="00216859">
        <w:rPr>
          <w:rFonts w:cs="Arial"/>
          <w:sz w:val="24"/>
          <w:szCs w:val="24"/>
        </w:rPr>
        <w:t xml:space="preserve">se dispuso </w:t>
      </w:r>
      <w:r w:rsidR="00945EBA" w:rsidRPr="00216859">
        <w:rPr>
          <w:rFonts w:cs="Arial"/>
          <w:sz w:val="24"/>
          <w:szCs w:val="24"/>
        </w:rPr>
        <w:t>negar el decreto de la</w:t>
      </w:r>
      <w:r w:rsidR="009D41B8" w:rsidRPr="00216859">
        <w:rPr>
          <w:rFonts w:cs="Arial"/>
          <w:sz w:val="24"/>
          <w:szCs w:val="24"/>
        </w:rPr>
        <w:t xml:space="preserve"> </w:t>
      </w:r>
      <w:r w:rsidR="00945EBA" w:rsidRPr="00216859">
        <w:rPr>
          <w:rFonts w:cs="Arial"/>
          <w:sz w:val="24"/>
          <w:szCs w:val="24"/>
        </w:rPr>
        <w:t xml:space="preserve">medida cautelar </w:t>
      </w:r>
      <w:r w:rsidR="00583B1C" w:rsidRPr="00216859">
        <w:rPr>
          <w:rFonts w:cs="Arial"/>
          <w:sz w:val="24"/>
          <w:szCs w:val="24"/>
        </w:rPr>
        <w:t>de suspensión provisional</w:t>
      </w:r>
      <w:r w:rsidR="00B70710" w:rsidRPr="00216859">
        <w:rPr>
          <w:rFonts w:cs="Arial"/>
          <w:sz w:val="24"/>
          <w:szCs w:val="24"/>
        </w:rPr>
        <w:t>.</w:t>
      </w:r>
    </w:p>
    <w:p w14:paraId="6D7126AE" w14:textId="77777777" w:rsidR="003A170E" w:rsidRPr="00216859" w:rsidRDefault="00B70710" w:rsidP="003A170E">
      <w:pPr>
        <w:spacing w:line="360" w:lineRule="auto"/>
        <w:jc w:val="both"/>
        <w:rPr>
          <w:rFonts w:eastAsia="MS Mincho" w:cs="Arial"/>
          <w:sz w:val="24"/>
          <w:szCs w:val="24"/>
          <w:lang w:val="es-ES_tradnl"/>
        </w:rPr>
      </w:pPr>
      <w:r w:rsidRPr="00216859">
        <w:rPr>
          <w:rFonts w:cs="Arial"/>
          <w:sz w:val="24"/>
          <w:szCs w:val="24"/>
        </w:rPr>
        <w:lastRenderedPageBreak/>
        <w:t xml:space="preserve"> </w:t>
      </w:r>
    </w:p>
    <w:p w14:paraId="28E5CD09" w14:textId="77777777" w:rsidR="003A170E" w:rsidRPr="00216859" w:rsidRDefault="003A170E" w:rsidP="003A170E">
      <w:pPr>
        <w:pStyle w:val="Prrafodelista"/>
        <w:numPr>
          <w:ilvl w:val="0"/>
          <w:numId w:val="1"/>
        </w:numPr>
        <w:spacing w:after="0" w:line="360" w:lineRule="auto"/>
        <w:jc w:val="center"/>
        <w:rPr>
          <w:rFonts w:ascii="Arial" w:eastAsia="MS Mincho" w:hAnsi="Arial" w:cs="Arial"/>
          <w:b/>
          <w:sz w:val="24"/>
          <w:szCs w:val="24"/>
          <w:lang w:val="es-ES_tradnl" w:eastAsia="es-ES"/>
        </w:rPr>
      </w:pPr>
      <w:r w:rsidRPr="00216859">
        <w:rPr>
          <w:rFonts w:ascii="Arial" w:eastAsia="MS Mincho" w:hAnsi="Arial" w:cs="Arial"/>
          <w:b/>
          <w:sz w:val="24"/>
          <w:szCs w:val="24"/>
          <w:lang w:val="es-ES_tradnl" w:eastAsia="es-ES"/>
        </w:rPr>
        <w:t>ANTECEDENTES</w:t>
      </w:r>
    </w:p>
    <w:p w14:paraId="12F7946F" w14:textId="77777777" w:rsidR="003A170E" w:rsidRPr="00216859" w:rsidRDefault="003A170E" w:rsidP="003A170E">
      <w:pPr>
        <w:spacing w:line="360" w:lineRule="auto"/>
        <w:jc w:val="both"/>
        <w:rPr>
          <w:rFonts w:eastAsia="MS Mincho" w:cs="Arial"/>
          <w:b/>
          <w:sz w:val="24"/>
          <w:szCs w:val="24"/>
          <w:lang w:val="es-ES_tradnl"/>
        </w:rPr>
      </w:pPr>
    </w:p>
    <w:p w14:paraId="3F0628B6" w14:textId="24FECA77" w:rsidR="003A170E" w:rsidRPr="00216859" w:rsidRDefault="003A170E" w:rsidP="003A170E">
      <w:pPr>
        <w:spacing w:line="360" w:lineRule="auto"/>
        <w:jc w:val="both"/>
        <w:rPr>
          <w:rFonts w:eastAsia="MS Mincho" w:cs="Arial"/>
          <w:b/>
          <w:sz w:val="24"/>
          <w:szCs w:val="24"/>
          <w:lang w:val="es-ES_tradnl"/>
        </w:rPr>
      </w:pPr>
      <w:r w:rsidRPr="00216859">
        <w:rPr>
          <w:rFonts w:eastAsia="MS Mincho" w:cs="Arial"/>
          <w:b/>
          <w:sz w:val="24"/>
          <w:szCs w:val="24"/>
          <w:lang w:val="es-ES_tradnl"/>
        </w:rPr>
        <w:t xml:space="preserve">2.1.- </w:t>
      </w:r>
      <w:r w:rsidR="00510075" w:rsidRPr="00216859">
        <w:rPr>
          <w:rFonts w:eastAsia="MS Mincho" w:cs="Arial"/>
          <w:b/>
          <w:sz w:val="24"/>
          <w:szCs w:val="24"/>
          <w:lang w:val="es-ES_tradnl"/>
        </w:rPr>
        <w:t>La Providencia Recurrida</w:t>
      </w:r>
    </w:p>
    <w:p w14:paraId="6A54A568" w14:textId="77777777" w:rsidR="00C11748" w:rsidRPr="00216859" w:rsidRDefault="00C11748" w:rsidP="003A170E">
      <w:pPr>
        <w:spacing w:line="360" w:lineRule="auto"/>
        <w:jc w:val="both"/>
        <w:rPr>
          <w:rFonts w:eastAsia="MS Mincho" w:cs="Arial"/>
          <w:sz w:val="24"/>
          <w:szCs w:val="24"/>
          <w:lang w:val="es-ES_tradnl"/>
        </w:rPr>
      </w:pPr>
    </w:p>
    <w:p w14:paraId="39047C01" w14:textId="15242CA6" w:rsidR="00945EBA" w:rsidRPr="00216859" w:rsidRDefault="00B70710" w:rsidP="003A170E">
      <w:pPr>
        <w:spacing w:line="360" w:lineRule="auto"/>
        <w:jc w:val="both"/>
        <w:rPr>
          <w:rFonts w:eastAsia="MS Mincho" w:cs="Arial"/>
          <w:sz w:val="24"/>
          <w:szCs w:val="24"/>
          <w:lang w:val="es-ES_tradnl"/>
        </w:rPr>
      </w:pPr>
      <w:r w:rsidRPr="00216859">
        <w:rPr>
          <w:rFonts w:eastAsia="MS Mincho" w:cs="Arial"/>
          <w:sz w:val="24"/>
          <w:szCs w:val="24"/>
          <w:lang w:val="es-ES_tradnl"/>
        </w:rPr>
        <w:t>Se</w:t>
      </w:r>
      <w:r w:rsidR="00DF26CE" w:rsidRPr="00216859">
        <w:rPr>
          <w:rFonts w:eastAsia="MS Mincho" w:cs="Arial"/>
          <w:sz w:val="24"/>
          <w:szCs w:val="24"/>
          <w:lang w:val="es-ES_tradnl"/>
        </w:rPr>
        <w:t xml:space="preserve"> trata de</w:t>
      </w:r>
      <w:r w:rsidR="00C11748" w:rsidRPr="00216859">
        <w:rPr>
          <w:rFonts w:eastAsia="MS Mincho" w:cs="Arial"/>
          <w:sz w:val="24"/>
          <w:szCs w:val="24"/>
          <w:lang w:val="es-ES_tradnl"/>
        </w:rPr>
        <w:t>l</w:t>
      </w:r>
      <w:r w:rsidR="00DF26CE" w:rsidRPr="00216859">
        <w:rPr>
          <w:rFonts w:eastAsia="MS Mincho" w:cs="Arial"/>
          <w:sz w:val="24"/>
          <w:szCs w:val="24"/>
          <w:lang w:val="es-ES_tradnl"/>
        </w:rPr>
        <w:t xml:space="preserve"> au</w:t>
      </w:r>
      <w:r w:rsidR="008D4265" w:rsidRPr="00216859">
        <w:rPr>
          <w:rFonts w:eastAsia="MS Mincho" w:cs="Arial"/>
          <w:sz w:val="24"/>
          <w:szCs w:val="24"/>
          <w:lang w:val="es-ES_tradnl"/>
        </w:rPr>
        <w:t xml:space="preserve">to proferido por este despacho </w:t>
      </w:r>
      <w:r w:rsidR="00DF26CE" w:rsidRPr="00216859">
        <w:rPr>
          <w:rFonts w:eastAsia="MS Mincho" w:cs="Arial"/>
          <w:sz w:val="24"/>
          <w:szCs w:val="24"/>
          <w:lang w:val="es-ES_tradnl"/>
        </w:rPr>
        <w:t xml:space="preserve">el </w:t>
      </w:r>
      <w:r w:rsidR="00721391" w:rsidRPr="00216859">
        <w:rPr>
          <w:rFonts w:eastAsia="MS Mincho" w:cs="Arial"/>
          <w:sz w:val="24"/>
          <w:szCs w:val="24"/>
          <w:lang w:val="es-ES_tradnl"/>
        </w:rPr>
        <w:t>1</w:t>
      </w:r>
      <w:r w:rsidR="00F04244" w:rsidRPr="00216859">
        <w:rPr>
          <w:rFonts w:eastAsia="MS Mincho" w:cs="Arial"/>
          <w:sz w:val="24"/>
          <w:szCs w:val="24"/>
          <w:lang w:val="es-ES_tradnl"/>
        </w:rPr>
        <w:t>6</w:t>
      </w:r>
      <w:r w:rsidR="00721391" w:rsidRPr="00216859">
        <w:rPr>
          <w:rFonts w:eastAsia="MS Mincho" w:cs="Arial"/>
          <w:sz w:val="24"/>
          <w:szCs w:val="24"/>
          <w:lang w:val="es-ES_tradnl"/>
        </w:rPr>
        <w:t xml:space="preserve"> de mayo de 2023</w:t>
      </w:r>
      <w:r w:rsidR="00C11748" w:rsidRPr="00216859">
        <w:rPr>
          <w:rFonts w:eastAsia="MS Mincho" w:cs="Arial"/>
          <w:sz w:val="24"/>
          <w:szCs w:val="24"/>
          <w:lang w:val="es-ES_tradnl"/>
        </w:rPr>
        <w:t>, por medio del</w:t>
      </w:r>
      <w:r w:rsidR="00DF26CE" w:rsidRPr="00216859">
        <w:rPr>
          <w:rFonts w:eastAsia="MS Mincho" w:cs="Arial"/>
          <w:sz w:val="24"/>
          <w:szCs w:val="24"/>
          <w:lang w:val="es-ES_tradnl"/>
        </w:rPr>
        <w:t xml:space="preserve"> cual</w:t>
      </w:r>
      <w:r w:rsidR="00945EBA" w:rsidRPr="00216859">
        <w:rPr>
          <w:rFonts w:eastAsia="MS Mincho" w:cs="Arial"/>
          <w:sz w:val="24"/>
          <w:szCs w:val="24"/>
          <w:lang w:val="es-ES_tradnl"/>
        </w:rPr>
        <w:t xml:space="preserve"> se negó el decreto de la medida cautelar solicitada por </w:t>
      </w:r>
      <w:r w:rsidR="00F74348" w:rsidRPr="00216859">
        <w:rPr>
          <w:rFonts w:eastAsia="MS Mincho" w:cs="Arial"/>
          <w:sz w:val="24"/>
          <w:szCs w:val="24"/>
          <w:lang w:val="es-ES_tradnl"/>
        </w:rPr>
        <w:t>la</w:t>
      </w:r>
      <w:r w:rsidR="00945EBA" w:rsidRPr="00216859">
        <w:rPr>
          <w:rFonts w:eastAsia="MS Mincho" w:cs="Arial"/>
          <w:sz w:val="24"/>
          <w:szCs w:val="24"/>
          <w:lang w:val="es-ES_tradnl"/>
        </w:rPr>
        <w:t xml:space="preserve"> apoderad</w:t>
      </w:r>
      <w:r w:rsidR="00F74348" w:rsidRPr="00216859">
        <w:rPr>
          <w:rFonts w:eastAsia="MS Mincho" w:cs="Arial"/>
          <w:sz w:val="24"/>
          <w:szCs w:val="24"/>
          <w:lang w:val="es-ES_tradnl"/>
        </w:rPr>
        <w:t>a</w:t>
      </w:r>
      <w:r w:rsidR="00945EBA" w:rsidRPr="00216859">
        <w:rPr>
          <w:rFonts w:eastAsia="MS Mincho" w:cs="Arial"/>
          <w:sz w:val="24"/>
          <w:szCs w:val="24"/>
          <w:lang w:val="es-ES_tradnl"/>
        </w:rPr>
        <w:t xml:space="preserve"> judicial del de</w:t>
      </w:r>
      <w:r w:rsidR="004B46AF" w:rsidRPr="00216859">
        <w:rPr>
          <w:rFonts w:eastAsia="MS Mincho" w:cs="Arial"/>
          <w:sz w:val="24"/>
          <w:szCs w:val="24"/>
          <w:lang w:val="es-ES_tradnl"/>
        </w:rPr>
        <w:t xml:space="preserve">mandante, consistente en la </w:t>
      </w:r>
      <w:r w:rsidR="00721391" w:rsidRPr="00216859">
        <w:rPr>
          <w:rFonts w:eastAsia="MS Mincho" w:cs="Arial"/>
          <w:sz w:val="24"/>
          <w:szCs w:val="24"/>
          <w:lang w:val="es-ES_tradnl"/>
        </w:rPr>
        <w:t>suspensión provisional de las Resoluciones No. 17317-00012 del 09 de septiembre de 2021 y No. 008 del 10 de diciembre de 2021, proferidas por la AGENCIA DEL INSPECTOR GENERAL DE TRIBUTOS, RENTAS Y CONTRIBUCIONES PARAFISCALES – ITRC</w:t>
      </w:r>
      <w:r w:rsidR="00642619" w:rsidRPr="00216859">
        <w:rPr>
          <w:rFonts w:eastAsia="MS Mincho" w:cs="Arial"/>
          <w:sz w:val="24"/>
          <w:szCs w:val="24"/>
          <w:lang w:val="es-ES_tradnl"/>
        </w:rPr>
        <w:t xml:space="preserve">, </w:t>
      </w:r>
      <w:r w:rsidR="009D41B8" w:rsidRPr="00216859">
        <w:rPr>
          <w:rFonts w:eastAsia="MS Mincho" w:cs="Arial"/>
          <w:sz w:val="24"/>
          <w:szCs w:val="24"/>
          <w:lang w:val="es-ES_tradnl"/>
        </w:rPr>
        <w:t>por medio de la</w:t>
      </w:r>
      <w:r w:rsidR="00642619" w:rsidRPr="00216859">
        <w:rPr>
          <w:rFonts w:eastAsia="MS Mincho" w:cs="Arial"/>
          <w:sz w:val="24"/>
          <w:szCs w:val="24"/>
          <w:lang w:val="es-ES_tradnl"/>
        </w:rPr>
        <w:t>s</w:t>
      </w:r>
      <w:r w:rsidR="009D41B8" w:rsidRPr="00216859">
        <w:rPr>
          <w:rFonts w:eastAsia="MS Mincho" w:cs="Arial"/>
          <w:sz w:val="24"/>
          <w:szCs w:val="24"/>
          <w:lang w:val="es-ES_tradnl"/>
        </w:rPr>
        <w:t xml:space="preserve"> cual</w:t>
      </w:r>
      <w:r w:rsidR="00642619" w:rsidRPr="00216859">
        <w:rPr>
          <w:rFonts w:eastAsia="MS Mincho" w:cs="Arial"/>
          <w:sz w:val="24"/>
          <w:szCs w:val="24"/>
          <w:lang w:val="es-ES_tradnl"/>
        </w:rPr>
        <w:t>es</w:t>
      </w:r>
      <w:r w:rsidR="00A86839" w:rsidRPr="00216859">
        <w:rPr>
          <w:rFonts w:eastAsia="MS Mincho" w:cs="Arial"/>
          <w:sz w:val="24"/>
          <w:szCs w:val="24"/>
          <w:lang w:val="es-ES_tradnl"/>
        </w:rPr>
        <w:t xml:space="preserve"> se dictaron</w:t>
      </w:r>
      <w:r w:rsidR="00642619" w:rsidRPr="00216859">
        <w:rPr>
          <w:rFonts w:eastAsia="MS Mincho" w:cs="Arial"/>
          <w:sz w:val="24"/>
          <w:szCs w:val="24"/>
          <w:lang w:val="es-ES_tradnl"/>
        </w:rPr>
        <w:t xml:space="preserve"> fallo</w:t>
      </w:r>
      <w:r w:rsidR="00A86839" w:rsidRPr="00216859">
        <w:rPr>
          <w:rFonts w:eastAsia="MS Mincho" w:cs="Arial"/>
          <w:sz w:val="24"/>
          <w:szCs w:val="24"/>
          <w:lang w:val="es-ES_tradnl"/>
        </w:rPr>
        <w:t>s</w:t>
      </w:r>
      <w:r w:rsidR="00642619" w:rsidRPr="00216859">
        <w:rPr>
          <w:rFonts w:eastAsia="MS Mincho" w:cs="Arial"/>
          <w:sz w:val="24"/>
          <w:szCs w:val="24"/>
          <w:lang w:val="es-ES_tradnl"/>
        </w:rPr>
        <w:t xml:space="preserve"> de</w:t>
      </w:r>
      <w:r w:rsidR="00A86839" w:rsidRPr="00216859">
        <w:rPr>
          <w:rFonts w:eastAsia="MS Mincho" w:cs="Arial"/>
          <w:sz w:val="24"/>
          <w:szCs w:val="24"/>
          <w:lang w:val="es-ES_tradnl"/>
        </w:rPr>
        <w:t xml:space="preserve"> primera y</w:t>
      </w:r>
      <w:r w:rsidR="00642619" w:rsidRPr="00216859">
        <w:rPr>
          <w:rFonts w:eastAsia="MS Mincho" w:cs="Arial"/>
          <w:sz w:val="24"/>
          <w:szCs w:val="24"/>
          <w:lang w:val="es-ES_tradnl"/>
        </w:rPr>
        <w:t xml:space="preserve"> segunda instancia, </w:t>
      </w:r>
      <w:r w:rsidR="00A86839" w:rsidRPr="00216859">
        <w:rPr>
          <w:rFonts w:eastAsia="MS Mincho" w:cs="Arial"/>
          <w:sz w:val="24"/>
          <w:szCs w:val="24"/>
          <w:lang w:val="es-ES_tradnl"/>
        </w:rPr>
        <w:t xml:space="preserve">respectivamente, </w:t>
      </w:r>
      <w:r w:rsidR="00642619" w:rsidRPr="00216859">
        <w:rPr>
          <w:rFonts w:eastAsia="MS Mincho" w:cs="Arial"/>
          <w:sz w:val="24"/>
          <w:szCs w:val="24"/>
          <w:lang w:val="es-ES_tradnl"/>
        </w:rPr>
        <w:t xml:space="preserve">dentro del Proceso Administrativo Disciplinario No. 1704-00-2018-199, </w:t>
      </w:r>
      <w:r w:rsidR="005A3A02" w:rsidRPr="00216859">
        <w:rPr>
          <w:rFonts w:eastAsia="MS Mincho" w:cs="Arial"/>
          <w:sz w:val="24"/>
          <w:szCs w:val="24"/>
          <w:lang w:val="es-ES_tradnl"/>
        </w:rPr>
        <w:t xml:space="preserve">en los </w:t>
      </w:r>
      <w:r w:rsidR="00642619" w:rsidRPr="00216859">
        <w:rPr>
          <w:rFonts w:eastAsia="MS Mincho" w:cs="Arial"/>
          <w:sz w:val="24"/>
          <w:szCs w:val="24"/>
          <w:lang w:val="es-ES_tradnl"/>
        </w:rPr>
        <w:t xml:space="preserve">cuales se sancionó con destitución e inhabilidad general por el término de </w:t>
      </w:r>
      <w:r w:rsidR="005A3A02" w:rsidRPr="00216859">
        <w:rPr>
          <w:rFonts w:eastAsia="MS Mincho" w:cs="Arial"/>
          <w:sz w:val="24"/>
          <w:szCs w:val="24"/>
          <w:lang w:val="es-ES_tradnl"/>
        </w:rPr>
        <w:t>diez (</w:t>
      </w:r>
      <w:r w:rsidR="00642619" w:rsidRPr="00216859">
        <w:rPr>
          <w:rFonts w:eastAsia="MS Mincho" w:cs="Arial"/>
          <w:sz w:val="24"/>
          <w:szCs w:val="24"/>
          <w:lang w:val="es-ES_tradnl"/>
        </w:rPr>
        <w:t>10</w:t>
      </w:r>
      <w:r w:rsidR="005A3A02" w:rsidRPr="00216859">
        <w:rPr>
          <w:rFonts w:eastAsia="MS Mincho" w:cs="Arial"/>
          <w:sz w:val="24"/>
          <w:szCs w:val="24"/>
          <w:lang w:val="es-ES_tradnl"/>
        </w:rPr>
        <w:t>)</w:t>
      </w:r>
      <w:r w:rsidR="00642619" w:rsidRPr="00216859">
        <w:rPr>
          <w:rFonts w:eastAsia="MS Mincho" w:cs="Arial"/>
          <w:sz w:val="24"/>
          <w:szCs w:val="24"/>
          <w:lang w:val="es-ES_tradnl"/>
        </w:rPr>
        <w:t xml:space="preserve"> años a la demandante</w:t>
      </w:r>
      <w:r w:rsidR="005A3A02" w:rsidRPr="00216859">
        <w:rPr>
          <w:rFonts w:eastAsia="MS Mincho" w:cs="Arial"/>
          <w:sz w:val="24"/>
          <w:szCs w:val="24"/>
          <w:lang w:val="es-ES_tradnl"/>
        </w:rPr>
        <w:t xml:space="preserve"> </w:t>
      </w:r>
      <w:r w:rsidR="00CC3EF4" w:rsidRPr="00216859">
        <w:rPr>
          <w:rFonts w:eastAsia="MS Mincho" w:cs="Arial"/>
          <w:sz w:val="24"/>
          <w:szCs w:val="24"/>
          <w:lang w:val="es-ES_tradnl"/>
        </w:rPr>
        <w:t>(</w:t>
      </w:r>
      <w:r w:rsidR="005A3A02" w:rsidRPr="00216859">
        <w:rPr>
          <w:rFonts w:eastAsia="MS Mincho" w:cs="Arial"/>
          <w:sz w:val="24"/>
          <w:szCs w:val="24"/>
          <w:lang w:val="es-ES_tradnl"/>
        </w:rPr>
        <w:t xml:space="preserve">índice </w:t>
      </w:r>
      <w:r w:rsidR="00A0466A" w:rsidRPr="00216859">
        <w:rPr>
          <w:rFonts w:eastAsia="MS Mincho" w:cs="Arial"/>
          <w:sz w:val="24"/>
          <w:szCs w:val="24"/>
          <w:lang w:val="es-ES_tradnl"/>
        </w:rPr>
        <w:t>30</w:t>
      </w:r>
      <w:r w:rsidR="00CC3EF4" w:rsidRPr="00216859">
        <w:rPr>
          <w:rFonts w:eastAsia="MS Mincho" w:cs="Arial"/>
          <w:sz w:val="24"/>
          <w:szCs w:val="24"/>
          <w:lang w:val="es-ES_tradnl"/>
        </w:rPr>
        <w:t>)</w:t>
      </w:r>
      <w:r w:rsidR="001C189A" w:rsidRPr="00216859">
        <w:rPr>
          <w:rFonts w:eastAsia="MS Mincho" w:cs="Arial"/>
          <w:sz w:val="24"/>
          <w:szCs w:val="24"/>
          <w:lang w:val="es-ES_tradnl"/>
        </w:rPr>
        <w:t xml:space="preserve">.  </w:t>
      </w:r>
      <w:r w:rsidR="00BF7C65" w:rsidRPr="00216859">
        <w:rPr>
          <w:rFonts w:eastAsia="MS Mincho" w:cs="Arial"/>
          <w:sz w:val="24"/>
          <w:szCs w:val="24"/>
          <w:lang w:val="es-ES_tradnl"/>
        </w:rPr>
        <w:t xml:space="preserve"> </w:t>
      </w:r>
      <w:r w:rsidR="00945EBA" w:rsidRPr="00216859">
        <w:rPr>
          <w:rFonts w:eastAsia="MS Mincho" w:cs="Arial"/>
          <w:sz w:val="24"/>
          <w:szCs w:val="24"/>
          <w:lang w:val="es-ES_tradnl"/>
        </w:rPr>
        <w:t xml:space="preserve">  </w:t>
      </w:r>
      <w:r w:rsidR="00C11748" w:rsidRPr="00216859">
        <w:rPr>
          <w:rFonts w:eastAsia="MS Mincho" w:cs="Arial"/>
          <w:sz w:val="24"/>
          <w:szCs w:val="24"/>
          <w:lang w:val="es-ES_tradnl"/>
        </w:rPr>
        <w:t xml:space="preserve"> </w:t>
      </w:r>
    </w:p>
    <w:p w14:paraId="7C15F9EB" w14:textId="77777777" w:rsidR="00F250B5" w:rsidRPr="00216859" w:rsidRDefault="00F250B5" w:rsidP="003A170E">
      <w:pPr>
        <w:spacing w:line="360" w:lineRule="auto"/>
        <w:jc w:val="both"/>
        <w:rPr>
          <w:rFonts w:eastAsia="MS Mincho" w:cs="Arial"/>
          <w:sz w:val="24"/>
          <w:szCs w:val="24"/>
          <w:lang w:val="es-ES_tradnl"/>
        </w:rPr>
      </w:pPr>
    </w:p>
    <w:p w14:paraId="7221981E" w14:textId="70DAE417" w:rsidR="00DF26CE" w:rsidRPr="00216859" w:rsidRDefault="00F04244" w:rsidP="003A170E">
      <w:pPr>
        <w:spacing w:line="360" w:lineRule="auto"/>
        <w:jc w:val="both"/>
        <w:rPr>
          <w:rFonts w:eastAsia="MS Mincho" w:cs="Arial"/>
          <w:sz w:val="24"/>
          <w:szCs w:val="24"/>
          <w:lang w:val="es-ES_tradnl"/>
        </w:rPr>
      </w:pPr>
      <w:r w:rsidRPr="00216859">
        <w:rPr>
          <w:rFonts w:eastAsia="MS Mincho" w:cs="Arial"/>
          <w:b/>
          <w:sz w:val="24"/>
          <w:szCs w:val="24"/>
          <w:lang w:val="es-ES_tradnl"/>
        </w:rPr>
        <w:t>2.2.- Fundamentos del Recurso</w:t>
      </w:r>
    </w:p>
    <w:p w14:paraId="0DD59889" w14:textId="77777777" w:rsidR="004F79C8" w:rsidRPr="00216859" w:rsidRDefault="004F79C8" w:rsidP="003A170E">
      <w:pPr>
        <w:spacing w:line="360" w:lineRule="auto"/>
        <w:jc w:val="both"/>
        <w:rPr>
          <w:rFonts w:eastAsia="MS Mincho" w:cs="Arial"/>
          <w:sz w:val="24"/>
          <w:szCs w:val="24"/>
          <w:lang w:val="es-ES_tradnl"/>
        </w:rPr>
      </w:pPr>
    </w:p>
    <w:p w14:paraId="6E202C3A" w14:textId="153558B7" w:rsidR="004C16AB" w:rsidRPr="00216859" w:rsidRDefault="008362FF" w:rsidP="003A170E">
      <w:pPr>
        <w:spacing w:line="360" w:lineRule="auto"/>
        <w:jc w:val="both"/>
        <w:rPr>
          <w:rFonts w:eastAsia="MS Mincho" w:cs="Arial"/>
          <w:sz w:val="24"/>
          <w:szCs w:val="24"/>
          <w:lang w:val="es-ES_tradnl"/>
        </w:rPr>
      </w:pPr>
      <w:r w:rsidRPr="00216859">
        <w:rPr>
          <w:rFonts w:eastAsia="MS Mincho" w:cs="Arial"/>
          <w:sz w:val="24"/>
          <w:szCs w:val="24"/>
          <w:lang w:val="es-ES_tradnl"/>
        </w:rPr>
        <w:t>Inconforme con</w:t>
      </w:r>
      <w:r w:rsidR="005674FE" w:rsidRPr="00216859">
        <w:rPr>
          <w:rFonts w:eastAsia="MS Mincho" w:cs="Arial"/>
          <w:sz w:val="24"/>
          <w:szCs w:val="24"/>
          <w:lang w:val="es-ES_tradnl"/>
        </w:rPr>
        <w:t xml:space="preserve"> l</w:t>
      </w:r>
      <w:r w:rsidR="003B137E" w:rsidRPr="00216859">
        <w:rPr>
          <w:rFonts w:eastAsia="MS Mincho" w:cs="Arial"/>
          <w:sz w:val="24"/>
          <w:szCs w:val="24"/>
          <w:lang w:val="es-ES_tradnl"/>
        </w:rPr>
        <w:t>a</w:t>
      </w:r>
      <w:r w:rsidR="007B1146" w:rsidRPr="00216859">
        <w:rPr>
          <w:rFonts w:eastAsia="MS Mincho" w:cs="Arial"/>
          <w:sz w:val="24"/>
          <w:szCs w:val="24"/>
          <w:lang w:val="es-ES_tradnl"/>
        </w:rPr>
        <w:t xml:space="preserve"> decisión adoptada por el D</w:t>
      </w:r>
      <w:r w:rsidR="005674FE" w:rsidRPr="00216859">
        <w:rPr>
          <w:rFonts w:eastAsia="MS Mincho" w:cs="Arial"/>
          <w:sz w:val="24"/>
          <w:szCs w:val="24"/>
          <w:lang w:val="es-ES_tradnl"/>
        </w:rPr>
        <w:t xml:space="preserve">espacho, </w:t>
      </w:r>
      <w:r w:rsidR="00045B38" w:rsidRPr="00216859">
        <w:rPr>
          <w:rFonts w:eastAsia="MS Mincho" w:cs="Arial"/>
          <w:sz w:val="24"/>
          <w:szCs w:val="24"/>
          <w:lang w:val="es-ES_tradnl"/>
        </w:rPr>
        <w:t>el</w:t>
      </w:r>
      <w:r w:rsidR="00656FF0" w:rsidRPr="00216859">
        <w:rPr>
          <w:rFonts w:eastAsia="MS Mincho" w:cs="Arial"/>
          <w:sz w:val="24"/>
          <w:szCs w:val="24"/>
          <w:lang w:val="es-ES_tradnl"/>
        </w:rPr>
        <w:t xml:space="preserve"> apoderad</w:t>
      </w:r>
      <w:r w:rsidR="00045B38" w:rsidRPr="00216859">
        <w:rPr>
          <w:rFonts w:eastAsia="MS Mincho" w:cs="Arial"/>
          <w:sz w:val="24"/>
          <w:szCs w:val="24"/>
          <w:lang w:val="es-ES_tradnl"/>
        </w:rPr>
        <w:t>o</w:t>
      </w:r>
      <w:r w:rsidR="00656FF0" w:rsidRPr="00216859">
        <w:rPr>
          <w:rFonts w:eastAsia="MS Mincho" w:cs="Arial"/>
          <w:sz w:val="24"/>
          <w:szCs w:val="24"/>
          <w:lang w:val="es-ES_tradnl"/>
        </w:rPr>
        <w:t xml:space="preserve"> judicial de la parte demanda</w:t>
      </w:r>
      <w:r w:rsidR="00CA39A8" w:rsidRPr="00216859">
        <w:rPr>
          <w:rFonts w:eastAsia="MS Mincho" w:cs="Arial"/>
          <w:sz w:val="24"/>
          <w:szCs w:val="24"/>
          <w:lang w:val="es-ES_tradnl"/>
        </w:rPr>
        <w:t xml:space="preserve">nte </w:t>
      </w:r>
      <w:r w:rsidR="005674FE" w:rsidRPr="00216859">
        <w:rPr>
          <w:rFonts w:eastAsia="MS Mincho" w:cs="Arial"/>
          <w:sz w:val="24"/>
          <w:szCs w:val="24"/>
          <w:lang w:val="es-ES_tradnl"/>
        </w:rPr>
        <w:t>alleg</w:t>
      </w:r>
      <w:r w:rsidR="00BA055D" w:rsidRPr="00216859">
        <w:rPr>
          <w:rFonts w:eastAsia="MS Mincho" w:cs="Arial"/>
          <w:sz w:val="24"/>
          <w:szCs w:val="24"/>
          <w:lang w:val="es-ES_tradnl"/>
        </w:rPr>
        <w:t>ó</w:t>
      </w:r>
      <w:r w:rsidR="005674FE" w:rsidRPr="00216859">
        <w:rPr>
          <w:rFonts w:eastAsia="MS Mincho" w:cs="Arial"/>
          <w:sz w:val="24"/>
          <w:szCs w:val="24"/>
          <w:lang w:val="es-ES_tradnl"/>
        </w:rPr>
        <w:t xml:space="preserve"> recurso de </w:t>
      </w:r>
      <w:r w:rsidR="00CA39A8" w:rsidRPr="00216859">
        <w:rPr>
          <w:rFonts w:eastAsia="MS Mincho" w:cs="Arial"/>
          <w:sz w:val="24"/>
          <w:szCs w:val="24"/>
          <w:lang w:val="es-ES_tradnl"/>
        </w:rPr>
        <w:t>reposición</w:t>
      </w:r>
      <w:r w:rsidR="005728C2" w:rsidRPr="00216859">
        <w:rPr>
          <w:rFonts w:eastAsia="MS Mincho" w:cs="Arial"/>
          <w:sz w:val="24"/>
          <w:szCs w:val="24"/>
          <w:lang w:val="es-ES_tradnl"/>
        </w:rPr>
        <w:t xml:space="preserve"> y en subsidio de apelación</w:t>
      </w:r>
      <w:r w:rsidR="00CA39A8" w:rsidRPr="00216859">
        <w:rPr>
          <w:rFonts w:eastAsia="MS Mincho" w:cs="Arial"/>
          <w:sz w:val="24"/>
          <w:szCs w:val="24"/>
          <w:lang w:val="es-ES_tradnl"/>
        </w:rPr>
        <w:t xml:space="preserve"> </w:t>
      </w:r>
      <w:r w:rsidR="00DB4E20" w:rsidRPr="00216859">
        <w:rPr>
          <w:rFonts w:eastAsia="MS Mincho" w:cs="Arial"/>
          <w:sz w:val="24"/>
          <w:szCs w:val="24"/>
          <w:lang w:val="es-ES_tradnl"/>
        </w:rPr>
        <w:t xml:space="preserve">contra del auto de </w:t>
      </w:r>
      <w:r w:rsidR="00E823FD" w:rsidRPr="00216859">
        <w:rPr>
          <w:rFonts w:eastAsia="MS Mincho" w:cs="Arial"/>
          <w:sz w:val="24"/>
          <w:szCs w:val="24"/>
          <w:lang w:val="es-ES_tradnl"/>
        </w:rPr>
        <w:t>16 de mayo de 2023</w:t>
      </w:r>
      <w:r w:rsidR="001F0946" w:rsidRPr="00216859">
        <w:rPr>
          <w:rFonts w:eastAsia="MS Mincho" w:cs="Arial"/>
          <w:sz w:val="24"/>
          <w:szCs w:val="24"/>
          <w:lang w:val="es-ES_tradnl"/>
        </w:rPr>
        <w:t xml:space="preserve">, </w:t>
      </w:r>
      <w:r w:rsidR="00BA055D" w:rsidRPr="00216859">
        <w:rPr>
          <w:rFonts w:eastAsia="MS Mincho" w:cs="Arial"/>
          <w:sz w:val="24"/>
          <w:szCs w:val="24"/>
          <w:lang w:val="es-ES_tradnl"/>
        </w:rPr>
        <w:t>solicitando se</w:t>
      </w:r>
      <w:r w:rsidR="002D53EB" w:rsidRPr="00216859">
        <w:rPr>
          <w:rFonts w:eastAsia="MS Mincho" w:cs="Arial"/>
          <w:sz w:val="24"/>
          <w:szCs w:val="24"/>
          <w:lang w:val="es-ES_tradnl"/>
        </w:rPr>
        <w:t xml:space="preserve"> </w:t>
      </w:r>
      <w:r w:rsidR="00046425" w:rsidRPr="00216859">
        <w:rPr>
          <w:rFonts w:eastAsia="MS Mincho" w:cs="Arial"/>
          <w:sz w:val="24"/>
          <w:szCs w:val="24"/>
          <w:lang w:val="es-ES_tradnl"/>
        </w:rPr>
        <w:t xml:space="preserve">reponga o se </w:t>
      </w:r>
      <w:r w:rsidR="002D53EB" w:rsidRPr="00216859">
        <w:rPr>
          <w:rFonts w:eastAsia="MS Mincho" w:cs="Arial"/>
          <w:sz w:val="24"/>
          <w:szCs w:val="24"/>
          <w:lang w:val="es-ES_tradnl"/>
        </w:rPr>
        <w:t>re</w:t>
      </w:r>
      <w:r w:rsidR="00D84FEB" w:rsidRPr="00216859">
        <w:rPr>
          <w:rFonts w:eastAsia="MS Mincho" w:cs="Arial"/>
          <w:sz w:val="24"/>
          <w:szCs w:val="24"/>
          <w:lang w:val="es-ES_tradnl"/>
        </w:rPr>
        <w:t>voque</w:t>
      </w:r>
      <w:r w:rsidR="002D53EB" w:rsidRPr="00216859">
        <w:rPr>
          <w:rFonts w:eastAsia="MS Mincho" w:cs="Arial"/>
          <w:sz w:val="24"/>
          <w:szCs w:val="24"/>
          <w:lang w:val="es-ES_tradnl"/>
        </w:rPr>
        <w:t xml:space="preserve"> </w:t>
      </w:r>
      <w:r w:rsidR="00BA055D" w:rsidRPr="00216859">
        <w:rPr>
          <w:rFonts w:eastAsia="MS Mincho" w:cs="Arial"/>
          <w:sz w:val="24"/>
          <w:szCs w:val="24"/>
          <w:lang w:val="es-ES_tradnl"/>
        </w:rPr>
        <w:t>y en su lugar</w:t>
      </w:r>
      <w:r w:rsidR="003337C1" w:rsidRPr="00216859">
        <w:rPr>
          <w:rFonts w:eastAsia="MS Mincho" w:cs="Arial"/>
          <w:sz w:val="24"/>
          <w:szCs w:val="24"/>
          <w:lang w:val="es-ES_tradnl"/>
        </w:rPr>
        <w:t>,</w:t>
      </w:r>
      <w:r w:rsidR="00BA055D" w:rsidRPr="00216859">
        <w:rPr>
          <w:rFonts w:eastAsia="MS Mincho" w:cs="Arial"/>
          <w:sz w:val="24"/>
          <w:szCs w:val="24"/>
          <w:lang w:val="es-ES_tradnl"/>
        </w:rPr>
        <w:t xml:space="preserve"> se decrete la medida cautelar solicitada</w:t>
      </w:r>
      <w:r w:rsidR="004C16AB" w:rsidRPr="00216859">
        <w:rPr>
          <w:rFonts w:eastAsia="MS Mincho" w:cs="Arial"/>
          <w:sz w:val="24"/>
          <w:szCs w:val="24"/>
          <w:lang w:val="es-ES_tradnl"/>
        </w:rPr>
        <w:t xml:space="preserve">. </w:t>
      </w:r>
    </w:p>
    <w:p w14:paraId="32B8251A" w14:textId="77777777" w:rsidR="00BC1EA9" w:rsidRPr="00216859" w:rsidRDefault="00BC1EA9" w:rsidP="003A170E">
      <w:pPr>
        <w:spacing w:line="360" w:lineRule="auto"/>
        <w:jc w:val="both"/>
        <w:rPr>
          <w:rFonts w:eastAsia="MS Mincho" w:cs="Arial"/>
          <w:sz w:val="24"/>
          <w:szCs w:val="24"/>
          <w:lang w:val="es-ES_tradnl"/>
        </w:rPr>
      </w:pPr>
    </w:p>
    <w:p w14:paraId="3FC3803A" w14:textId="4D708C0F" w:rsidR="00D84FEB" w:rsidRPr="00216859" w:rsidRDefault="004C16AB" w:rsidP="003A170E">
      <w:pPr>
        <w:spacing w:line="360" w:lineRule="auto"/>
        <w:jc w:val="both"/>
        <w:rPr>
          <w:rFonts w:eastAsia="MS Mincho" w:cs="Arial"/>
          <w:sz w:val="24"/>
          <w:szCs w:val="24"/>
          <w:lang w:val="es-ES_tradnl"/>
        </w:rPr>
      </w:pPr>
      <w:r w:rsidRPr="00216859">
        <w:rPr>
          <w:rFonts w:eastAsia="MS Mincho" w:cs="Arial"/>
          <w:sz w:val="24"/>
          <w:szCs w:val="24"/>
          <w:lang w:val="es-ES_tradnl"/>
        </w:rPr>
        <w:t>Argument</w:t>
      </w:r>
      <w:r w:rsidR="0016538C" w:rsidRPr="00216859">
        <w:rPr>
          <w:rFonts w:eastAsia="MS Mincho" w:cs="Arial"/>
          <w:sz w:val="24"/>
          <w:szCs w:val="24"/>
          <w:lang w:val="es-ES_tradnl"/>
        </w:rPr>
        <w:t>ó</w:t>
      </w:r>
      <w:r w:rsidRPr="00216859">
        <w:rPr>
          <w:rFonts w:eastAsia="MS Mincho" w:cs="Arial"/>
          <w:sz w:val="24"/>
          <w:szCs w:val="24"/>
          <w:lang w:val="es-ES_tradnl"/>
        </w:rPr>
        <w:t xml:space="preserve"> </w:t>
      </w:r>
      <w:r w:rsidR="00BA055D" w:rsidRPr="00216859">
        <w:rPr>
          <w:rFonts w:eastAsia="MS Mincho" w:cs="Arial"/>
          <w:sz w:val="24"/>
          <w:szCs w:val="24"/>
          <w:lang w:val="es-ES_tradnl"/>
        </w:rPr>
        <w:t xml:space="preserve">al efecto </w:t>
      </w:r>
      <w:proofErr w:type="gramStart"/>
      <w:r w:rsidR="00477D27" w:rsidRPr="00216859">
        <w:rPr>
          <w:rFonts w:eastAsia="MS Mincho" w:cs="Arial"/>
          <w:sz w:val="24"/>
          <w:szCs w:val="24"/>
          <w:lang w:val="es-ES_tradnl"/>
        </w:rPr>
        <w:t>que</w:t>
      </w:r>
      <w:proofErr w:type="gramEnd"/>
      <w:r w:rsidR="00477D27" w:rsidRPr="00216859">
        <w:rPr>
          <w:rFonts w:eastAsia="MS Mincho" w:cs="Arial"/>
          <w:sz w:val="24"/>
          <w:szCs w:val="24"/>
          <w:lang w:val="es-ES_tradnl"/>
        </w:rPr>
        <w:t xml:space="preserve"> si bien la </w:t>
      </w:r>
      <w:r w:rsidR="00BA229B" w:rsidRPr="00216859">
        <w:rPr>
          <w:rFonts w:eastAsia="MS Mincho" w:cs="Arial"/>
          <w:sz w:val="24"/>
          <w:szCs w:val="24"/>
          <w:lang w:val="es-ES_tradnl"/>
        </w:rPr>
        <w:t>demandante cuenta con una pensión,</w:t>
      </w:r>
      <w:r w:rsidR="00652BFE" w:rsidRPr="00216859">
        <w:rPr>
          <w:rFonts w:eastAsia="MS Mincho" w:cs="Arial"/>
          <w:sz w:val="24"/>
          <w:szCs w:val="24"/>
          <w:lang w:val="es-ES_tradnl"/>
        </w:rPr>
        <w:t xml:space="preserve"> </w:t>
      </w:r>
      <w:r w:rsidR="00477D27" w:rsidRPr="00216859">
        <w:rPr>
          <w:rFonts w:eastAsia="MS Mincho" w:cs="Arial"/>
          <w:sz w:val="24"/>
          <w:szCs w:val="24"/>
          <w:lang w:val="es-ES_tradnl"/>
        </w:rPr>
        <w:t>con la inhabilidad</w:t>
      </w:r>
      <w:r w:rsidR="00BA229B" w:rsidRPr="00216859">
        <w:rPr>
          <w:rFonts w:eastAsia="MS Mincho" w:cs="Arial"/>
          <w:sz w:val="24"/>
          <w:szCs w:val="24"/>
          <w:lang w:val="es-ES_tradnl"/>
        </w:rPr>
        <w:t xml:space="preserve"> que le fue</w:t>
      </w:r>
      <w:r w:rsidR="00477D27" w:rsidRPr="00216859">
        <w:rPr>
          <w:rFonts w:eastAsia="MS Mincho" w:cs="Arial"/>
          <w:sz w:val="24"/>
          <w:szCs w:val="24"/>
          <w:lang w:val="es-ES_tradnl"/>
        </w:rPr>
        <w:t xml:space="preserve"> </w:t>
      </w:r>
      <w:r w:rsidR="00BA229B" w:rsidRPr="00216859">
        <w:rPr>
          <w:rFonts w:eastAsia="MS Mincho" w:cs="Arial"/>
          <w:sz w:val="24"/>
          <w:szCs w:val="24"/>
          <w:lang w:val="es-ES_tradnl"/>
        </w:rPr>
        <w:t xml:space="preserve">impuesta en los actos administrativos demandados, no puede suscribir contratos o convenios con entidades públicas </w:t>
      </w:r>
      <w:r w:rsidR="00591781" w:rsidRPr="00216859">
        <w:rPr>
          <w:rFonts w:eastAsia="MS Mincho" w:cs="Arial"/>
          <w:sz w:val="24"/>
          <w:szCs w:val="24"/>
          <w:lang w:val="es-ES_tradnl"/>
        </w:rPr>
        <w:t>en el giro ordinario de la Asociación Sociedad San Vicente de Paul de Tunja en la cual fungía y funge como representante legal</w:t>
      </w:r>
      <w:r w:rsidR="00652BFE" w:rsidRPr="00216859">
        <w:rPr>
          <w:rFonts w:eastAsia="MS Mincho" w:cs="Arial"/>
          <w:sz w:val="24"/>
          <w:szCs w:val="24"/>
          <w:lang w:val="es-ES_tradnl"/>
        </w:rPr>
        <w:t xml:space="preserve">, así, se demuestra el perjuicio </w:t>
      </w:r>
      <w:r w:rsidR="007E60A5" w:rsidRPr="00216859">
        <w:rPr>
          <w:rFonts w:eastAsia="MS Mincho" w:cs="Arial"/>
          <w:sz w:val="24"/>
          <w:szCs w:val="24"/>
          <w:lang w:val="es-ES_tradnl"/>
        </w:rPr>
        <w:t xml:space="preserve">que se consolida con la sanción </w:t>
      </w:r>
      <w:r w:rsidR="00C80939" w:rsidRPr="00216859">
        <w:rPr>
          <w:rFonts w:eastAsia="MS Mincho" w:cs="Arial"/>
          <w:sz w:val="24"/>
          <w:szCs w:val="24"/>
          <w:lang w:val="es-ES_tradnl"/>
        </w:rPr>
        <w:t>en mención</w:t>
      </w:r>
      <w:r w:rsidR="007E60A5" w:rsidRPr="00216859">
        <w:rPr>
          <w:rFonts w:eastAsia="MS Mincho" w:cs="Arial"/>
          <w:sz w:val="24"/>
          <w:szCs w:val="24"/>
          <w:lang w:val="es-ES_tradnl"/>
        </w:rPr>
        <w:t>.</w:t>
      </w:r>
    </w:p>
    <w:p w14:paraId="3D54BF75" w14:textId="7741C1E5" w:rsidR="00CC1E21" w:rsidRPr="00216859" w:rsidRDefault="00CC1E21" w:rsidP="003A170E">
      <w:pPr>
        <w:spacing w:line="360" w:lineRule="auto"/>
        <w:jc w:val="both"/>
        <w:rPr>
          <w:rFonts w:eastAsia="MS Mincho" w:cs="Arial"/>
          <w:sz w:val="24"/>
          <w:szCs w:val="24"/>
          <w:lang w:val="es-ES_tradnl"/>
        </w:rPr>
      </w:pPr>
    </w:p>
    <w:p w14:paraId="37945DB4" w14:textId="56616487" w:rsidR="00203C79" w:rsidRPr="00216859" w:rsidRDefault="00203C79" w:rsidP="003A170E">
      <w:pPr>
        <w:spacing w:line="360" w:lineRule="auto"/>
        <w:jc w:val="both"/>
        <w:rPr>
          <w:rFonts w:eastAsia="MS Mincho" w:cs="Arial"/>
          <w:sz w:val="24"/>
          <w:szCs w:val="24"/>
          <w:lang w:val="es-ES_tradnl"/>
        </w:rPr>
      </w:pPr>
      <w:r w:rsidRPr="00216859">
        <w:rPr>
          <w:rFonts w:eastAsia="MS Mincho" w:cs="Arial"/>
          <w:sz w:val="24"/>
          <w:szCs w:val="24"/>
          <w:lang w:val="es-ES_tradnl"/>
        </w:rPr>
        <w:t>Ad</w:t>
      </w:r>
      <w:r w:rsidR="00A35780" w:rsidRPr="00216859">
        <w:rPr>
          <w:rFonts w:eastAsia="MS Mincho" w:cs="Arial"/>
          <w:sz w:val="24"/>
          <w:szCs w:val="24"/>
          <w:lang w:val="es-ES_tradnl"/>
        </w:rPr>
        <w:t>icionalmente adujo que la demandante</w:t>
      </w:r>
      <w:r w:rsidRPr="00216859">
        <w:rPr>
          <w:rFonts w:eastAsia="MS Mincho" w:cs="Arial"/>
          <w:sz w:val="24"/>
          <w:szCs w:val="24"/>
          <w:lang w:val="es-ES_tradnl"/>
        </w:rPr>
        <w:t xml:space="preserve"> </w:t>
      </w:r>
      <w:r w:rsidR="00A35780" w:rsidRPr="00216859">
        <w:rPr>
          <w:rFonts w:eastAsia="MS Mincho" w:cs="Arial"/>
          <w:sz w:val="24"/>
          <w:szCs w:val="24"/>
          <w:lang w:val="es-ES_tradnl"/>
        </w:rPr>
        <w:t xml:space="preserve">es una persona activa laboralmente que cuenta con </w:t>
      </w:r>
      <w:r w:rsidR="006522D1" w:rsidRPr="00216859">
        <w:rPr>
          <w:rFonts w:eastAsia="MS Mincho" w:cs="Arial"/>
          <w:sz w:val="24"/>
          <w:szCs w:val="24"/>
          <w:lang w:val="es-ES_tradnl"/>
        </w:rPr>
        <w:t>la posibilidad de desarrollar actividades productivas hasta la edad de retiro forzoso, posibilidad que se le cercena con la inhabilidad</w:t>
      </w:r>
      <w:r w:rsidR="009B3B9E" w:rsidRPr="00216859">
        <w:rPr>
          <w:rFonts w:eastAsia="MS Mincho" w:cs="Arial"/>
          <w:sz w:val="24"/>
          <w:szCs w:val="24"/>
          <w:lang w:val="es-ES_tradnl"/>
        </w:rPr>
        <w:t xml:space="preserve"> impuesta</w:t>
      </w:r>
      <w:r w:rsidR="00BE2739" w:rsidRPr="00216859">
        <w:rPr>
          <w:rFonts w:eastAsia="MS Mincho" w:cs="Arial"/>
          <w:sz w:val="24"/>
          <w:szCs w:val="24"/>
          <w:lang w:val="es-ES_tradnl"/>
        </w:rPr>
        <w:t>.</w:t>
      </w:r>
    </w:p>
    <w:p w14:paraId="715A7FCF" w14:textId="37E61033" w:rsidR="009B394F" w:rsidRPr="00216859" w:rsidRDefault="009B394F" w:rsidP="003A170E">
      <w:pPr>
        <w:spacing w:line="360" w:lineRule="auto"/>
        <w:jc w:val="both"/>
        <w:rPr>
          <w:rFonts w:eastAsia="MS Mincho" w:cs="Arial"/>
          <w:sz w:val="24"/>
          <w:szCs w:val="24"/>
          <w:lang w:val="es-ES_tradnl"/>
        </w:rPr>
      </w:pPr>
    </w:p>
    <w:p w14:paraId="100852DE" w14:textId="5509BEEE" w:rsidR="009B394F" w:rsidRPr="00216859" w:rsidRDefault="009B394F" w:rsidP="003A170E">
      <w:pPr>
        <w:spacing w:line="360" w:lineRule="auto"/>
        <w:jc w:val="both"/>
        <w:rPr>
          <w:rFonts w:eastAsia="MS Mincho" w:cs="Arial"/>
          <w:sz w:val="24"/>
          <w:szCs w:val="24"/>
          <w:lang w:val="es-ES_tradnl"/>
        </w:rPr>
      </w:pPr>
      <w:r w:rsidRPr="00216859">
        <w:rPr>
          <w:rFonts w:eastAsia="MS Mincho" w:cs="Arial"/>
          <w:sz w:val="24"/>
          <w:szCs w:val="24"/>
          <w:lang w:val="es-ES_tradnl"/>
        </w:rPr>
        <w:t xml:space="preserve">También mencionó que </w:t>
      </w:r>
      <w:r w:rsidR="005850A4" w:rsidRPr="00216859">
        <w:rPr>
          <w:rFonts w:eastAsia="MS Mincho" w:cs="Arial"/>
          <w:sz w:val="24"/>
          <w:szCs w:val="24"/>
          <w:lang w:val="es-ES_tradnl"/>
        </w:rPr>
        <w:t xml:space="preserve">en la providencia recurrida no se tuvo en cuenta que la situación </w:t>
      </w:r>
      <w:r w:rsidR="004157FB" w:rsidRPr="00216859">
        <w:rPr>
          <w:rFonts w:eastAsia="MS Mincho" w:cs="Arial"/>
          <w:sz w:val="24"/>
          <w:szCs w:val="24"/>
          <w:lang w:val="es-ES_tradnl"/>
        </w:rPr>
        <w:t xml:space="preserve">que se presenta constituye una “NEGACION </w:t>
      </w:r>
      <w:proofErr w:type="gramStart"/>
      <w:r w:rsidR="004157FB" w:rsidRPr="00216859">
        <w:rPr>
          <w:rFonts w:eastAsia="MS Mincho" w:cs="Arial"/>
          <w:sz w:val="24"/>
          <w:szCs w:val="24"/>
          <w:lang w:val="es-ES_tradnl"/>
        </w:rPr>
        <w:t>INDEFENDA”(</w:t>
      </w:r>
      <w:proofErr w:type="gramEnd"/>
      <w:r w:rsidR="004157FB" w:rsidRPr="00216859">
        <w:rPr>
          <w:rFonts w:eastAsia="MS Mincho" w:cs="Arial"/>
          <w:sz w:val="24"/>
          <w:szCs w:val="24"/>
          <w:lang w:val="es-ES_tradnl"/>
        </w:rPr>
        <w:t>sic), que no es susceptible de demostración directa</w:t>
      </w:r>
      <w:r w:rsidR="00BB0144" w:rsidRPr="00216859">
        <w:rPr>
          <w:rFonts w:eastAsia="MS Mincho" w:cs="Arial"/>
          <w:sz w:val="24"/>
          <w:szCs w:val="24"/>
          <w:lang w:val="es-ES_tradnl"/>
        </w:rPr>
        <w:t xml:space="preserve">, por </w:t>
      </w:r>
      <w:r w:rsidR="002039D5" w:rsidRPr="00216859">
        <w:rPr>
          <w:rFonts w:eastAsia="MS Mincho" w:cs="Arial"/>
          <w:sz w:val="24"/>
          <w:szCs w:val="24"/>
          <w:lang w:val="es-ES_tradnl"/>
        </w:rPr>
        <w:t>tratarse</w:t>
      </w:r>
      <w:r w:rsidR="00BB0144" w:rsidRPr="00216859">
        <w:rPr>
          <w:rFonts w:eastAsia="MS Mincho" w:cs="Arial"/>
          <w:sz w:val="24"/>
          <w:szCs w:val="24"/>
          <w:lang w:val="es-ES_tradnl"/>
        </w:rPr>
        <w:t xml:space="preserve"> hechos futuros que surgen con la sanción proferida.</w:t>
      </w:r>
    </w:p>
    <w:p w14:paraId="71EE90BE" w14:textId="6833B285" w:rsidR="002039D5" w:rsidRPr="00216859" w:rsidRDefault="002039D5" w:rsidP="003A170E">
      <w:pPr>
        <w:spacing w:line="360" w:lineRule="auto"/>
        <w:jc w:val="both"/>
        <w:rPr>
          <w:rFonts w:eastAsia="MS Mincho" w:cs="Arial"/>
          <w:sz w:val="24"/>
          <w:szCs w:val="24"/>
          <w:lang w:val="es-ES_tradnl"/>
        </w:rPr>
      </w:pPr>
    </w:p>
    <w:p w14:paraId="22548EEE" w14:textId="21887FDE" w:rsidR="002039D5" w:rsidRPr="00216859" w:rsidRDefault="002039D5" w:rsidP="003A170E">
      <w:pPr>
        <w:spacing w:line="360" w:lineRule="auto"/>
        <w:jc w:val="both"/>
        <w:rPr>
          <w:rFonts w:eastAsia="MS Mincho" w:cs="Arial"/>
          <w:sz w:val="24"/>
          <w:szCs w:val="24"/>
          <w:lang w:val="es-ES_tradnl"/>
        </w:rPr>
      </w:pPr>
      <w:r w:rsidRPr="00216859">
        <w:rPr>
          <w:rFonts w:eastAsia="MS Mincho" w:cs="Arial"/>
          <w:sz w:val="24"/>
          <w:szCs w:val="24"/>
          <w:lang w:val="es-ES_tradnl"/>
        </w:rPr>
        <w:t>De esta manera, aseveró que no es cierto la no acreditación del perjuicio irremediable</w:t>
      </w:r>
      <w:r w:rsidR="00755D47" w:rsidRPr="00216859">
        <w:rPr>
          <w:rFonts w:eastAsia="MS Mincho" w:cs="Arial"/>
          <w:sz w:val="24"/>
          <w:szCs w:val="24"/>
          <w:lang w:val="es-ES_tradnl"/>
        </w:rPr>
        <w:t xml:space="preserve"> de la demandante</w:t>
      </w:r>
      <w:r w:rsidR="000D0B44" w:rsidRPr="00216859">
        <w:rPr>
          <w:rFonts w:eastAsia="MS Mincho" w:cs="Arial"/>
          <w:sz w:val="24"/>
          <w:szCs w:val="24"/>
          <w:lang w:val="es-ES_tradnl"/>
        </w:rPr>
        <w:t xml:space="preserve">, por cuanto este surge de la misma inhabilidad que le impide obtener ingresos para satisfacer </w:t>
      </w:r>
      <w:r w:rsidR="00755D47" w:rsidRPr="00216859">
        <w:rPr>
          <w:rFonts w:eastAsia="MS Mincho" w:cs="Arial"/>
          <w:sz w:val="24"/>
          <w:szCs w:val="24"/>
          <w:lang w:val="es-ES_tradnl"/>
        </w:rPr>
        <w:t>su</w:t>
      </w:r>
      <w:r w:rsidR="000D0B44" w:rsidRPr="00216859">
        <w:rPr>
          <w:rFonts w:eastAsia="MS Mincho" w:cs="Arial"/>
          <w:sz w:val="24"/>
          <w:szCs w:val="24"/>
          <w:lang w:val="es-ES_tradnl"/>
        </w:rPr>
        <w:t xml:space="preserve"> mínimo vital y el de</w:t>
      </w:r>
      <w:r w:rsidR="00755D47" w:rsidRPr="00216859">
        <w:rPr>
          <w:rFonts w:eastAsia="MS Mincho" w:cs="Arial"/>
          <w:sz w:val="24"/>
          <w:szCs w:val="24"/>
          <w:lang w:val="es-ES_tradnl"/>
        </w:rPr>
        <w:t xml:space="preserve"> su</w:t>
      </w:r>
      <w:r w:rsidR="000D0B44" w:rsidRPr="00216859">
        <w:rPr>
          <w:rFonts w:eastAsia="MS Mincho" w:cs="Arial"/>
          <w:sz w:val="24"/>
          <w:szCs w:val="24"/>
          <w:lang w:val="es-ES_tradnl"/>
        </w:rPr>
        <w:t xml:space="preserve"> núcleo familiar.</w:t>
      </w:r>
    </w:p>
    <w:p w14:paraId="1D3E40A8" w14:textId="3C84545F" w:rsidR="00BE2739" w:rsidRPr="00216859" w:rsidRDefault="00BE2739" w:rsidP="003A170E">
      <w:pPr>
        <w:spacing w:line="360" w:lineRule="auto"/>
        <w:jc w:val="both"/>
        <w:rPr>
          <w:rFonts w:eastAsia="MS Mincho" w:cs="Arial"/>
          <w:sz w:val="24"/>
          <w:szCs w:val="24"/>
          <w:lang w:val="es-ES_tradnl"/>
        </w:rPr>
      </w:pPr>
    </w:p>
    <w:p w14:paraId="224D0DAD" w14:textId="5BA8DF82" w:rsidR="00C7298E" w:rsidRPr="00216859" w:rsidRDefault="00794CD4" w:rsidP="003A170E">
      <w:pPr>
        <w:spacing w:line="360" w:lineRule="auto"/>
        <w:jc w:val="both"/>
        <w:rPr>
          <w:rFonts w:eastAsia="MS Mincho" w:cs="Arial"/>
          <w:sz w:val="24"/>
          <w:szCs w:val="24"/>
          <w:lang w:val="es-ES_tradnl"/>
        </w:rPr>
      </w:pPr>
      <w:r w:rsidRPr="00216859">
        <w:rPr>
          <w:rFonts w:eastAsia="MS Mincho" w:cs="Arial"/>
          <w:sz w:val="24"/>
          <w:szCs w:val="24"/>
          <w:lang w:val="es-ES_tradnl"/>
        </w:rPr>
        <w:t xml:space="preserve">De otro lado, mencionó que existe un perjuicio irremediable </w:t>
      </w:r>
      <w:r w:rsidR="003B44A1" w:rsidRPr="00216859">
        <w:rPr>
          <w:rFonts w:eastAsia="MS Mincho" w:cs="Arial"/>
          <w:sz w:val="24"/>
          <w:szCs w:val="24"/>
          <w:lang w:val="es-ES_tradnl"/>
        </w:rPr>
        <w:t>relacionado con la afectación del buen nombre y honra de la demandante al verse afectado su derecho a la libertad de escoger su profesión y oficio</w:t>
      </w:r>
      <w:r w:rsidR="00E66FE0" w:rsidRPr="00216859">
        <w:rPr>
          <w:rFonts w:eastAsia="MS Mincho" w:cs="Arial"/>
          <w:sz w:val="24"/>
          <w:szCs w:val="24"/>
          <w:lang w:val="es-ES_tradnl"/>
        </w:rPr>
        <w:t xml:space="preserve"> y el señalamiento de una responsabilidad </w:t>
      </w:r>
      <w:proofErr w:type="gramStart"/>
      <w:r w:rsidR="00E66FE0" w:rsidRPr="00216859">
        <w:rPr>
          <w:rFonts w:eastAsia="MS Mincho" w:cs="Arial"/>
          <w:sz w:val="24"/>
          <w:szCs w:val="24"/>
          <w:lang w:val="es-ES_tradnl"/>
        </w:rPr>
        <w:t>que</w:t>
      </w:r>
      <w:proofErr w:type="gramEnd"/>
      <w:r w:rsidR="00403767" w:rsidRPr="00216859">
        <w:rPr>
          <w:rFonts w:eastAsia="MS Mincho" w:cs="Arial"/>
          <w:sz w:val="24"/>
          <w:szCs w:val="24"/>
          <w:lang w:val="es-ES_tradnl"/>
        </w:rPr>
        <w:t xml:space="preserve"> </w:t>
      </w:r>
      <w:r w:rsidR="0018734F" w:rsidRPr="00216859">
        <w:rPr>
          <w:rFonts w:eastAsia="MS Mincho" w:cs="Arial"/>
          <w:sz w:val="24"/>
          <w:szCs w:val="24"/>
          <w:lang w:val="es-ES_tradnl"/>
        </w:rPr>
        <w:t>conforme a lo demostrado,</w:t>
      </w:r>
      <w:r w:rsidR="00E66FE0" w:rsidRPr="00216859">
        <w:rPr>
          <w:rFonts w:eastAsia="MS Mincho" w:cs="Arial"/>
          <w:sz w:val="24"/>
          <w:szCs w:val="24"/>
          <w:lang w:val="es-ES_tradnl"/>
        </w:rPr>
        <w:t xml:space="preserve"> no existió.</w:t>
      </w:r>
    </w:p>
    <w:p w14:paraId="78936E8A" w14:textId="4B04AF0D" w:rsidR="00EC2082" w:rsidRPr="00216859" w:rsidRDefault="00EC2082" w:rsidP="003A170E">
      <w:pPr>
        <w:spacing w:line="360" w:lineRule="auto"/>
        <w:jc w:val="both"/>
        <w:rPr>
          <w:rFonts w:eastAsia="MS Mincho" w:cs="Arial"/>
          <w:sz w:val="24"/>
          <w:szCs w:val="24"/>
          <w:lang w:val="es-ES_tradnl"/>
        </w:rPr>
      </w:pPr>
    </w:p>
    <w:p w14:paraId="47707F1D" w14:textId="63766670" w:rsidR="00D3276F" w:rsidRPr="00216859" w:rsidRDefault="00EC2082" w:rsidP="00B26E71">
      <w:pPr>
        <w:spacing w:line="360" w:lineRule="auto"/>
        <w:jc w:val="both"/>
        <w:rPr>
          <w:rFonts w:eastAsia="MS Mincho" w:cs="Arial"/>
          <w:sz w:val="24"/>
          <w:szCs w:val="24"/>
          <w:lang w:val="es-ES_tradnl"/>
        </w:rPr>
      </w:pPr>
      <w:r w:rsidRPr="00216859">
        <w:rPr>
          <w:rFonts w:eastAsia="MS Mincho" w:cs="Arial"/>
          <w:sz w:val="24"/>
          <w:szCs w:val="24"/>
          <w:lang w:val="es-ES_tradnl"/>
        </w:rPr>
        <w:t xml:space="preserve">Explicó que se </w:t>
      </w:r>
      <w:r w:rsidR="00725E67" w:rsidRPr="00216859">
        <w:rPr>
          <w:rFonts w:eastAsia="MS Mincho" w:cs="Arial"/>
          <w:sz w:val="24"/>
          <w:szCs w:val="24"/>
          <w:lang w:val="es-ES_tradnl"/>
        </w:rPr>
        <w:t>cumplen los presupuestos de pertinencia y procedencia de la medida cautelar solicitada</w:t>
      </w:r>
      <w:r w:rsidR="00B26E71" w:rsidRPr="00216859">
        <w:rPr>
          <w:rFonts w:eastAsia="MS Mincho" w:cs="Arial"/>
          <w:sz w:val="24"/>
          <w:szCs w:val="24"/>
          <w:lang w:val="es-ES_tradnl"/>
        </w:rPr>
        <w:t xml:space="preserve">, con la cual no se busca la inaplicación de los </w:t>
      </w:r>
      <w:r w:rsidR="00A56364" w:rsidRPr="00216859">
        <w:rPr>
          <w:rFonts w:eastAsia="MS Mincho" w:cs="Arial"/>
          <w:sz w:val="24"/>
          <w:szCs w:val="24"/>
          <w:lang w:val="es-ES_tradnl"/>
        </w:rPr>
        <w:t>a</w:t>
      </w:r>
      <w:r w:rsidR="00B26E71" w:rsidRPr="00216859">
        <w:rPr>
          <w:rFonts w:eastAsia="MS Mincho" w:cs="Arial"/>
          <w:sz w:val="24"/>
          <w:szCs w:val="24"/>
          <w:lang w:val="es-ES_tradnl"/>
        </w:rPr>
        <w:t xml:space="preserve">ctos </w:t>
      </w:r>
      <w:r w:rsidR="00A56364" w:rsidRPr="00216859">
        <w:rPr>
          <w:rFonts w:eastAsia="MS Mincho" w:cs="Arial"/>
          <w:sz w:val="24"/>
          <w:szCs w:val="24"/>
          <w:lang w:val="es-ES_tradnl"/>
        </w:rPr>
        <w:t>a</w:t>
      </w:r>
      <w:r w:rsidR="00B26E71" w:rsidRPr="00216859">
        <w:rPr>
          <w:rFonts w:eastAsia="MS Mincho" w:cs="Arial"/>
          <w:sz w:val="24"/>
          <w:szCs w:val="24"/>
          <w:lang w:val="es-ES_tradnl"/>
        </w:rPr>
        <w:t>dministrativos demandados sino la suspensión de sus efectos claramente gravosos</w:t>
      </w:r>
      <w:r w:rsidR="00A56364" w:rsidRPr="00216859">
        <w:rPr>
          <w:rFonts w:eastAsia="MS Mincho" w:cs="Arial"/>
          <w:sz w:val="24"/>
          <w:szCs w:val="24"/>
          <w:lang w:val="es-ES_tradnl"/>
        </w:rPr>
        <w:t>.</w:t>
      </w:r>
      <w:r w:rsidR="00CE61C0" w:rsidRPr="00216859">
        <w:rPr>
          <w:rFonts w:eastAsia="MS Mincho" w:cs="Arial"/>
          <w:sz w:val="24"/>
          <w:szCs w:val="24"/>
          <w:lang w:val="es-ES_tradnl"/>
        </w:rPr>
        <w:t xml:space="preserve"> </w:t>
      </w:r>
    </w:p>
    <w:p w14:paraId="5044C50E" w14:textId="77777777" w:rsidR="00DD552F" w:rsidRPr="00216859" w:rsidRDefault="00DD552F" w:rsidP="00B26E71">
      <w:pPr>
        <w:spacing w:line="360" w:lineRule="auto"/>
        <w:jc w:val="both"/>
        <w:rPr>
          <w:rFonts w:eastAsia="MS Mincho" w:cs="Arial"/>
          <w:sz w:val="24"/>
          <w:szCs w:val="24"/>
          <w:lang w:val="es-ES_tradnl"/>
        </w:rPr>
      </w:pPr>
    </w:p>
    <w:p w14:paraId="01126012" w14:textId="37E18807" w:rsidR="00DB4E20" w:rsidRPr="00216859" w:rsidRDefault="00D3276F" w:rsidP="003A170E">
      <w:pPr>
        <w:spacing w:line="360" w:lineRule="auto"/>
        <w:jc w:val="both"/>
        <w:rPr>
          <w:rFonts w:eastAsia="MS Mincho" w:cs="Arial"/>
          <w:sz w:val="24"/>
          <w:szCs w:val="24"/>
          <w:lang w:val="es-ES_tradnl"/>
        </w:rPr>
      </w:pPr>
      <w:r w:rsidRPr="00216859">
        <w:rPr>
          <w:rFonts w:eastAsia="MS Mincho" w:cs="Arial"/>
          <w:sz w:val="24"/>
          <w:szCs w:val="24"/>
          <w:lang w:val="es-ES_tradnl"/>
        </w:rPr>
        <w:t>Concluyó señalando que</w:t>
      </w:r>
      <w:r w:rsidR="00DD552F" w:rsidRPr="00216859">
        <w:rPr>
          <w:rFonts w:eastAsia="MS Mincho" w:cs="Arial"/>
          <w:sz w:val="24"/>
          <w:szCs w:val="24"/>
          <w:lang w:val="es-ES_tradnl"/>
        </w:rPr>
        <w:t>,</w:t>
      </w:r>
      <w:r w:rsidRPr="00216859">
        <w:rPr>
          <w:rFonts w:eastAsia="MS Mincho" w:cs="Arial"/>
          <w:sz w:val="24"/>
          <w:szCs w:val="24"/>
          <w:lang w:val="es-ES_tradnl"/>
        </w:rPr>
        <w:t xml:space="preserve"> además, se satisficieron los demás elementos necesarios para la suspensión de los efectos de los actos administrativos </w:t>
      </w:r>
      <w:r w:rsidR="00BA445F" w:rsidRPr="00216859">
        <w:rPr>
          <w:rFonts w:eastAsia="MS Mincho" w:cs="Arial"/>
          <w:sz w:val="24"/>
          <w:szCs w:val="24"/>
          <w:lang w:val="es-ES_tradnl"/>
        </w:rPr>
        <w:t>al ser clara la existencia de valoración de pruebas ilegales, indebida valoración de las pruebas y negación de otras necesarias para la defensa, en clara afectación del derecho al debido proceso</w:t>
      </w:r>
      <w:r w:rsidR="00DD552F" w:rsidRPr="00216859">
        <w:rPr>
          <w:rFonts w:eastAsia="MS Mincho" w:cs="Arial"/>
          <w:sz w:val="24"/>
          <w:szCs w:val="24"/>
          <w:lang w:val="es-ES_tradnl"/>
        </w:rPr>
        <w:t xml:space="preserve"> (art. 29 superior), por la falta de competencia de la Demandada en clara vulneración del numeral 17 del artículo 48 del Código Disciplinario Único (Ley 734 de 2002), el artículo 14 de la Ley 734 de 2012 y el numeral 2 del artículo 2</w:t>
      </w:r>
      <w:r w:rsidR="004E397E" w:rsidRPr="00216859">
        <w:rPr>
          <w:rFonts w:eastAsia="MS Mincho" w:cs="Arial"/>
          <w:sz w:val="24"/>
          <w:szCs w:val="24"/>
          <w:lang w:val="es-ES_tradnl"/>
        </w:rPr>
        <w:t xml:space="preserve"> </w:t>
      </w:r>
      <w:r w:rsidR="00DD552F" w:rsidRPr="00216859">
        <w:rPr>
          <w:rFonts w:eastAsia="MS Mincho" w:cs="Arial"/>
          <w:sz w:val="24"/>
          <w:szCs w:val="24"/>
          <w:lang w:val="es-ES_tradnl"/>
        </w:rPr>
        <w:t>del decreto 4173 de 2011, por la evidente existencia de una excepción que</w:t>
      </w:r>
      <w:r w:rsidR="004E397E" w:rsidRPr="00216859">
        <w:rPr>
          <w:rFonts w:eastAsia="MS Mincho" w:cs="Arial"/>
          <w:sz w:val="24"/>
          <w:szCs w:val="24"/>
          <w:lang w:val="es-ES_tradnl"/>
        </w:rPr>
        <w:t xml:space="preserve"> </w:t>
      </w:r>
      <w:r w:rsidR="00DD552F" w:rsidRPr="00216859">
        <w:rPr>
          <w:rFonts w:eastAsia="MS Mincho" w:cs="Arial"/>
          <w:sz w:val="24"/>
          <w:szCs w:val="24"/>
          <w:lang w:val="es-ES_tradnl"/>
        </w:rPr>
        <w:t xml:space="preserve">enmarca dentro de la legalidad la actuación de la disciplinada, </w:t>
      </w:r>
      <w:r w:rsidR="004E397E" w:rsidRPr="00216859">
        <w:rPr>
          <w:rFonts w:eastAsia="MS Mincho" w:cs="Arial"/>
          <w:sz w:val="24"/>
          <w:szCs w:val="24"/>
          <w:lang w:val="es-ES_tradnl"/>
        </w:rPr>
        <w:t xml:space="preserve">conforme al </w:t>
      </w:r>
      <w:r w:rsidR="00DD552F" w:rsidRPr="00216859">
        <w:rPr>
          <w:rFonts w:eastAsia="MS Mincho" w:cs="Arial"/>
          <w:sz w:val="24"/>
          <w:szCs w:val="24"/>
          <w:lang w:val="es-ES_tradnl"/>
        </w:rPr>
        <w:t>artículo 127 de la Constitución Política de Colombia, y su</w:t>
      </w:r>
      <w:r w:rsidR="004E397E" w:rsidRPr="00216859">
        <w:rPr>
          <w:rFonts w:eastAsia="MS Mincho" w:cs="Arial"/>
          <w:sz w:val="24"/>
          <w:szCs w:val="24"/>
          <w:lang w:val="es-ES_tradnl"/>
        </w:rPr>
        <w:t xml:space="preserve"> </w:t>
      </w:r>
      <w:r w:rsidR="00DD552F" w:rsidRPr="00216859">
        <w:rPr>
          <w:rFonts w:eastAsia="MS Mincho" w:cs="Arial"/>
          <w:sz w:val="24"/>
          <w:szCs w:val="24"/>
          <w:lang w:val="es-ES_tradnl"/>
        </w:rPr>
        <w:t>reglamentación establecida el artículo 8 y 10 de la Ley 80 de 1993</w:t>
      </w:r>
      <w:r w:rsidR="001454FD" w:rsidRPr="00216859">
        <w:rPr>
          <w:rFonts w:eastAsia="MS Mincho" w:cs="Arial"/>
          <w:sz w:val="24"/>
          <w:szCs w:val="24"/>
          <w:lang w:val="es-ES_tradnl"/>
        </w:rPr>
        <w:t xml:space="preserve"> </w:t>
      </w:r>
      <w:r w:rsidR="00E0003A" w:rsidRPr="00216859">
        <w:rPr>
          <w:rFonts w:eastAsia="MS Mincho" w:cs="Arial"/>
          <w:sz w:val="24"/>
          <w:szCs w:val="24"/>
          <w:lang w:val="es-ES_tradnl"/>
        </w:rPr>
        <w:t>(</w:t>
      </w:r>
      <w:r w:rsidR="00301F7A" w:rsidRPr="00216859">
        <w:rPr>
          <w:rFonts w:eastAsia="MS Mincho" w:cs="Arial"/>
          <w:sz w:val="24"/>
          <w:szCs w:val="24"/>
          <w:lang w:val="es-ES_tradnl"/>
        </w:rPr>
        <w:t>índice 35</w:t>
      </w:r>
      <w:r w:rsidR="00E0003A" w:rsidRPr="00216859">
        <w:rPr>
          <w:rFonts w:eastAsia="MS Mincho" w:cs="Arial"/>
          <w:sz w:val="24"/>
          <w:szCs w:val="24"/>
          <w:lang w:val="es-ES_tradnl"/>
        </w:rPr>
        <w:t>)</w:t>
      </w:r>
      <w:r w:rsidR="001F0946" w:rsidRPr="00216859">
        <w:rPr>
          <w:rFonts w:eastAsia="MS Mincho" w:cs="Arial"/>
          <w:sz w:val="24"/>
          <w:szCs w:val="24"/>
          <w:lang w:val="es-ES_tradnl"/>
        </w:rPr>
        <w:t>.</w:t>
      </w:r>
    </w:p>
    <w:p w14:paraId="622C3820" w14:textId="61933B48" w:rsidR="00DE1034" w:rsidRPr="00216859" w:rsidRDefault="00DE1034" w:rsidP="003A170E">
      <w:pPr>
        <w:spacing w:line="360" w:lineRule="auto"/>
        <w:jc w:val="both"/>
        <w:rPr>
          <w:rFonts w:eastAsia="MS Mincho" w:cs="Arial"/>
          <w:sz w:val="24"/>
          <w:szCs w:val="24"/>
          <w:lang w:val="es-ES_tradnl"/>
        </w:rPr>
      </w:pPr>
    </w:p>
    <w:p w14:paraId="347FD869" w14:textId="6283A034" w:rsidR="00DE1034" w:rsidRPr="00216859" w:rsidRDefault="00DE1034" w:rsidP="00DE1034">
      <w:pPr>
        <w:spacing w:line="360" w:lineRule="auto"/>
        <w:jc w:val="both"/>
        <w:rPr>
          <w:rFonts w:eastAsia="MS Mincho" w:cs="Arial"/>
          <w:sz w:val="24"/>
          <w:szCs w:val="24"/>
          <w:lang w:val="es-ES_tradnl"/>
        </w:rPr>
      </w:pPr>
      <w:r w:rsidRPr="00216859">
        <w:rPr>
          <w:rFonts w:eastAsia="MS Mincho" w:cs="Arial"/>
          <w:b/>
          <w:sz w:val="24"/>
          <w:szCs w:val="24"/>
          <w:lang w:val="es-ES_tradnl"/>
        </w:rPr>
        <w:t>2.3.- Traslado del Recurso</w:t>
      </w:r>
    </w:p>
    <w:p w14:paraId="5FB23393" w14:textId="77777777" w:rsidR="00DE1034" w:rsidRPr="00216859" w:rsidRDefault="00DE1034" w:rsidP="00DE1034">
      <w:pPr>
        <w:spacing w:line="360" w:lineRule="auto"/>
        <w:jc w:val="both"/>
        <w:rPr>
          <w:rFonts w:eastAsia="MS Mincho" w:cs="Arial"/>
          <w:sz w:val="24"/>
          <w:szCs w:val="24"/>
          <w:lang w:val="es-ES_tradnl"/>
        </w:rPr>
      </w:pPr>
    </w:p>
    <w:p w14:paraId="6856261A" w14:textId="0A80841B" w:rsidR="00DE1034" w:rsidRPr="00216859" w:rsidRDefault="00DE1034" w:rsidP="00530380">
      <w:pPr>
        <w:spacing w:line="360" w:lineRule="auto"/>
        <w:jc w:val="both"/>
        <w:rPr>
          <w:rFonts w:eastAsia="MS Mincho" w:cs="Arial"/>
          <w:sz w:val="24"/>
          <w:szCs w:val="24"/>
          <w:lang w:val="es-ES_tradnl"/>
        </w:rPr>
      </w:pPr>
      <w:r w:rsidRPr="00216859">
        <w:rPr>
          <w:rFonts w:eastAsia="MS Mincho" w:cs="Arial"/>
          <w:sz w:val="24"/>
          <w:szCs w:val="24"/>
          <w:lang w:val="es-ES_tradnl"/>
        </w:rPr>
        <w:t xml:space="preserve">Por </w:t>
      </w:r>
      <w:r w:rsidR="00996CB9" w:rsidRPr="00216859">
        <w:rPr>
          <w:rFonts w:eastAsia="MS Mincho" w:cs="Arial"/>
          <w:sz w:val="24"/>
          <w:szCs w:val="24"/>
          <w:lang w:val="es-ES_tradnl"/>
        </w:rPr>
        <w:t xml:space="preserve">Secretaría se efectuó el traslado del recurso </w:t>
      </w:r>
      <w:r w:rsidR="00CD6836" w:rsidRPr="00216859">
        <w:rPr>
          <w:rFonts w:eastAsia="MS Mincho" w:cs="Arial"/>
          <w:sz w:val="24"/>
          <w:szCs w:val="24"/>
          <w:lang w:val="es-ES_tradnl"/>
        </w:rPr>
        <w:t xml:space="preserve">en los términos del artículo 110 del CGP </w:t>
      </w:r>
      <w:r w:rsidR="00996CB9" w:rsidRPr="00216859">
        <w:rPr>
          <w:rFonts w:eastAsia="MS Mincho" w:cs="Arial"/>
          <w:sz w:val="24"/>
          <w:szCs w:val="24"/>
          <w:lang w:val="es-ES_tradnl"/>
        </w:rPr>
        <w:t>(índice 37)</w:t>
      </w:r>
      <w:r w:rsidR="00530380" w:rsidRPr="00216859">
        <w:rPr>
          <w:rFonts w:eastAsia="MS Mincho" w:cs="Arial"/>
          <w:sz w:val="24"/>
          <w:szCs w:val="24"/>
          <w:lang w:val="es-ES_tradnl"/>
        </w:rPr>
        <w:t>, dentro del término del traslado no hubo ningún pronunciamiento (índice 38)</w:t>
      </w:r>
      <w:r w:rsidRPr="00216859">
        <w:rPr>
          <w:rFonts w:eastAsia="MS Mincho" w:cs="Arial"/>
          <w:sz w:val="24"/>
          <w:szCs w:val="24"/>
          <w:lang w:val="es-ES_tradnl"/>
        </w:rPr>
        <w:t>.</w:t>
      </w:r>
    </w:p>
    <w:p w14:paraId="38FC4B30" w14:textId="7A46CF73" w:rsidR="00B70710" w:rsidRPr="00216859" w:rsidRDefault="00B70710" w:rsidP="003A170E">
      <w:pPr>
        <w:spacing w:line="360" w:lineRule="auto"/>
        <w:jc w:val="both"/>
        <w:rPr>
          <w:rFonts w:eastAsia="MS Mincho" w:cs="Arial"/>
          <w:sz w:val="24"/>
          <w:szCs w:val="24"/>
          <w:lang w:val="es-ES_tradnl"/>
        </w:rPr>
      </w:pPr>
    </w:p>
    <w:p w14:paraId="41DD3034" w14:textId="77777777" w:rsidR="00B70710" w:rsidRPr="00216859" w:rsidRDefault="00460B94" w:rsidP="00460B94">
      <w:pPr>
        <w:spacing w:line="360" w:lineRule="auto"/>
        <w:ind w:left="360"/>
        <w:jc w:val="center"/>
        <w:rPr>
          <w:rFonts w:eastAsia="MS Mincho" w:cs="Arial"/>
          <w:b/>
          <w:sz w:val="24"/>
          <w:szCs w:val="24"/>
          <w:lang w:val="es-ES_tradnl"/>
        </w:rPr>
      </w:pPr>
      <w:r w:rsidRPr="00216859">
        <w:rPr>
          <w:rFonts w:eastAsia="MS Mincho" w:cs="Arial"/>
          <w:b/>
          <w:sz w:val="24"/>
          <w:szCs w:val="24"/>
          <w:lang w:val="es-ES_tradnl"/>
        </w:rPr>
        <w:t xml:space="preserve">III. </w:t>
      </w:r>
      <w:r w:rsidR="00B70710" w:rsidRPr="00216859">
        <w:rPr>
          <w:rFonts w:eastAsia="MS Mincho" w:cs="Arial"/>
          <w:b/>
          <w:sz w:val="24"/>
          <w:szCs w:val="24"/>
          <w:lang w:val="es-ES_tradnl"/>
        </w:rPr>
        <w:t>CONSIDERACIONES</w:t>
      </w:r>
    </w:p>
    <w:p w14:paraId="5D8F0FEF" w14:textId="77777777" w:rsidR="00B70710" w:rsidRPr="00216859" w:rsidRDefault="00B70710" w:rsidP="00B70710">
      <w:pPr>
        <w:spacing w:line="360" w:lineRule="auto"/>
        <w:rPr>
          <w:rFonts w:eastAsia="MS Mincho" w:cs="Arial"/>
          <w:b/>
          <w:sz w:val="24"/>
          <w:szCs w:val="24"/>
          <w:lang w:val="es-ES_tradnl"/>
        </w:rPr>
      </w:pPr>
    </w:p>
    <w:p w14:paraId="76A56264" w14:textId="65AE5C9B" w:rsidR="00DC7D51" w:rsidRPr="00216859" w:rsidRDefault="00B70710" w:rsidP="00B70710">
      <w:pPr>
        <w:spacing w:line="360" w:lineRule="auto"/>
        <w:jc w:val="both"/>
        <w:rPr>
          <w:rFonts w:eastAsia="MS Mincho" w:cs="Arial"/>
          <w:b/>
          <w:sz w:val="24"/>
          <w:szCs w:val="24"/>
          <w:lang w:val="es-ES_tradnl"/>
        </w:rPr>
      </w:pPr>
      <w:r w:rsidRPr="00216859">
        <w:rPr>
          <w:rFonts w:eastAsia="MS Mincho" w:cs="Arial"/>
          <w:b/>
          <w:sz w:val="24"/>
          <w:szCs w:val="24"/>
          <w:lang w:val="es-ES_tradnl"/>
        </w:rPr>
        <w:t xml:space="preserve">3.1. </w:t>
      </w:r>
      <w:r w:rsidR="00CF25BF" w:rsidRPr="00216859">
        <w:rPr>
          <w:rFonts w:eastAsia="MS Mincho" w:cs="Arial"/>
          <w:b/>
          <w:sz w:val="24"/>
          <w:szCs w:val="24"/>
          <w:lang w:val="es-ES_tradnl"/>
        </w:rPr>
        <w:t xml:space="preserve">De la Oportunidad </w:t>
      </w:r>
      <w:r w:rsidR="00040745" w:rsidRPr="00216859">
        <w:rPr>
          <w:rFonts w:eastAsia="MS Mincho" w:cs="Arial"/>
          <w:b/>
          <w:sz w:val="24"/>
          <w:szCs w:val="24"/>
          <w:lang w:val="es-ES_tradnl"/>
        </w:rPr>
        <w:t>y</w:t>
      </w:r>
      <w:r w:rsidR="00CF25BF" w:rsidRPr="00216859">
        <w:rPr>
          <w:rFonts w:eastAsia="MS Mincho" w:cs="Arial"/>
          <w:b/>
          <w:sz w:val="24"/>
          <w:szCs w:val="24"/>
          <w:lang w:val="es-ES_tradnl"/>
        </w:rPr>
        <w:t xml:space="preserve"> Procedencia </w:t>
      </w:r>
      <w:r w:rsidR="00040745" w:rsidRPr="00216859">
        <w:rPr>
          <w:rFonts w:eastAsia="MS Mincho" w:cs="Arial"/>
          <w:b/>
          <w:sz w:val="24"/>
          <w:szCs w:val="24"/>
          <w:lang w:val="es-ES_tradnl"/>
        </w:rPr>
        <w:t>d</w:t>
      </w:r>
      <w:r w:rsidR="00CF25BF" w:rsidRPr="00216859">
        <w:rPr>
          <w:rFonts w:eastAsia="MS Mincho" w:cs="Arial"/>
          <w:b/>
          <w:sz w:val="24"/>
          <w:szCs w:val="24"/>
          <w:lang w:val="es-ES_tradnl"/>
        </w:rPr>
        <w:t xml:space="preserve">el Recurso </w:t>
      </w:r>
      <w:r w:rsidR="00040745" w:rsidRPr="00216859">
        <w:rPr>
          <w:rFonts w:eastAsia="MS Mincho" w:cs="Arial"/>
          <w:b/>
          <w:sz w:val="24"/>
          <w:szCs w:val="24"/>
          <w:lang w:val="es-ES_tradnl"/>
        </w:rPr>
        <w:t>d</w:t>
      </w:r>
      <w:r w:rsidR="00CF25BF" w:rsidRPr="00216859">
        <w:rPr>
          <w:rFonts w:eastAsia="MS Mincho" w:cs="Arial"/>
          <w:b/>
          <w:sz w:val="24"/>
          <w:szCs w:val="24"/>
          <w:lang w:val="es-ES_tradnl"/>
        </w:rPr>
        <w:t>e Reposición</w:t>
      </w:r>
    </w:p>
    <w:p w14:paraId="7A6469B1" w14:textId="6A326401" w:rsidR="00C23591" w:rsidRPr="00216859" w:rsidRDefault="00C23591" w:rsidP="00B70710">
      <w:pPr>
        <w:spacing w:line="360" w:lineRule="auto"/>
        <w:jc w:val="both"/>
        <w:rPr>
          <w:rFonts w:eastAsia="MS Mincho" w:cs="Arial"/>
          <w:b/>
          <w:sz w:val="24"/>
          <w:szCs w:val="24"/>
          <w:lang w:val="es-ES_tradnl"/>
        </w:rPr>
      </w:pPr>
    </w:p>
    <w:p w14:paraId="5282EFE8" w14:textId="77777777" w:rsidR="00040745" w:rsidRPr="00216859" w:rsidRDefault="00C23591" w:rsidP="00040745">
      <w:pPr>
        <w:overflowPunct/>
        <w:autoSpaceDE/>
        <w:autoSpaceDN/>
        <w:adjustRightInd/>
        <w:spacing w:line="360" w:lineRule="auto"/>
        <w:jc w:val="both"/>
        <w:rPr>
          <w:rFonts w:cs="Arial"/>
          <w:sz w:val="24"/>
          <w:szCs w:val="24"/>
        </w:rPr>
      </w:pPr>
      <w:r w:rsidRPr="00216859">
        <w:rPr>
          <w:rFonts w:cs="Arial"/>
          <w:sz w:val="24"/>
          <w:szCs w:val="24"/>
        </w:rPr>
        <w:lastRenderedPageBreak/>
        <w:t xml:space="preserve">El artículo 242 del C.P.A.C.A., </w:t>
      </w:r>
      <w:r w:rsidR="00040745" w:rsidRPr="00216859">
        <w:rPr>
          <w:rFonts w:cs="Arial"/>
          <w:sz w:val="24"/>
          <w:szCs w:val="24"/>
        </w:rPr>
        <w:t>modificado por el artículo 61 de la Ley 2080 de 2021, señala:</w:t>
      </w:r>
    </w:p>
    <w:p w14:paraId="043A72EC" w14:textId="77777777" w:rsidR="00040745" w:rsidRPr="00216859" w:rsidRDefault="00040745" w:rsidP="00040745">
      <w:pPr>
        <w:overflowPunct/>
        <w:autoSpaceDE/>
        <w:autoSpaceDN/>
        <w:adjustRightInd/>
        <w:spacing w:line="360" w:lineRule="auto"/>
        <w:jc w:val="both"/>
        <w:rPr>
          <w:rFonts w:cs="Arial"/>
          <w:sz w:val="24"/>
          <w:szCs w:val="24"/>
        </w:rPr>
      </w:pPr>
    </w:p>
    <w:p w14:paraId="23651788" w14:textId="515780D4" w:rsidR="00A329DE" w:rsidRPr="00216859" w:rsidRDefault="00040745" w:rsidP="00040745">
      <w:pPr>
        <w:overflowPunct/>
        <w:autoSpaceDE/>
        <w:autoSpaceDN/>
        <w:adjustRightInd/>
        <w:ind w:left="708"/>
        <w:jc w:val="both"/>
        <w:rPr>
          <w:rFonts w:cs="Arial"/>
          <w:i/>
          <w:sz w:val="24"/>
          <w:szCs w:val="24"/>
        </w:rPr>
      </w:pPr>
      <w:r w:rsidRPr="00216859">
        <w:rPr>
          <w:rFonts w:cs="Arial"/>
          <w:i/>
          <w:sz w:val="24"/>
          <w:szCs w:val="24"/>
        </w:rPr>
        <w:t xml:space="preserve">“(…) </w:t>
      </w:r>
      <w:r w:rsidRPr="00216859">
        <w:rPr>
          <w:rFonts w:cs="Arial"/>
          <w:b/>
          <w:i/>
          <w:sz w:val="24"/>
          <w:szCs w:val="24"/>
        </w:rPr>
        <w:t>ARTÍCULO 242. REPOSICIÓN</w:t>
      </w:r>
      <w:r w:rsidRPr="00216859">
        <w:rPr>
          <w:rFonts w:cs="Arial"/>
          <w:i/>
          <w:sz w:val="24"/>
          <w:szCs w:val="24"/>
        </w:rPr>
        <w:t>. El recurso de reposición procede contra todos los autos, salvo norma legal en contrario. En cuanto a su oportunidad y trámite, se aplicará lo dispuesto en el Código General del Proceso. (…)”</w:t>
      </w:r>
    </w:p>
    <w:p w14:paraId="113A7C4B" w14:textId="77777777" w:rsidR="00DC7D51" w:rsidRPr="00216859" w:rsidRDefault="00DC7D51" w:rsidP="00E106D7">
      <w:pPr>
        <w:overflowPunct/>
        <w:autoSpaceDE/>
        <w:autoSpaceDN/>
        <w:adjustRightInd/>
        <w:ind w:left="708"/>
        <w:jc w:val="both"/>
        <w:rPr>
          <w:rFonts w:cs="Arial"/>
          <w:i/>
          <w:sz w:val="24"/>
          <w:szCs w:val="24"/>
        </w:rPr>
      </w:pPr>
    </w:p>
    <w:p w14:paraId="4355EBD6" w14:textId="4A68BE54" w:rsidR="00DC7D51" w:rsidRPr="00216859" w:rsidRDefault="00040745" w:rsidP="00DC7D51">
      <w:pPr>
        <w:spacing w:line="360" w:lineRule="auto"/>
        <w:jc w:val="both"/>
        <w:rPr>
          <w:rFonts w:eastAsia="MS Mincho" w:cs="Arial"/>
          <w:sz w:val="24"/>
          <w:szCs w:val="24"/>
          <w:lang w:val="es-ES_tradnl"/>
        </w:rPr>
      </w:pPr>
      <w:r w:rsidRPr="00216859">
        <w:rPr>
          <w:rFonts w:cs="Arial"/>
          <w:sz w:val="24"/>
          <w:szCs w:val="24"/>
        </w:rPr>
        <w:t>Teniendo en cuenta lo anterior, como la decisión recurrida no se encuentra enlistada dentro de las providencias no susceptibles de recursos (art. 243A CPACA), se concluye que la reposición es procedente</w:t>
      </w:r>
      <w:r w:rsidR="00A329DE" w:rsidRPr="00216859">
        <w:rPr>
          <w:rFonts w:eastAsia="MS Mincho" w:cs="Arial"/>
          <w:sz w:val="24"/>
          <w:szCs w:val="24"/>
          <w:lang w:val="es-ES_tradnl"/>
        </w:rPr>
        <w:t>.</w:t>
      </w:r>
    </w:p>
    <w:p w14:paraId="2F5A67F8" w14:textId="77777777" w:rsidR="001D57FE" w:rsidRPr="00216859" w:rsidRDefault="001D57FE" w:rsidP="00DC7D51">
      <w:pPr>
        <w:spacing w:line="360" w:lineRule="auto"/>
        <w:jc w:val="both"/>
        <w:rPr>
          <w:rFonts w:eastAsia="MS Mincho" w:cs="Arial"/>
          <w:sz w:val="24"/>
          <w:szCs w:val="24"/>
          <w:lang w:val="es-ES_tradnl"/>
        </w:rPr>
      </w:pPr>
    </w:p>
    <w:p w14:paraId="5AC5C447" w14:textId="7882704D" w:rsidR="00040745" w:rsidRPr="00216859" w:rsidRDefault="001D57FE" w:rsidP="00DC7D51">
      <w:pPr>
        <w:spacing w:line="360" w:lineRule="auto"/>
        <w:jc w:val="both"/>
        <w:rPr>
          <w:rFonts w:cs="Arial"/>
          <w:sz w:val="24"/>
          <w:szCs w:val="24"/>
        </w:rPr>
      </w:pPr>
      <w:r w:rsidRPr="00216859">
        <w:rPr>
          <w:rFonts w:cs="Arial"/>
          <w:sz w:val="24"/>
          <w:szCs w:val="24"/>
        </w:rPr>
        <w:t xml:space="preserve">Asimismo, el auto fue notificado por estado electrónico el </w:t>
      </w:r>
      <w:r w:rsidR="00655F4A" w:rsidRPr="00216859">
        <w:rPr>
          <w:rFonts w:cs="Arial"/>
          <w:sz w:val="24"/>
          <w:szCs w:val="24"/>
        </w:rPr>
        <w:t>17</w:t>
      </w:r>
      <w:r w:rsidRPr="00216859">
        <w:rPr>
          <w:rFonts w:cs="Arial"/>
          <w:sz w:val="24"/>
          <w:szCs w:val="24"/>
        </w:rPr>
        <w:t xml:space="preserve"> de </w:t>
      </w:r>
      <w:r w:rsidR="00655F4A" w:rsidRPr="00216859">
        <w:rPr>
          <w:rFonts w:cs="Arial"/>
          <w:sz w:val="24"/>
          <w:szCs w:val="24"/>
        </w:rPr>
        <w:t>mayo</w:t>
      </w:r>
      <w:r w:rsidRPr="00216859">
        <w:rPr>
          <w:rFonts w:cs="Arial"/>
          <w:sz w:val="24"/>
          <w:szCs w:val="24"/>
        </w:rPr>
        <w:t xml:space="preserve"> de 202</w:t>
      </w:r>
      <w:r w:rsidR="00655F4A" w:rsidRPr="00216859">
        <w:rPr>
          <w:rFonts w:cs="Arial"/>
          <w:sz w:val="24"/>
          <w:szCs w:val="24"/>
        </w:rPr>
        <w:t>3</w:t>
      </w:r>
      <w:r w:rsidR="00992281" w:rsidRPr="00216859">
        <w:rPr>
          <w:rFonts w:cs="Arial"/>
          <w:sz w:val="24"/>
          <w:szCs w:val="24"/>
        </w:rPr>
        <w:t xml:space="preserve"> (índice 34)</w:t>
      </w:r>
      <w:r w:rsidRPr="00216859">
        <w:rPr>
          <w:rFonts w:cs="Arial"/>
          <w:sz w:val="24"/>
          <w:szCs w:val="24"/>
        </w:rPr>
        <w:t xml:space="preserve"> y el recurso bajo estudio fue interpuesto el 2</w:t>
      </w:r>
      <w:r w:rsidR="00992281" w:rsidRPr="00216859">
        <w:rPr>
          <w:rFonts w:cs="Arial"/>
          <w:sz w:val="24"/>
          <w:szCs w:val="24"/>
        </w:rPr>
        <w:t>3</w:t>
      </w:r>
      <w:r w:rsidRPr="00216859">
        <w:rPr>
          <w:rFonts w:cs="Arial"/>
          <w:sz w:val="24"/>
          <w:szCs w:val="24"/>
        </w:rPr>
        <w:t xml:space="preserve"> de </w:t>
      </w:r>
      <w:r w:rsidR="00992281" w:rsidRPr="00216859">
        <w:rPr>
          <w:rFonts w:cs="Arial"/>
          <w:sz w:val="24"/>
          <w:szCs w:val="24"/>
        </w:rPr>
        <w:t>may</w:t>
      </w:r>
      <w:r w:rsidRPr="00216859">
        <w:rPr>
          <w:rFonts w:cs="Arial"/>
          <w:sz w:val="24"/>
          <w:szCs w:val="24"/>
        </w:rPr>
        <w:t xml:space="preserve">o del presente año </w:t>
      </w:r>
      <w:r w:rsidR="00992281" w:rsidRPr="00216859">
        <w:rPr>
          <w:rFonts w:cs="Arial"/>
          <w:sz w:val="24"/>
          <w:szCs w:val="24"/>
        </w:rPr>
        <w:t>(índice 35)</w:t>
      </w:r>
      <w:r w:rsidRPr="00216859">
        <w:rPr>
          <w:rFonts w:cs="Arial"/>
          <w:sz w:val="24"/>
          <w:szCs w:val="24"/>
        </w:rPr>
        <w:t>, esto es, dentro del término establecido en el inciso 3º del artículo 318 del CGP.</w:t>
      </w:r>
    </w:p>
    <w:p w14:paraId="449A732C" w14:textId="7995DA90" w:rsidR="00195A17" w:rsidRPr="00216859" w:rsidRDefault="00390DDE" w:rsidP="00B70710">
      <w:pPr>
        <w:spacing w:line="360" w:lineRule="auto"/>
        <w:jc w:val="both"/>
        <w:rPr>
          <w:rFonts w:eastAsia="MS Mincho" w:cs="Arial"/>
          <w:b/>
          <w:sz w:val="24"/>
          <w:szCs w:val="24"/>
          <w:lang w:val="es-ES_tradnl"/>
        </w:rPr>
      </w:pPr>
      <w:r w:rsidRPr="00216859">
        <w:rPr>
          <w:rFonts w:eastAsia="MS Mincho" w:cs="Arial"/>
          <w:b/>
          <w:sz w:val="24"/>
          <w:szCs w:val="24"/>
          <w:lang w:val="es-ES_tradnl"/>
        </w:rPr>
        <w:t xml:space="preserve">3.2. </w:t>
      </w:r>
      <w:r w:rsidR="00CE51DE" w:rsidRPr="00216859">
        <w:rPr>
          <w:rFonts w:eastAsia="MS Mincho" w:cs="Arial"/>
          <w:b/>
          <w:sz w:val="24"/>
          <w:szCs w:val="24"/>
          <w:lang w:val="es-ES_tradnl"/>
        </w:rPr>
        <w:t xml:space="preserve">Estudio del </w:t>
      </w:r>
      <w:r w:rsidRPr="00216859">
        <w:rPr>
          <w:rFonts w:eastAsia="MS Mincho" w:cs="Arial"/>
          <w:b/>
          <w:sz w:val="24"/>
          <w:szCs w:val="24"/>
          <w:lang w:val="es-ES_tradnl"/>
        </w:rPr>
        <w:t>Recurso de Reposición</w:t>
      </w:r>
    </w:p>
    <w:p w14:paraId="04984F0E" w14:textId="77777777" w:rsidR="0081126B" w:rsidRPr="00216859" w:rsidRDefault="0081126B" w:rsidP="00B70710">
      <w:pPr>
        <w:spacing w:line="360" w:lineRule="auto"/>
        <w:jc w:val="both"/>
        <w:rPr>
          <w:rFonts w:eastAsia="MS Mincho" w:cs="Arial"/>
          <w:b/>
          <w:sz w:val="24"/>
          <w:szCs w:val="24"/>
          <w:lang w:val="es-ES_tradnl"/>
        </w:rPr>
      </w:pPr>
    </w:p>
    <w:p w14:paraId="1C253D23" w14:textId="25FA7493" w:rsidR="003B6A9F" w:rsidRPr="00216859" w:rsidRDefault="003B6A9F" w:rsidP="003B6A9F">
      <w:pPr>
        <w:spacing w:line="360" w:lineRule="auto"/>
        <w:jc w:val="both"/>
        <w:rPr>
          <w:rFonts w:eastAsia="MS Mincho" w:cs="Arial"/>
          <w:sz w:val="24"/>
          <w:szCs w:val="24"/>
          <w:lang w:val="es-ES_tradnl"/>
        </w:rPr>
      </w:pPr>
      <w:r w:rsidRPr="00216859">
        <w:rPr>
          <w:rFonts w:eastAsia="MS Mincho" w:cs="Arial"/>
          <w:sz w:val="24"/>
          <w:szCs w:val="24"/>
          <w:lang w:val="es-ES_tradnl"/>
        </w:rPr>
        <w:t>Sobre los criterios de procedencia del decreto de una medida cautelar, el Consejo de Estado, ha sostenido lo siguiente:</w:t>
      </w:r>
    </w:p>
    <w:p w14:paraId="5BA7169E" w14:textId="77777777" w:rsidR="003B6A9F" w:rsidRPr="00216859" w:rsidRDefault="003B6A9F" w:rsidP="003B6A9F">
      <w:pPr>
        <w:spacing w:line="360" w:lineRule="auto"/>
        <w:jc w:val="both"/>
        <w:rPr>
          <w:rFonts w:eastAsia="MS Mincho" w:cs="Arial"/>
          <w:sz w:val="24"/>
          <w:szCs w:val="24"/>
          <w:lang w:val="es-ES_tradnl"/>
        </w:rPr>
      </w:pPr>
    </w:p>
    <w:p w14:paraId="341BA05D" w14:textId="77777777" w:rsidR="003B6A9F" w:rsidRPr="00216859" w:rsidRDefault="003B6A9F" w:rsidP="003B6A9F">
      <w:pPr>
        <w:ind w:left="708"/>
        <w:jc w:val="both"/>
        <w:rPr>
          <w:rFonts w:eastAsia="MS Mincho" w:cs="Arial"/>
          <w:i/>
          <w:sz w:val="24"/>
          <w:szCs w:val="24"/>
          <w:lang w:val="es-ES_tradnl"/>
        </w:rPr>
      </w:pPr>
      <w:r w:rsidRPr="00216859">
        <w:rPr>
          <w:rFonts w:eastAsia="MS Mincho" w:cs="Arial"/>
          <w:i/>
          <w:sz w:val="24"/>
          <w:szCs w:val="24"/>
          <w:lang w:val="es-ES_tradnl"/>
        </w:rPr>
        <w:t xml:space="preserve">“En cuanto a los criterios que debe seguir el juez para determinar la procedencia de una medida cautelar, es preciso reconocer que éste cuenta </w:t>
      </w:r>
      <w:r w:rsidRPr="00216859">
        <w:rPr>
          <w:rFonts w:eastAsia="MS Mincho" w:cs="Arial"/>
          <w:b/>
          <w:bCs/>
          <w:i/>
          <w:sz w:val="24"/>
          <w:szCs w:val="24"/>
          <w:lang w:val="es-ES_tradnl"/>
        </w:rPr>
        <w:t>con una razonada discrecionalidad para adoptarla</w:t>
      </w:r>
      <w:r w:rsidRPr="00216859">
        <w:rPr>
          <w:rFonts w:eastAsia="MS Mincho" w:cs="Arial"/>
          <w:i/>
          <w:sz w:val="24"/>
          <w:szCs w:val="24"/>
          <w:lang w:val="es-ES_tradnl"/>
        </w:rPr>
        <w:t xml:space="preserve">, así como para modular sus efectos en el caso concreto. En este contexto, debe el Juez incorporar en su análisis jurídico la observancia del principio de proporcionalidad como, de hecho, se desprende, además de las exigencias constitucionales y convencionales, de la normativa sobre las medidas cautelares al establecer </w:t>
      </w:r>
      <w:r w:rsidRPr="00216859">
        <w:rPr>
          <w:rFonts w:eastAsia="MS Mincho" w:cs="Arial"/>
          <w:bCs/>
          <w:i/>
          <w:sz w:val="24"/>
          <w:szCs w:val="24"/>
          <w:lang w:val="es-ES_tradnl"/>
        </w:rPr>
        <w:t xml:space="preserve">como uno de los requisitos para el decreto de la cautela que “el demandante haya presentado los documentos, informaciones, argumentos y justificaciones </w:t>
      </w:r>
      <w:r w:rsidRPr="00216859">
        <w:rPr>
          <w:rFonts w:eastAsia="MS Mincho" w:cs="Arial"/>
          <w:i/>
          <w:sz w:val="24"/>
          <w:szCs w:val="24"/>
          <w:lang w:val="es-ES_tradnl"/>
        </w:rPr>
        <w:t>que permitan concluir, mediante un juicio de ponderación de intereses, que resultaría más gravoso negar la medida cautelar que concederla</w:t>
      </w:r>
      <w:r w:rsidRPr="00216859">
        <w:rPr>
          <w:rFonts w:eastAsia="MS Mincho" w:cs="Arial"/>
          <w:bCs/>
          <w:i/>
          <w:sz w:val="24"/>
          <w:szCs w:val="24"/>
          <w:lang w:val="es-ES_tradnl"/>
        </w:rPr>
        <w:t>”(…)</w:t>
      </w:r>
      <w:r w:rsidRPr="00216859">
        <w:rPr>
          <w:rFonts w:eastAsia="MS Mincho" w:cs="Arial"/>
          <w:i/>
          <w:sz w:val="24"/>
          <w:szCs w:val="24"/>
          <w:lang w:val="es-ES_tradnl"/>
        </w:rPr>
        <w:t xml:space="preserve"> hay que decir que ello implica valorar si está justificada la adopción de la medida cautelar para la protección de un derecho en circunstancias de amenaza, en desmedro de la administración. El propio artículo 231 de la Ley 1437 de 2011 da lugar a esta consideración imperativa en el numeral 4 literales a) y b) cuando prescribe como exigencia </w:t>
      </w:r>
    </w:p>
    <w:p w14:paraId="22E3D805" w14:textId="4E7942D5" w:rsidR="003B6A9F" w:rsidRPr="00216859" w:rsidRDefault="003B6A9F" w:rsidP="003B6A9F">
      <w:pPr>
        <w:ind w:left="708"/>
        <w:jc w:val="both"/>
        <w:rPr>
          <w:rFonts w:eastAsia="MS Mincho" w:cs="Arial"/>
          <w:i/>
          <w:sz w:val="24"/>
          <w:szCs w:val="24"/>
          <w:lang w:val="es-ES_tradnl"/>
        </w:rPr>
      </w:pPr>
      <w:r w:rsidRPr="00216859">
        <w:rPr>
          <w:rFonts w:eastAsia="MS Mincho" w:cs="Arial"/>
          <w:i/>
          <w:sz w:val="24"/>
          <w:szCs w:val="24"/>
          <w:lang w:val="es-ES_tradnl"/>
        </w:rPr>
        <w:t xml:space="preserve">Que, adicionalmente, se cumpla con una de las siguientes condiciones: </w:t>
      </w:r>
    </w:p>
    <w:p w14:paraId="19E2EF31" w14:textId="77777777" w:rsidR="003B6A9F" w:rsidRPr="00216859" w:rsidRDefault="003B6A9F" w:rsidP="003B6A9F">
      <w:pPr>
        <w:ind w:left="708"/>
        <w:jc w:val="both"/>
        <w:rPr>
          <w:rFonts w:eastAsia="MS Mincho" w:cs="Arial"/>
          <w:i/>
          <w:sz w:val="24"/>
          <w:szCs w:val="24"/>
          <w:lang w:val="es-ES_tradnl"/>
        </w:rPr>
      </w:pPr>
      <w:r w:rsidRPr="00216859">
        <w:rPr>
          <w:rFonts w:eastAsia="MS Mincho" w:cs="Arial"/>
          <w:i/>
          <w:sz w:val="24"/>
          <w:szCs w:val="24"/>
          <w:lang w:val="es-ES_tradnl"/>
        </w:rPr>
        <w:t>a)</w:t>
      </w:r>
      <w:r w:rsidRPr="00216859">
        <w:rPr>
          <w:rFonts w:eastAsia="MS Mincho" w:cs="Arial"/>
          <w:i/>
          <w:sz w:val="24"/>
          <w:szCs w:val="24"/>
          <w:lang w:val="es-ES_tradnl"/>
        </w:rPr>
        <w:tab/>
      </w:r>
      <w:r w:rsidRPr="00216859">
        <w:rPr>
          <w:rFonts w:eastAsia="MS Mincho" w:cs="Arial"/>
          <w:b/>
          <w:bCs/>
          <w:i/>
          <w:sz w:val="24"/>
          <w:szCs w:val="24"/>
          <w:lang w:val="es-ES_tradnl"/>
        </w:rPr>
        <w:t>Que al no otorgarse la medida se cause un perjuicio irremediable</w:t>
      </w:r>
      <w:r w:rsidRPr="00216859">
        <w:rPr>
          <w:rFonts w:eastAsia="MS Mincho" w:cs="Arial"/>
          <w:i/>
          <w:sz w:val="24"/>
          <w:szCs w:val="24"/>
          <w:lang w:val="es-ES_tradnl"/>
        </w:rPr>
        <w:t xml:space="preserve">, o </w:t>
      </w:r>
    </w:p>
    <w:p w14:paraId="31FEE732" w14:textId="6D37E33E" w:rsidR="003B6A9F" w:rsidRPr="00216859" w:rsidRDefault="003B6A9F" w:rsidP="003B6A9F">
      <w:pPr>
        <w:ind w:left="708"/>
        <w:jc w:val="both"/>
        <w:rPr>
          <w:rFonts w:eastAsia="MS Mincho" w:cs="Arial"/>
          <w:sz w:val="24"/>
          <w:szCs w:val="24"/>
          <w:lang w:val="es-ES_tradnl"/>
        </w:rPr>
      </w:pPr>
      <w:r w:rsidRPr="00216859">
        <w:rPr>
          <w:rFonts w:eastAsia="MS Mincho" w:cs="Arial"/>
          <w:i/>
          <w:sz w:val="24"/>
          <w:szCs w:val="24"/>
          <w:lang w:val="es-ES_tradnl"/>
        </w:rPr>
        <w:t>b)</w:t>
      </w:r>
      <w:r w:rsidRPr="00216859">
        <w:rPr>
          <w:rFonts w:eastAsia="MS Mincho" w:cs="Arial"/>
          <w:i/>
          <w:sz w:val="24"/>
          <w:szCs w:val="24"/>
          <w:lang w:val="es-ES_tradnl"/>
        </w:rPr>
        <w:tab/>
        <w:t>Que existan serios motivos para considerar que de no otorgarse la medida los efectos de la sentencia serían nugatorios”</w:t>
      </w:r>
      <w:r w:rsidR="00317708" w:rsidRPr="00216859">
        <w:rPr>
          <w:rFonts w:eastAsia="MS Mincho" w:cs="Arial"/>
          <w:i/>
          <w:sz w:val="24"/>
          <w:szCs w:val="24"/>
          <w:lang w:val="es-ES_tradnl"/>
        </w:rPr>
        <w:t>.</w:t>
      </w:r>
      <w:r w:rsidRPr="00216859">
        <w:rPr>
          <w:rStyle w:val="Refdenotaalpie"/>
          <w:rFonts w:eastAsia="MS Mincho" w:cs="Arial"/>
          <w:i/>
          <w:sz w:val="24"/>
          <w:szCs w:val="24"/>
          <w:lang w:val="es-ES_tradnl"/>
        </w:rPr>
        <w:footnoteReference w:id="1"/>
      </w:r>
      <w:r w:rsidRPr="00216859">
        <w:rPr>
          <w:rFonts w:eastAsia="MS Mincho" w:cs="Arial"/>
          <w:sz w:val="24"/>
          <w:szCs w:val="24"/>
          <w:lang w:val="es-ES_tradnl"/>
        </w:rPr>
        <w:t xml:space="preserve">  </w:t>
      </w:r>
    </w:p>
    <w:p w14:paraId="47D6F296" w14:textId="77777777" w:rsidR="003B6A9F" w:rsidRPr="00216859" w:rsidRDefault="003B6A9F" w:rsidP="00644757">
      <w:pPr>
        <w:spacing w:line="360" w:lineRule="auto"/>
        <w:jc w:val="both"/>
        <w:rPr>
          <w:rFonts w:eastAsia="MS Mincho" w:cs="Arial"/>
          <w:sz w:val="24"/>
          <w:szCs w:val="24"/>
          <w:lang w:val="es-ES_tradnl"/>
        </w:rPr>
      </w:pPr>
    </w:p>
    <w:p w14:paraId="293B5460" w14:textId="77777777" w:rsidR="006130CC" w:rsidRPr="00216859" w:rsidRDefault="006130CC" w:rsidP="00787AA7">
      <w:pPr>
        <w:spacing w:line="360" w:lineRule="auto"/>
        <w:jc w:val="both"/>
        <w:rPr>
          <w:rFonts w:eastAsia="MS Mincho" w:cs="Arial"/>
          <w:sz w:val="24"/>
          <w:szCs w:val="24"/>
          <w:lang w:val="es-ES_tradnl"/>
        </w:rPr>
      </w:pPr>
    </w:p>
    <w:p w14:paraId="0E0FD4B2" w14:textId="69E43924" w:rsidR="00000CA8" w:rsidRPr="00216859" w:rsidRDefault="00B660B7" w:rsidP="00787AA7">
      <w:pPr>
        <w:spacing w:line="360" w:lineRule="auto"/>
        <w:jc w:val="both"/>
        <w:rPr>
          <w:rFonts w:eastAsia="MS Mincho" w:cs="Arial"/>
          <w:sz w:val="24"/>
          <w:szCs w:val="24"/>
          <w:lang w:val="es-ES_tradnl"/>
        </w:rPr>
      </w:pPr>
      <w:r w:rsidRPr="00216859">
        <w:rPr>
          <w:rFonts w:eastAsia="MS Mincho" w:cs="Arial"/>
          <w:sz w:val="24"/>
          <w:szCs w:val="24"/>
          <w:lang w:val="es-ES_tradnl"/>
        </w:rPr>
        <w:lastRenderedPageBreak/>
        <w:t>En ese sentido, advierte el Despacho</w:t>
      </w:r>
      <w:r w:rsidR="00F0491A" w:rsidRPr="00216859">
        <w:rPr>
          <w:rFonts w:eastAsia="MS Mincho" w:cs="Arial"/>
          <w:sz w:val="24"/>
          <w:szCs w:val="24"/>
          <w:lang w:val="es-ES_tradnl"/>
        </w:rPr>
        <w:t xml:space="preserve"> </w:t>
      </w:r>
      <w:r w:rsidR="00000CA8" w:rsidRPr="00216859">
        <w:rPr>
          <w:rFonts w:eastAsia="MS Mincho" w:cs="Arial"/>
          <w:sz w:val="24"/>
          <w:szCs w:val="24"/>
          <w:lang w:val="es-ES_tradnl"/>
        </w:rPr>
        <w:t>que los argumentos principales a efecto de negar la medida cautelar en la providencia recurrida</w:t>
      </w:r>
      <w:r w:rsidR="002776B0" w:rsidRPr="00216859">
        <w:rPr>
          <w:rFonts w:eastAsia="MS Mincho" w:cs="Arial"/>
          <w:sz w:val="24"/>
          <w:szCs w:val="24"/>
          <w:lang w:val="es-ES_tradnl"/>
        </w:rPr>
        <w:t xml:space="preserve"> -suspensión provisional de los efectos de un acto administrativo-</w:t>
      </w:r>
      <w:r w:rsidR="00000CA8" w:rsidRPr="00216859">
        <w:rPr>
          <w:rFonts w:eastAsia="MS Mincho" w:cs="Arial"/>
          <w:sz w:val="24"/>
          <w:szCs w:val="24"/>
          <w:lang w:val="es-ES_tradnl"/>
        </w:rPr>
        <w:t xml:space="preserve">, estuvieron dados por cuanto </w:t>
      </w:r>
      <w:r w:rsidR="00FD0D22" w:rsidRPr="00216859">
        <w:rPr>
          <w:rFonts w:eastAsia="MS Mincho" w:cs="Arial"/>
          <w:sz w:val="24"/>
          <w:szCs w:val="24"/>
          <w:lang w:val="es-ES_tradnl"/>
        </w:rPr>
        <w:t>la parte demandante no</w:t>
      </w:r>
      <w:r w:rsidR="00E2468D" w:rsidRPr="00216859">
        <w:rPr>
          <w:rFonts w:eastAsia="MS Mincho" w:cs="Arial"/>
          <w:sz w:val="24"/>
          <w:szCs w:val="24"/>
          <w:lang w:val="es-ES_tradnl"/>
        </w:rPr>
        <w:t xml:space="preserve"> acr</w:t>
      </w:r>
      <w:r w:rsidR="00656607" w:rsidRPr="00216859">
        <w:rPr>
          <w:rFonts w:eastAsia="MS Mincho" w:cs="Arial"/>
          <w:sz w:val="24"/>
          <w:szCs w:val="24"/>
          <w:lang w:val="es-ES_tradnl"/>
        </w:rPr>
        <w:t>edit</w:t>
      </w:r>
      <w:r w:rsidR="00E2468D" w:rsidRPr="00216859">
        <w:rPr>
          <w:rFonts w:eastAsia="MS Mincho" w:cs="Arial"/>
          <w:sz w:val="24"/>
          <w:szCs w:val="24"/>
          <w:lang w:val="es-ES_tradnl"/>
        </w:rPr>
        <w:t>ó</w:t>
      </w:r>
      <w:r w:rsidR="00656607" w:rsidRPr="00216859">
        <w:rPr>
          <w:rFonts w:eastAsia="MS Mincho" w:cs="Arial"/>
          <w:sz w:val="24"/>
          <w:szCs w:val="24"/>
          <w:lang w:val="es-ES_tradnl"/>
        </w:rPr>
        <w:t xml:space="preserve"> </w:t>
      </w:r>
      <w:r w:rsidR="00985ADB" w:rsidRPr="00216859">
        <w:rPr>
          <w:rFonts w:eastAsia="MS Mincho" w:cs="Arial"/>
          <w:sz w:val="24"/>
          <w:szCs w:val="24"/>
          <w:lang w:val="es-ES_tradnl"/>
        </w:rPr>
        <w:t>la existencia de un perjuicio irremediable, conforme lo exige el inciso 1 del artículo 231 del CPACA</w:t>
      </w:r>
      <w:r w:rsidR="00FD0D22" w:rsidRPr="00216859">
        <w:rPr>
          <w:rFonts w:eastAsia="MS Mincho" w:cs="Arial"/>
          <w:sz w:val="24"/>
          <w:szCs w:val="24"/>
          <w:lang w:val="es-ES_tradnl"/>
        </w:rPr>
        <w:t>, para aquellos eventos en los cuales se persigue el restablecimiento del derecho como consecuencia de la declaratoria de nulidad de los actos enjuiciados.</w:t>
      </w:r>
    </w:p>
    <w:p w14:paraId="7370FE67" w14:textId="50DCBDF0" w:rsidR="001C70FB" w:rsidRPr="00216859" w:rsidRDefault="001C70FB" w:rsidP="00787AA7">
      <w:pPr>
        <w:spacing w:line="360" w:lineRule="auto"/>
        <w:jc w:val="both"/>
        <w:rPr>
          <w:rFonts w:eastAsia="MS Mincho" w:cs="Arial"/>
          <w:sz w:val="24"/>
          <w:szCs w:val="24"/>
          <w:lang w:val="es-ES_tradnl"/>
        </w:rPr>
      </w:pPr>
    </w:p>
    <w:p w14:paraId="2F3C8E66" w14:textId="03EF81DD" w:rsidR="001C70FB" w:rsidRPr="00216859" w:rsidRDefault="00147443" w:rsidP="001C70FB">
      <w:pPr>
        <w:spacing w:line="360" w:lineRule="auto"/>
        <w:jc w:val="both"/>
        <w:rPr>
          <w:rFonts w:eastAsia="MS Mincho" w:cs="Arial"/>
          <w:sz w:val="24"/>
          <w:szCs w:val="24"/>
          <w:lang w:val="es-ES_tradnl"/>
        </w:rPr>
      </w:pPr>
      <w:r w:rsidRPr="00216859">
        <w:rPr>
          <w:rFonts w:eastAsia="MS Mincho" w:cs="Arial"/>
          <w:sz w:val="24"/>
          <w:szCs w:val="24"/>
          <w:lang w:val="es-ES_tradnl"/>
        </w:rPr>
        <w:t xml:space="preserve">Es así que </w:t>
      </w:r>
      <w:r w:rsidR="001C70FB" w:rsidRPr="00216859">
        <w:rPr>
          <w:rFonts w:eastAsia="MS Mincho" w:cs="Arial"/>
          <w:sz w:val="24"/>
          <w:szCs w:val="24"/>
          <w:lang w:val="es-ES_tradnl"/>
        </w:rPr>
        <w:t>el Consejo de Estado ha considerado que en esta clase de litigios</w:t>
      </w:r>
      <w:r w:rsidRPr="00216859">
        <w:rPr>
          <w:rFonts w:eastAsia="MS Mincho" w:cs="Arial"/>
          <w:sz w:val="24"/>
          <w:szCs w:val="24"/>
          <w:lang w:val="es-ES_tradnl"/>
        </w:rPr>
        <w:t xml:space="preserve"> </w:t>
      </w:r>
      <w:r w:rsidR="001C70FB" w:rsidRPr="00216859">
        <w:rPr>
          <w:rFonts w:eastAsia="MS Mincho" w:cs="Arial"/>
          <w:sz w:val="24"/>
          <w:szCs w:val="24"/>
          <w:lang w:val="es-ES_tradnl"/>
        </w:rPr>
        <w:t>se debe demostrar, al menos de forma sumaria, la existencia de un perjuicio real y serio</w:t>
      </w:r>
      <w:r w:rsidR="00813EBA" w:rsidRPr="00216859">
        <w:rPr>
          <w:rFonts w:eastAsia="MS Mincho" w:cs="Arial"/>
          <w:sz w:val="24"/>
          <w:szCs w:val="24"/>
          <w:lang w:val="es-ES_tradnl"/>
        </w:rPr>
        <w:t>, acreditado con un elemento probatorio que lo represente de manera suficiente, completa y fidedigna</w:t>
      </w:r>
      <w:r w:rsidR="00EA5010" w:rsidRPr="00216859">
        <w:rPr>
          <w:rStyle w:val="Refdenotaalpie"/>
          <w:rFonts w:eastAsia="MS Mincho" w:cs="Arial"/>
          <w:sz w:val="24"/>
          <w:szCs w:val="24"/>
          <w:lang w:val="es-ES_tradnl"/>
        </w:rPr>
        <w:footnoteReference w:id="2"/>
      </w:r>
      <w:r w:rsidR="00EA5010" w:rsidRPr="00216859">
        <w:rPr>
          <w:rFonts w:eastAsia="MS Mincho" w:cs="Arial"/>
          <w:sz w:val="24"/>
          <w:szCs w:val="24"/>
          <w:lang w:val="es-ES_tradnl"/>
        </w:rPr>
        <w:t>.</w:t>
      </w:r>
    </w:p>
    <w:p w14:paraId="5FACD18A" w14:textId="44AC605D" w:rsidR="00EA5010" w:rsidRPr="00216859" w:rsidRDefault="00EA5010" w:rsidP="001C70FB">
      <w:pPr>
        <w:spacing w:line="360" w:lineRule="auto"/>
        <w:jc w:val="both"/>
        <w:rPr>
          <w:rFonts w:eastAsia="MS Mincho" w:cs="Arial"/>
          <w:sz w:val="24"/>
          <w:szCs w:val="24"/>
          <w:lang w:val="es-ES_tradnl"/>
        </w:rPr>
      </w:pPr>
    </w:p>
    <w:p w14:paraId="7031C18B" w14:textId="19525077" w:rsidR="00ED736A" w:rsidRPr="00216859" w:rsidRDefault="000D7342" w:rsidP="001F15ED">
      <w:pPr>
        <w:spacing w:line="360" w:lineRule="auto"/>
        <w:jc w:val="both"/>
        <w:rPr>
          <w:rFonts w:eastAsia="MS Mincho" w:cs="Arial"/>
          <w:sz w:val="24"/>
          <w:szCs w:val="24"/>
          <w:lang w:val="es-ES_tradnl"/>
        </w:rPr>
      </w:pPr>
      <w:r w:rsidRPr="00216859">
        <w:rPr>
          <w:rFonts w:eastAsia="MS Mincho" w:cs="Arial"/>
          <w:sz w:val="24"/>
          <w:szCs w:val="24"/>
          <w:lang w:val="es-ES_tradnl"/>
        </w:rPr>
        <w:t xml:space="preserve">Ahora bien, </w:t>
      </w:r>
      <w:r w:rsidR="00224CBB" w:rsidRPr="00216859">
        <w:rPr>
          <w:rFonts w:eastAsia="MS Mincho" w:cs="Arial"/>
          <w:sz w:val="24"/>
          <w:szCs w:val="24"/>
          <w:lang w:val="es-ES_tradnl"/>
        </w:rPr>
        <w:t>en</w:t>
      </w:r>
      <w:r w:rsidR="00735008" w:rsidRPr="00216859">
        <w:rPr>
          <w:rFonts w:eastAsia="MS Mincho" w:cs="Arial"/>
          <w:sz w:val="24"/>
          <w:szCs w:val="24"/>
          <w:lang w:val="es-ES_tradnl"/>
        </w:rPr>
        <w:t xml:space="preserve"> la demanda y </w:t>
      </w:r>
      <w:r w:rsidR="00224CBB" w:rsidRPr="00216859">
        <w:rPr>
          <w:rFonts w:eastAsia="MS Mincho" w:cs="Arial"/>
          <w:sz w:val="24"/>
          <w:szCs w:val="24"/>
          <w:lang w:val="es-ES_tradnl"/>
        </w:rPr>
        <w:t>en la solicitud de cautela</w:t>
      </w:r>
      <w:r w:rsidR="00735008" w:rsidRPr="00216859">
        <w:rPr>
          <w:rFonts w:eastAsia="MS Mincho" w:cs="Arial"/>
          <w:sz w:val="24"/>
          <w:szCs w:val="24"/>
          <w:lang w:val="es-ES_tradnl"/>
        </w:rPr>
        <w:t xml:space="preserve"> </w:t>
      </w:r>
      <w:r w:rsidR="006663E6" w:rsidRPr="00216859">
        <w:rPr>
          <w:rFonts w:eastAsia="MS Mincho" w:cs="Arial"/>
          <w:sz w:val="24"/>
          <w:szCs w:val="24"/>
          <w:lang w:val="es-ES_tradnl"/>
        </w:rPr>
        <w:t xml:space="preserve">en cuanto al “perjuicio irremediable” </w:t>
      </w:r>
      <w:r w:rsidR="00F31C76" w:rsidRPr="00216859">
        <w:rPr>
          <w:rFonts w:eastAsia="MS Mincho" w:cs="Arial"/>
          <w:sz w:val="24"/>
          <w:szCs w:val="24"/>
          <w:lang w:val="es-ES_tradnl"/>
        </w:rPr>
        <w:t xml:space="preserve">ocasionado a la demandante, </w:t>
      </w:r>
      <w:r w:rsidR="006663E6" w:rsidRPr="00216859">
        <w:rPr>
          <w:rFonts w:eastAsia="MS Mincho" w:cs="Arial"/>
          <w:sz w:val="24"/>
          <w:szCs w:val="24"/>
          <w:lang w:val="es-ES_tradnl"/>
        </w:rPr>
        <w:t xml:space="preserve">se </w:t>
      </w:r>
      <w:r w:rsidR="0082113E" w:rsidRPr="00216859">
        <w:rPr>
          <w:rFonts w:eastAsia="MS Mincho" w:cs="Arial"/>
          <w:sz w:val="24"/>
          <w:szCs w:val="24"/>
          <w:lang w:val="es-ES_tradnl"/>
        </w:rPr>
        <w:t>limitó a afirmar</w:t>
      </w:r>
      <w:r w:rsidR="006663E6" w:rsidRPr="00216859">
        <w:rPr>
          <w:rFonts w:eastAsia="MS Mincho" w:cs="Arial"/>
          <w:sz w:val="24"/>
          <w:szCs w:val="24"/>
          <w:lang w:val="es-ES_tradnl"/>
        </w:rPr>
        <w:t xml:space="preserve"> que este se causa ya que </w:t>
      </w:r>
      <w:r w:rsidR="00735008" w:rsidRPr="00216859">
        <w:rPr>
          <w:rFonts w:eastAsia="MS Mincho" w:cs="Arial"/>
          <w:sz w:val="24"/>
          <w:szCs w:val="24"/>
          <w:lang w:val="es-ES_tradnl"/>
        </w:rPr>
        <w:t>con la destitución e inhabilidad ordenada</w:t>
      </w:r>
      <w:r w:rsidR="00F31C76" w:rsidRPr="00216859">
        <w:rPr>
          <w:rFonts w:eastAsia="MS Mincho" w:cs="Arial"/>
          <w:sz w:val="24"/>
          <w:szCs w:val="24"/>
          <w:lang w:val="es-ES_tradnl"/>
        </w:rPr>
        <w:t xml:space="preserve"> en los actos administrativos demandado se</w:t>
      </w:r>
      <w:r w:rsidR="00735008" w:rsidRPr="00216859">
        <w:rPr>
          <w:rFonts w:eastAsia="MS Mincho" w:cs="Arial"/>
          <w:sz w:val="24"/>
          <w:szCs w:val="24"/>
          <w:lang w:val="es-ES_tradnl"/>
        </w:rPr>
        <w:t xml:space="preserve"> afecta su derecho al mínimo vital y móvil, el derecho al trabajo, a obtener una remuneración por </w:t>
      </w:r>
      <w:r w:rsidR="00270903" w:rsidRPr="00216859">
        <w:rPr>
          <w:rFonts w:eastAsia="MS Mincho" w:cs="Arial"/>
          <w:sz w:val="24"/>
          <w:szCs w:val="24"/>
          <w:lang w:val="es-ES_tradnl"/>
        </w:rPr>
        <w:t>este</w:t>
      </w:r>
      <w:r w:rsidR="00735008" w:rsidRPr="00216859">
        <w:rPr>
          <w:rFonts w:eastAsia="MS Mincho" w:cs="Arial"/>
          <w:sz w:val="24"/>
          <w:szCs w:val="24"/>
          <w:lang w:val="es-ES_tradnl"/>
        </w:rPr>
        <w:t xml:space="preserve"> y a su patrimonio</w:t>
      </w:r>
      <w:r w:rsidR="00F31C76" w:rsidRPr="00216859">
        <w:rPr>
          <w:rFonts w:eastAsia="MS Mincho" w:cs="Arial"/>
          <w:sz w:val="24"/>
          <w:szCs w:val="24"/>
          <w:lang w:val="es-ES_tradnl"/>
        </w:rPr>
        <w:t xml:space="preserve">. </w:t>
      </w:r>
    </w:p>
    <w:p w14:paraId="4C7A3D28" w14:textId="77777777" w:rsidR="00ED736A" w:rsidRPr="00216859" w:rsidRDefault="00ED736A" w:rsidP="001F15ED">
      <w:pPr>
        <w:spacing w:line="360" w:lineRule="auto"/>
        <w:jc w:val="both"/>
        <w:rPr>
          <w:rFonts w:eastAsia="MS Mincho" w:cs="Arial"/>
          <w:sz w:val="24"/>
          <w:szCs w:val="24"/>
          <w:lang w:val="es-ES_tradnl"/>
        </w:rPr>
      </w:pPr>
    </w:p>
    <w:p w14:paraId="637EABB3" w14:textId="08013D1C" w:rsidR="001F15ED" w:rsidRPr="00216859" w:rsidRDefault="00F31C76" w:rsidP="001F15ED">
      <w:pPr>
        <w:spacing w:line="360" w:lineRule="auto"/>
        <w:jc w:val="both"/>
        <w:rPr>
          <w:rFonts w:eastAsia="MS Mincho" w:cs="Arial"/>
          <w:sz w:val="24"/>
          <w:szCs w:val="24"/>
          <w:lang w:val="es-ES_tradnl"/>
        </w:rPr>
      </w:pPr>
      <w:r w:rsidRPr="00216859">
        <w:rPr>
          <w:rFonts w:eastAsia="MS Mincho" w:cs="Arial"/>
          <w:sz w:val="24"/>
          <w:szCs w:val="24"/>
          <w:lang w:val="es-ES_tradnl"/>
        </w:rPr>
        <w:t xml:space="preserve">Por su parte, en el recurso que ahora se estudia, </w:t>
      </w:r>
      <w:r w:rsidR="007C203B" w:rsidRPr="00216859">
        <w:rPr>
          <w:rFonts w:eastAsia="MS Mincho" w:cs="Arial"/>
          <w:b/>
          <w:sz w:val="24"/>
          <w:szCs w:val="24"/>
          <w:lang w:val="es-ES_tradnl"/>
        </w:rPr>
        <w:t>como argumentos nuevos</w:t>
      </w:r>
      <w:r w:rsidR="007C203B" w:rsidRPr="00216859">
        <w:rPr>
          <w:rFonts w:eastAsia="MS Mincho" w:cs="Arial"/>
          <w:sz w:val="24"/>
          <w:szCs w:val="24"/>
          <w:lang w:val="es-ES_tradnl"/>
        </w:rPr>
        <w:t xml:space="preserve">, </w:t>
      </w:r>
      <w:r w:rsidRPr="00216859">
        <w:rPr>
          <w:rFonts w:eastAsia="MS Mincho" w:cs="Arial"/>
          <w:sz w:val="24"/>
          <w:szCs w:val="24"/>
          <w:lang w:val="es-ES_tradnl"/>
        </w:rPr>
        <w:t>señaló la parte demandante que el</w:t>
      </w:r>
      <w:r w:rsidR="007C203B" w:rsidRPr="00216859">
        <w:rPr>
          <w:rFonts w:eastAsia="MS Mincho" w:cs="Arial"/>
          <w:sz w:val="24"/>
          <w:szCs w:val="24"/>
          <w:lang w:val="es-ES_tradnl"/>
        </w:rPr>
        <w:t xml:space="preserve"> perjuicio</w:t>
      </w:r>
      <w:r w:rsidR="00B433E7" w:rsidRPr="00216859">
        <w:rPr>
          <w:rFonts w:eastAsia="MS Mincho" w:cs="Arial"/>
          <w:sz w:val="24"/>
          <w:szCs w:val="24"/>
          <w:lang w:val="es-ES_tradnl"/>
        </w:rPr>
        <w:t xml:space="preserve"> surge de la misma inhabilidad</w:t>
      </w:r>
      <w:r w:rsidR="001F15ED" w:rsidRPr="00216859">
        <w:rPr>
          <w:rFonts w:eastAsia="MS Mincho" w:cs="Arial"/>
          <w:sz w:val="24"/>
          <w:szCs w:val="24"/>
          <w:lang w:val="es-ES_tradnl"/>
        </w:rPr>
        <w:t xml:space="preserve">, </w:t>
      </w:r>
      <w:r w:rsidR="00B812B7" w:rsidRPr="00216859">
        <w:rPr>
          <w:rFonts w:eastAsia="MS Mincho" w:cs="Arial"/>
          <w:sz w:val="24"/>
          <w:szCs w:val="24"/>
          <w:lang w:val="es-ES_tradnl"/>
        </w:rPr>
        <w:t xml:space="preserve">ya que la </w:t>
      </w:r>
      <w:r w:rsidR="00E16504" w:rsidRPr="00216859">
        <w:rPr>
          <w:rFonts w:eastAsia="MS Mincho" w:cs="Arial"/>
          <w:sz w:val="24"/>
          <w:szCs w:val="24"/>
          <w:lang w:val="es-ES_tradnl"/>
        </w:rPr>
        <w:t xml:space="preserve">demandante en calidad de representante legal de la </w:t>
      </w:r>
      <w:r w:rsidR="00B812B7" w:rsidRPr="00216859">
        <w:rPr>
          <w:rFonts w:eastAsia="MS Mincho" w:cs="Arial"/>
          <w:sz w:val="24"/>
          <w:szCs w:val="24"/>
          <w:lang w:val="es-ES_tradnl"/>
        </w:rPr>
        <w:t xml:space="preserve">Asociación Sociedad San Vicente de Paul de Tunja (sin ánimo de lucro) </w:t>
      </w:r>
      <w:r w:rsidR="00E16504" w:rsidRPr="00216859">
        <w:rPr>
          <w:rFonts w:eastAsia="MS Mincho" w:cs="Arial"/>
          <w:sz w:val="24"/>
          <w:szCs w:val="24"/>
          <w:lang w:val="es-ES_tradnl"/>
        </w:rPr>
        <w:t>no puede</w:t>
      </w:r>
      <w:r w:rsidR="001F15ED" w:rsidRPr="00216859">
        <w:rPr>
          <w:rFonts w:eastAsia="MS Mincho" w:cs="Arial"/>
          <w:sz w:val="24"/>
          <w:szCs w:val="24"/>
          <w:lang w:val="es-ES_tradnl"/>
        </w:rPr>
        <w:t xml:space="preserve"> suscribir contratos o convenios con entidades públicas, </w:t>
      </w:r>
      <w:r w:rsidR="000E29A3" w:rsidRPr="00216859">
        <w:rPr>
          <w:rFonts w:eastAsia="MS Mincho" w:cs="Arial"/>
          <w:sz w:val="24"/>
          <w:szCs w:val="24"/>
          <w:lang w:val="es-ES_tradnl"/>
        </w:rPr>
        <w:t>no puede</w:t>
      </w:r>
      <w:r w:rsidR="00965B8B" w:rsidRPr="00216859">
        <w:rPr>
          <w:rFonts w:eastAsia="MS Mincho" w:cs="Arial"/>
          <w:sz w:val="24"/>
          <w:szCs w:val="24"/>
          <w:lang w:val="es-ES_tradnl"/>
        </w:rPr>
        <w:t xml:space="preserve"> </w:t>
      </w:r>
      <w:r w:rsidR="001F15ED" w:rsidRPr="00216859">
        <w:rPr>
          <w:rFonts w:eastAsia="MS Mincho" w:cs="Arial"/>
          <w:sz w:val="24"/>
          <w:szCs w:val="24"/>
          <w:lang w:val="es-ES_tradnl"/>
        </w:rPr>
        <w:t>desarrollar actividades productivas hasta la edad de retiro forzoso</w:t>
      </w:r>
      <w:r w:rsidR="005D6CF4" w:rsidRPr="00216859">
        <w:rPr>
          <w:rFonts w:eastAsia="MS Mincho" w:cs="Arial"/>
          <w:sz w:val="24"/>
          <w:szCs w:val="24"/>
          <w:lang w:val="es-ES_tradnl"/>
        </w:rPr>
        <w:t xml:space="preserve">, </w:t>
      </w:r>
      <w:r w:rsidR="000E29A3" w:rsidRPr="00216859">
        <w:rPr>
          <w:rFonts w:eastAsia="MS Mincho" w:cs="Arial"/>
          <w:sz w:val="24"/>
          <w:szCs w:val="24"/>
          <w:lang w:val="es-ES_tradnl"/>
        </w:rPr>
        <w:t>se le afecta</w:t>
      </w:r>
      <w:r w:rsidR="007F5775" w:rsidRPr="00216859">
        <w:rPr>
          <w:rFonts w:eastAsia="MS Mincho" w:cs="Arial"/>
          <w:sz w:val="24"/>
          <w:szCs w:val="24"/>
          <w:lang w:val="es-ES_tradnl"/>
        </w:rPr>
        <w:t xml:space="preserve"> su </w:t>
      </w:r>
      <w:r w:rsidR="005D6CF4" w:rsidRPr="00216859">
        <w:rPr>
          <w:rFonts w:eastAsia="MS Mincho" w:cs="Arial"/>
          <w:sz w:val="24"/>
          <w:szCs w:val="24"/>
          <w:lang w:val="es-ES_tradnl"/>
        </w:rPr>
        <w:t xml:space="preserve"> buen nombre y honra </w:t>
      </w:r>
      <w:r w:rsidR="007F5775" w:rsidRPr="00216859">
        <w:rPr>
          <w:rFonts w:eastAsia="MS Mincho" w:cs="Arial"/>
          <w:sz w:val="24"/>
          <w:szCs w:val="24"/>
          <w:lang w:val="es-ES_tradnl"/>
        </w:rPr>
        <w:t>y</w:t>
      </w:r>
      <w:r w:rsidR="005D6CF4" w:rsidRPr="00216859">
        <w:rPr>
          <w:rFonts w:eastAsia="MS Mincho" w:cs="Arial"/>
          <w:sz w:val="24"/>
          <w:szCs w:val="24"/>
          <w:lang w:val="es-ES_tradnl"/>
        </w:rPr>
        <w:t xml:space="preserve"> su derecho a la libertad de escoger su profesión y oficio</w:t>
      </w:r>
      <w:r w:rsidR="007F5775" w:rsidRPr="00216859">
        <w:rPr>
          <w:rFonts w:eastAsia="MS Mincho" w:cs="Arial"/>
          <w:sz w:val="24"/>
          <w:szCs w:val="24"/>
          <w:lang w:val="es-ES_tradnl"/>
        </w:rPr>
        <w:t>,</w:t>
      </w:r>
      <w:r w:rsidR="00030829" w:rsidRPr="00216859">
        <w:rPr>
          <w:rFonts w:eastAsia="MS Mincho" w:cs="Arial"/>
          <w:sz w:val="24"/>
          <w:szCs w:val="24"/>
          <w:lang w:val="es-ES_tradnl"/>
        </w:rPr>
        <w:t xml:space="preserve"> </w:t>
      </w:r>
      <w:r w:rsidR="00030829" w:rsidRPr="00216859">
        <w:rPr>
          <w:rFonts w:eastAsia="MS Mincho" w:cs="Arial"/>
          <w:b/>
          <w:sz w:val="24"/>
          <w:szCs w:val="24"/>
          <w:lang w:val="es-ES_tradnl"/>
        </w:rPr>
        <w:t>situaciones</w:t>
      </w:r>
      <w:r w:rsidR="007F5775" w:rsidRPr="00216859">
        <w:rPr>
          <w:rFonts w:eastAsia="MS Mincho" w:cs="Arial"/>
          <w:b/>
          <w:sz w:val="24"/>
          <w:szCs w:val="24"/>
          <w:lang w:val="es-ES_tradnl"/>
        </w:rPr>
        <w:t xml:space="preserve"> que le impide</w:t>
      </w:r>
      <w:r w:rsidR="00030829" w:rsidRPr="00216859">
        <w:rPr>
          <w:rFonts w:eastAsia="MS Mincho" w:cs="Arial"/>
          <w:b/>
          <w:sz w:val="24"/>
          <w:szCs w:val="24"/>
          <w:lang w:val="es-ES_tradnl"/>
        </w:rPr>
        <w:t>n</w:t>
      </w:r>
      <w:r w:rsidR="007F5775" w:rsidRPr="00216859">
        <w:rPr>
          <w:rFonts w:eastAsia="MS Mincho" w:cs="Arial"/>
          <w:b/>
          <w:sz w:val="24"/>
          <w:szCs w:val="24"/>
          <w:lang w:val="es-ES_tradnl"/>
        </w:rPr>
        <w:t xml:space="preserve"> obtener ingresos para satisfacer su mínimo vital y el de su núcleo familiar</w:t>
      </w:r>
      <w:r w:rsidR="007F5775" w:rsidRPr="00216859">
        <w:rPr>
          <w:rFonts w:eastAsia="MS Mincho" w:cs="Arial"/>
          <w:sz w:val="24"/>
          <w:szCs w:val="24"/>
          <w:lang w:val="es-ES_tradnl"/>
        </w:rPr>
        <w:t>.</w:t>
      </w:r>
    </w:p>
    <w:p w14:paraId="0D8DD636" w14:textId="77777777" w:rsidR="001F15ED" w:rsidRPr="00216859" w:rsidRDefault="001F15ED" w:rsidP="001F15ED">
      <w:pPr>
        <w:spacing w:line="360" w:lineRule="auto"/>
        <w:jc w:val="both"/>
        <w:rPr>
          <w:rFonts w:eastAsia="MS Mincho" w:cs="Arial"/>
          <w:sz w:val="24"/>
          <w:szCs w:val="24"/>
          <w:lang w:val="es-ES_tradnl"/>
        </w:rPr>
      </w:pPr>
    </w:p>
    <w:p w14:paraId="23F9A7E7" w14:textId="2A4DDCDF" w:rsidR="00735008" w:rsidRPr="00216859" w:rsidRDefault="009C4D58" w:rsidP="001F15ED">
      <w:pPr>
        <w:spacing w:line="360" w:lineRule="auto"/>
        <w:jc w:val="both"/>
        <w:rPr>
          <w:rFonts w:eastAsia="MS Mincho" w:cs="Arial"/>
          <w:sz w:val="24"/>
          <w:szCs w:val="24"/>
          <w:lang w:val="es-ES_tradnl"/>
        </w:rPr>
      </w:pPr>
      <w:r w:rsidRPr="00216859">
        <w:rPr>
          <w:rFonts w:eastAsia="MS Mincho" w:cs="Arial"/>
          <w:sz w:val="24"/>
          <w:szCs w:val="24"/>
          <w:lang w:val="es-ES_tradnl"/>
        </w:rPr>
        <w:t xml:space="preserve">Así las cosas, la simple aseveración de un perjuicio no hace procedente la medida cautelar de suspensión de efectos de un acto administrativo, </w:t>
      </w:r>
      <w:r w:rsidR="00DA4A40" w:rsidRPr="00216859">
        <w:rPr>
          <w:rFonts w:eastAsia="MS Mincho" w:cs="Arial"/>
          <w:sz w:val="24"/>
          <w:szCs w:val="24"/>
          <w:lang w:val="es-ES_tradnl"/>
        </w:rPr>
        <w:t>sino que, c</w:t>
      </w:r>
      <w:r w:rsidR="00ED736A" w:rsidRPr="00216859">
        <w:rPr>
          <w:rFonts w:eastAsia="MS Mincho" w:cs="Arial"/>
          <w:sz w:val="24"/>
          <w:szCs w:val="24"/>
          <w:lang w:val="es-ES_tradnl"/>
        </w:rPr>
        <w:t xml:space="preserve">onforme se mencionó en precedencia, </w:t>
      </w:r>
      <w:r w:rsidR="00DA4A40" w:rsidRPr="00216859">
        <w:rPr>
          <w:rFonts w:eastAsia="MS Mincho" w:cs="Arial"/>
          <w:sz w:val="24"/>
          <w:szCs w:val="24"/>
          <w:lang w:val="es-ES_tradnl"/>
        </w:rPr>
        <w:t xml:space="preserve">es necesario que </w:t>
      </w:r>
      <w:r w:rsidR="00151D8F" w:rsidRPr="00216859">
        <w:rPr>
          <w:rFonts w:eastAsia="MS Mincho" w:cs="Arial"/>
          <w:sz w:val="24"/>
          <w:szCs w:val="24"/>
          <w:lang w:val="es-ES_tradnl"/>
        </w:rPr>
        <w:t xml:space="preserve">lo aducido se pruebe sumariamente </w:t>
      </w:r>
      <w:r w:rsidR="00FD50E2" w:rsidRPr="00216859">
        <w:rPr>
          <w:rFonts w:eastAsia="MS Mincho" w:cs="Arial"/>
          <w:sz w:val="24"/>
          <w:szCs w:val="24"/>
          <w:lang w:val="es-ES_tradnl"/>
        </w:rPr>
        <w:t>de manera que el</w:t>
      </w:r>
      <w:r w:rsidR="00151D8F" w:rsidRPr="00216859">
        <w:rPr>
          <w:rFonts w:eastAsia="MS Mincho" w:cs="Arial"/>
          <w:sz w:val="24"/>
          <w:szCs w:val="24"/>
          <w:lang w:val="es-ES_tradnl"/>
        </w:rPr>
        <w:t xml:space="preserve"> juzgador </w:t>
      </w:r>
      <w:r w:rsidR="004F4A92" w:rsidRPr="00216859">
        <w:rPr>
          <w:rFonts w:eastAsia="MS Mincho" w:cs="Arial"/>
          <w:sz w:val="24"/>
          <w:szCs w:val="24"/>
          <w:lang w:val="es-ES_tradnl"/>
        </w:rPr>
        <w:t>evidenci</w:t>
      </w:r>
      <w:r w:rsidR="00FD50E2" w:rsidRPr="00216859">
        <w:rPr>
          <w:rFonts w:eastAsia="MS Mincho" w:cs="Arial"/>
          <w:sz w:val="24"/>
          <w:szCs w:val="24"/>
          <w:lang w:val="es-ES_tradnl"/>
        </w:rPr>
        <w:t>e</w:t>
      </w:r>
      <w:r w:rsidR="004F4A92" w:rsidRPr="00216859">
        <w:rPr>
          <w:rFonts w:eastAsia="MS Mincho" w:cs="Arial"/>
          <w:sz w:val="24"/>
          <w:szCs w:val="24"/>
          <w:lang w:val="es-ES_tradnl"/>
        </w:rPr>
        <w:t xml:space="preserve"> un perjuicio real y serio y no uno </w:t>
      </w:r>
      <w:r w:rsidR="00E32BB9" w:rsidRPr="00216859">
        <w:rPr>
          <w:rFonts w:eastAsia="MS Mincho" w:cs="Arial"/>
          <w:sz w:val="24"/>
          <w:szCs w:val="24"/>
          <w:lang w:val="es-ES_tradnl"/>
        </w:rPr>
        <w:t>eventual e hipotético</w:t>
      </w:r>
      <w:r w:rsidR="004F4A92" w:rsidRPr="00216859">
        <w:rPr>
          <w:rFonts w:eastAsia="MS Mincho" w:cs="Arial"/>
          <w:sz w:val="24"/>
          <w:szCs w:val="24"/>
          <w:lang w:val="es-ES_tradnl"/>
        </w:rPr>
        <w:t>.</w:t>
      </w:r>
    </w:p>
    <w:p w14:paraId="00970D63" w14:textId="3DE95267" w:rsidR="00222EB5" w:rsidRPr="00216859" w:rsidRDefault="00222EB5" w:rsidP="001F15ED">
      <w:pPr>
        <w:spacing w:line="360" w:lineRule="auto"/>
        <w:jc w:val="both"/>
        <w:rPr>
          <w:rFonts w:eastAsia="MS Mincho" w:cs="Arial"/>
          <w:sz w:val="24"/>
          <w:szCs w:val="24"/>
          <w:lang w:val="es-ES_tradnl"/>
        </w:rPr>
      </w:pPr>
    </w:p>
    <w:p w14:paraId="3B0AFF2E" w14:textId="73559CA6" w:rsidR="00222EB5" w:rsidRPr="00216859" w:rsidRDefault="00222EB5" w:rsidP="005A12AE">
      <w:pPr>
        <w:spacing w:line="360" w:lineRule="auto"/>
        <w:jc w:val="both"/>
        <w:rPr>
          <w:rFonts w:eastAsia="MS Mincho" w:cs="Arial"/>
          <w:sz w:val="24"/>
          <w:szCs w:val="24"/>
          <w:lang w:val="es-ES_tradnl"/>
        </w:rPr>
      </w:pPr>
      <w:r w:rsidRPr="00216859">
        <w:rPr>
          <w:rFonts w:eastAsia="MS Mincho" w:cs="Arial"/>
          <w:sz w:val="24"/>
          <w:szCs w:val="24"/>
          <w:lang w:val="es-ES_tradnl"/>
        </w:rPr>
        <w:t>En el recurso menciona</w:t>
      </w:r>
      <w:r w:rsidR="005A12AE" w:rsidRPr="00216859">
        <w:rPr>
          <w:rFonts w:eastAsia="MS Mincho" w:cs="Arial"/>
          <w:sz w:val="24"/>
          <w:szCs w:val="24"/>
          <w:lang w:val="es-ES_tradnl"/>
        </w:rPr>
        <w:t xml:space="preserve"> la parte demandante que la señora LUZ ESPERANZA SALAMANCA DE FONSECA percibe una pensión</w:t>
      </w:r>
      <w:r w:rsidR="00F8583F" w:rsidRPr="00216859">
        <w:rPr>
          <w:rFonts w:eastAsia="MS Mincho" w:cs="Arial"/>
          <w:sz w:val="24"/>
          <w:szCs w:val="24"/>
          <w:lang w:val="es-ES_tradnl"/>
        </w:rPr>
        <w:t xml:space="preserve">, </w:t>
      </w:r>
      <w:r w:rsidR="002879E7" w:rsidRPr="00216859">
        <w:rPr>
          <w:rFonts w:eastAsia="MS Mincho" w:cs="Arial"/>
          <w:sz w:val="24"/>
          <w:szCs w:val="24"/>
          <w:lang w:val="es-ES_tradnl"/>
        </w:rPr>
        <w:t>no obstante, que</w:t>
      </w:r>
      <w:r w:rsidR="003F5FA0" w:rsidRPr="00216859">
        <w:rPr>
          <w:rFonts w:eastAsia="MS Mincho" w:cs="Arial"/>
          <w:sz w:val="24"/>
          <w:szCs w:val="24"/>
          <w:lang w:val="es-ES_tradnl"/>
        </w:rPr>
        <w:t xml:space="preserve"> </w:t>
      </w:r>
      <w:r w:rsidR="002879E7" w:rsidRPr="00216859">
        <w:rPr>
          <w:rFonts w:eastAsia="MS Mincho" w:cs="Arial"/>
          <w:sz w:val="24"/>
          <w:szCs w:val="24"/>
          <w:lang w:val="es-ES_tradnl"/>
        </w:rPr>
        <w:t xml:space="preserve">la inhabilidad </w:t>
      </w:r>
      <w:r w:rsidR="002879E7" w:rsidRPr="00216859">
        <w:rPr>
          <w:rFonts w:eastAsia="MS Mincho" w:cs="Arial"/>
          <w:sz w:val="24"/>
          <w:szCs w:val="24"/>
          <w:lang w:val="es-ES_tradnl"/>
        </w:rPr>
        <w:lastRenderedPageBreak/>
        <w:t>impuesta en los actos administrativos</w:t>
      </w:r>
      <w:r w:rsidR="003F5FA0" w:rsidRPr="00216859">
        <w:rPr>
          <w:rFonts w:eastAsia="MS Mincho" w:cs="Arial"/>
          <w:sz w:val="24"/>
          <w:szCs w:val="24"/>
          <w:lang w:val="es-ES_tradnl"/>
        </w:rPr>
        <w:t xml:space="preserve"> demandados</w:t>
      </w:r>
      <w:r w:rsidR="002879E7" w:rsidRPr="00216859">
        <w:rPr>
          <w:rFonts w:eastAsia="MS Mincho" w:cs="Arial"/>
          <w:sz w:val="24"/>
          <w:szCs w:val="24"/>
          <w:lang w:val="es-ES_tradnl"/>
        </w:rPr>
        <w:t xml:space="preserve"> </w:t>
      </w:r>
      <w:r w:rsidR="003F5FA0" w:rsidRPr="00216859">
        <w:rPr>
          <w:rFonts w:eastAsia="MS Mincho" w:cs="Arial"/>
          <w:sz w:val="24"/>
          <w:szCs w:val="24"/>
          <w:lang w:val="es-ES_tradnl"/>
        </w:rPr>
        <w:t xml:space="preserve">le impiden obtener ingresos para satisfacer su mínimo vital y el de su núcleo familiar. Sin embargo, no allega ninguna prueba que </w:t>
      </w:r>
      <w:r w:rsidR="00652C7D" w:rsidRPr="00216859">
        <w:rPr>
          <w:rFonts w:eastAsia="MS Mincho" w:cs="Arial"/>
          <w:sz w:val="24"/>
          <w:szCs w:val="24"/>
          <w:lang w:val="es-ES_tradnl"/>
        </w:rPr>
        <w:t>demuestre dicha afectación, es más ni siquiera hace mención a la conformación del núcleo familiar que presuntamente se ve perjudicado.</w:t>
      </w:r>
    </w:p>
    <w:p w14:paraId="26E8483F" w14:textId="77777777" w:rsidR="00F31C76" w:rsidRPr="00216859" w:rsidRDefault="00F31C76" w:rsidP="001C70FB">
      <w:pPr>
        <w:spacing w:line="360" w:lineRule="auto"/>
        <w:jc w:val="both"/>
        <w:rPr>
          <w:rFonts w:eastAsia="MS Mincho" w:cs="Arial"/>
          <w:sz w:val="24"/>
          <w:szCs w:val="24"/>
          <w:lang w:val="es-ES_tradnl"/>
        </w:rPr>
      </w:pPr>
    </w:p>
    <w:p w14:paraId="3BA6142A" w14:textId="43758E1E" w:rsidR="00F977B6" w:rsidRPr="00216859" w:rsidRDefault="00787AA7" w:rsidP="00F977B6">
      <w:pPr>
        <w:spacing w:line="360" w:lineRule="auto"/>
        <w:jc w:val="both"/>
        <w:rPr>
          <w:rFonts w:cs="Arial"/>
          <w:sz w:val="24"/>
          <w:szCs w:val="24"/>
        </w:rPr>
      </w:pPr>
      <w:r w:rsidRPr="00216859">
        <w:rPr>
          <w:rFonts w:eastAsia="MS Mincho" w:cs="Arial"/>
          <w:sz w:val="24"/>
          <w:szCs w:val="24"/>
          <w:lang w:val="es-ES_tradnl"/>
        </w:rPr>
        <w:t xml:space="preserve">En </w:t>
      </w:r>
      <w:r w:rsidR="00791571" w:rsidRPr="00216859">
        <w:rPr>
          <w:rFonts w:eastAsia="MS Mincho" w:cs="Arial"/>
          <w:sz w:val="24"/>
          <w:szCs w:val="24"/>
          <w:lang w:val="es-ES_tradnl"/>
        </w:rPr>
        <w:t>e</w:t>
      </w:r>
      <w:r w:rsidR="00AD34F6" w:rsidRPr="00216859">
        <w:rPr>
          <w:rFonts w:eastAsia="MS Mincho" w:cs="Arial"/>
          <w:sz w:val="24"/>
          <w:szCs w:val="24"/>
          <w:lang w:val="es-ES_tradnl"/>
        </w:rPr>
        <w:t xml:space="preserve">se sentido </w:t>
      </w:r>
      <w:r w:rsidR="00791571" w:rsidRPr="00216859">
        <w:rPr>
          <w:rFonts w:eastAsia="MS Mincho" w:cs="Arial"/>
          <w:sz w:val="24"/>
          <w:szCs w:val="24"/>
          <w:lang w:val="es-ES_tradnl"/>
        </w:rPr>
        <w:t xml:space="preserve">y </w:t>
      </w:r>
      <w:r w:rsidRPr="00216859">
        <w:rPr>
          <w:rFonts w:eastAsia="MS Mincho" w:cs="Arial"/>
          <w:sz w:val="24"/>
          <w:szCs w:val="24"/>
          <w:lang w:val="es-ES_tradnl"/>
        </w:rPr>
        <w:t xml:space="preserve">atendiendo a que en el caso sub examine no se cumplen los requisitos y exigencias </w:t>
      </w:r>
      <w:r w:rsidR="00225999" w:rsidRPr="00216859">
        <w:rPr>
          <w:rFonts w:eastAsia="MS Mincho" w:cs="Arial"/>
          <w:sz w:val="24"/>
          <w:szCs w:val="24"/>
          <w:lang w:val="es-ES_tradnl"/>
        </w:rPr>
        <w:t xml:space="preserve">que impone </w:t>
      </w:r>
      <w:r w:rsidR="00F90991" w:rsidRPr="00216859">
        <w:rPr>
          <w:rFonts w:eastAsia="MS Mincho" w:cs="Arial"/>
          <w:sz w:val="24"/>
          <w:szCs w:val="24"/>
          <w:lang w:val="es-ES_tradnl"/>
        </w:rPr>
        <w:t>el artículo 231 del CPACA</w:t>
      </w:r>
      <w:r w:rsidRPr="00216859">
        <w:rPr>
          <w:rFonts w:eastAsia="MS Mincho" w:cs="Arial"/>
          <w:sz w:val="24"/>
          <w:szCs w:val="24"/>
          <w:lang w:val="es-ES_tradnl"/>
        </w:rPr>
        <w:t xml:space="preserve"> y la jurisprudencia </w:t>
      </w:r>
      <w:r w:rsidR="00225999" w:rsidRPr="00216859">
        <w:rPr>
          <w:rFonts w:eastAsia="MS Mincho" w:cs="Arial"/>
          <w:sz w:val="24"/>
          <w:szCs w:val="24"/>
          <w:lang w:val="es-ES_tradnl"/>
        </w:rPr>
        <w:t>d</w:t>
      </w:r>
      <w:r w:rsidRPr="00216859">
        <w:rPr>
          <w:rFonts w:eastAsia="MS Mincho" w:cs="Arial"/>
          <w:sz w:val="24"/>
          <w:szCs w:val="24"/>
          <w:lang w:val="es-ES_tradnl"/>
        </w:rPr>
        <w:t>el Consejo de Estado</w:t>
      </w:r>
      <w:r w:rsidR="00225999" w:rsidRPr="00216859">
        <w:rPr>
          <w:rFonts w:eastAsia="MS Mincho" w:cs="Arial"/>
          <w:sz w:val="24"/>
          <w:szCs w:val="24"/>
          <w:lang w:val="es-ES_tradnl"/>
        </w:rPr>
        <w:t>,</w:t>
      </w:r>
      <w:r w:rsidRPr="00216859">
        <w:rPr>
          <w:rFonts w:eastAsia="MS Mincho" w:cs="Arial"/>
          <w:sz w:val="24"/>
          <w:szCs w:val="24"/>
          <w:lang w:val="es-ES_tradnl"/>
        </w:rPr>
        <w:t xml:space="preserve"> esbozada anteriormente, para la concesión de la medida cautelar</w:t>
      </w:r>
      <w:r w:rsidR="006F692B" w:rsidRPr="00216859">
        <w:rPr>
          <w:rFonts w:eastAsia="MS Mincho" w:cs="Arial"/>
          <w:sz w:val="24"/>
          <w:szCs w:val="24"/>
          <w:lang w:val="es-ES_tradnl"/>
        </w:rPr>
        <w:t xml:space="preserve">, </w:t>
      </w:r>
      <w:r w:rsidR="00F977B6" w:rsidRPr="00216859">
        <w:rPr>
          <w:rFonts w:cs="Arial"/>
          <w:sz w:val="24"/>
          <w:szCs w:val="24"/>
        </w:rPr>
        <w:t xml:space="preserve">el Despacho no repondrá el auto </w:t>
      </w:r>
      <w:r w:rsidR="00B256CE" w:rsidRPr="00216859">
        <w:rPr>
          <w:rFonts w:cs="Arial"/>
          <w:sz w:val="24"/>
          <w:szCs w:val="24"/>
        </w:rPr>
        <w:t>del</w:t>
      </w:r>
      <w:r w:rsidR="00791571" w:rsidRPr="00216859">
        <w:rPr>
          <w:rFonts w:cs="Arial"/>
          <w:sz w:val="24"/>
          <w:szCs w:val="24"/>
        </w:rPr>
        <w:t xml:space="preserve"> 27 de febrero de 2020</w:t>
      </w:r>
      <w:r w:rsidR="00F977B6" w:rsidRPr="00216859">
        <w:rPr>
          <w:rFonts w:cs="Arial"/>
          <w:sz w:val="24"/>
          <w:szCs w:val="24"/>
        </w:rPr>
        <w:t>, como en efecto se dispondrá en la parte resolutiva de este proveído.</w:t>
      </w:r>
    </w:p>
    <w:p w14:paraId="0FD9EBE5" w14:textId="363B5F3F" w:rsidR="00F90991" w:rsidRPr="00216859" w:rsidRDefault="00F90991" w:rsidP="00F977B6">
      <w:pPr>
        <w:spacing w:line="360" w:lineRule="auto"/>
        <w:jc w:val="both"/>
        <w:rPr>
          <w:rFonts w:eastAsia="MS Mincho" w:cs="Arial"/>
          <w:sz w:val="24"/>
          <w:szCs w:val="24"/>
          <w:lang w:val="es-ES_tradnl"/>
        </w:rPr>
      </w:pPr>
    </w:p>
    <w:p w14:paraId="4A0DCF65" w14:textId="77E4AC0B"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No obstante</w:t>
      </w:r>
      <w:r w:rsidR="00B4598B" w:rsidRPr="00216859">
        <w:rPr>
          <w:rFonts w:eastAsia="MS Mincho" w:cs="Arial"/>
          <w:sz w:val="24"/>
          <w:szCs w:val="24"/>
          <w:lang w:val="es-ES_tradnl"/>
        </w:rPr>
        <w:t>,</w:t>
      </w:r>
      <w:r w:rsidRPr="00216859">
        <w:rPr>
          <w:rFonts w:eastAsia="MS Mincho" w:cs="Arial"/>
          <w:sz w:val="24"/>
          <w:szCs w:val="24"/>
          <w:lang w:val="es-ES_tradnl"/>
        </w:rPr>
        <w:t xml:space="preserve"> el despacho procede analizar la procedencia del recurso de apelación impetrado en subsidio.</w:t>
      </w:r>
    </w:p>
    <w:p w14:paraId="0EDA3E38" w14:textId="77777777" w:rsidR="00F90991" w:rsidRPr="00216859" w:rsidRDefault="00F90991" w:rsidP="00F90991">
      <w:pPr>
        <w:spacing w:line="360" w:lineRule="auto"/>
        <w:jc w:val="both"/>
        <w:rPr>
          <w:rFonts w:eastAsia="MS Mincho" w:cs="Arial"/>
          <w:sz w:val="24"/>
          <w:szCs w:val="24"/>
          <w:lang w:val="es-ES_tradnl"/>
        </w:rPr>
      </w:pPr>
    </w:p>
    <w:p w14:paraId="6591ACBA" w14:textId="4EDCE9F7" w:rsidR="00F90991" w:rsidRPr="00216859" w:rsidRDefault="00B4598B" w:rsidP="00F90991">
      <w:pPr>
        <w:spacing w:line="360" w:lineRule="auto"/>
        <w:jc w:val="both"/>
        <w:rPr>
          <w:rFonts w:eastAsia="MS Mincho" w:cs="Arial"/>
          <w:b/>
          <w:sz w:val="24"/>
          <w:szCs w:val="24"/>
          <w:lang w:val="es-ES_tradnl"/>
        </w:rPr>
      </w:pPr>
      <w:r w:rsidRPr="00216859">
        <w:rPr>
          <w:rFonts w:eastAsia="MS Mincho" w:cs="Arial"/>
          <w:b/>
          <w:sz w:val="24"/>
          <w:szCs w:val="24"/>
          <w:lang w:val="es-ES_tradnl"/>
        </w:rPr>
        <w:t>3.3</w:t>
      </w:r>
      <w:r w:rsidR="00F90991" w:rsidRPr="00216859">
        <w:rPr>
          <w:rFonts w:eastAsia="MS Mincho" w:cs="Arial"/>
          <w:b/>
          <w:sz w:val="24"/>
          <w:szCs w:val="24"/>
          <w:lang w:val="es-ES_tradnl"/>
        </w:rPr>
        <w:t xml:space="preserve">.  De la procedencia y concesión del recurso de apelación  </w:t>
      </w:r>
    </w:p>
    <w:p w14:paraId="209C593A" w14:textId="77777777" w:rsidR="00F90991" w:rsidRPr="00216859" w:rsidRDefault="00F90991" w:rsidP="00F90991">
      <w:pPr>
        <w:spacing w:line="360" w:lineRule="auto"/>
        <w:jc w:val="both"/>
        <w:rPr>
          <w:rFonts w:eastAsia="MS Mincho" w:cs="Arial"/>
          <w:sz w:val="24"/>
          <w:szCs w:val="24"/>
          <w:lang w:val="es-ES_tradnl"/>
        </w:rPr>
      </w:pPr>
    </w:p>
    <w:p w14:paraId="2917D100" w14:textId="77777777"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El numeral 5 del artículo 243 del CPACA, modificado por el artículo 62 de la Ley 2080 de 2021, señala:</w:t>
      </w:r>
    </w:p>
    <w:p w14:paraId="11B9B90E" w14:textId="77777777" w:rsidR="00F90991" w:rsidRPr="00216859" w:rsidRDefault="00F90991" w:rsidP="00B4598B">
      <w:pPr>
        <w:jc w:val="both"/>
        <w:rPr>
          <w:rFonts w:eastAsia="MS Mincho" w:cs="Arial"/>
          <w:i/>
          <w:sz w:val="24"/>
          <w:szCs w:val="24"/>
          <w:lang w:val="es-ES_tradnl"/>
        </w:rPr>
      </w:pPr>
    </w:p>
    <w:p w14:paraId="1CFD0F93" w14:textId="0C088DBD" w:rsidR="00F90991" w:rsidRPr="00216859" w:rsidRDefault="00F90991" w:rsidP="00B4598B">
      <w:pPr>
        <w:ind w:left="708"/>
        <w:jc w:val="both"/>
        <w:rPr>
          <w:rFonts w:eastAsia="MS Mincho" w:cs="Arial"/>
          <w:i/>
          <w:sz w:val="24"/>
          <w:szCs w:val="24"/>
          <w:lang w:val="es-ES_tradnl"/>
        </w:rPr>
      </w:pPr>
      <w:r w:rsidRPr="00216859">
        <w:rPr>
          <w:rFonts w:eastAsia="MS Mincho" w:cs="Arial"/>
          <w:i/>
          <w:sz w:val="24"/>
          <w:szCs w:val="24"/>
          <w:lang w:val="es-ES_tradnl"/>
        </w:rPr>
        <w:t>“(…) ARTÍCULO 243. APELACIÓN. Son apelables las sentencias de primera instancia y los siguientes autos proferidos en la misma instancia:</w:t>
      </w:r>
    </w:p>
    <w:p w14:paraId="3F323971" w14:textId="15A43CB6" w:rsidR="00B4598B" w:rsidRPr="00216859" w:rsidRDefault="00B4598B" w:rsidP="00B4598B">
      <w:pPr>
        <w:ind w:firstLine="708"/>
        <w:jc w:val="both"/>
        <w:rPr>
          <w:rFonts w:eastAsia="MS Mincho" w:cs="Arial"/>
          <w:i/>
          <w:sz w:val="24"/>
          <w:szCs w:val="24"/>
          <w:lang w:val="es-ES_tradnl"/>
        </w:rPr>
      </w:pPr>
      <w:r w:rsidRPr="00216859">
        <w:rPr>
          <w:rFonts w:eastAsia="MS Mincho" w:cs="Arial"/>
          <w:i/>
          <w:sz w:val="24"/>
          <w:szCs w:val="24"/>
          <w:lang w:val="es-ES_tradnl"/>
        </w:rPr>
        <w:t>(…)</w:t>
      </w:r>
    </w:p>
    <w:p w14:paraId="334B4ACD" w14:textId="77777777" w:rsidR="00F90991" w:rsidRPr="00216859" w:rsidRDefault="00F90991" w:rsidP="00B4598B">
      <w:pPr>
        <w:jc w:val="both"/>
        <w:rPr>
          <w:rFonts w:eastAsia="MS Mincho" w:cs="Arial"/>
          <w:i/>
          <w:sz w:val="24"/>
          <w:szCs w:val="24"/>
          <w:lang w:val="es-ES_tradnl"/>
        </w:rPr>
      </w:pPr>
    </w:p>
    <w:p w14:paraId="6A81707D" w14:textId="77777777" w:rsidR="00F90991" w:rsidRPr="00216859" w:rsidRDefault="00F90991" w:rsidP="00B4598B">
      <w:pPr>
        <w:ind w:firstLine="708"/>
        <w:jc w:val="both"/>
        <w:rPr>
          <w:rFonts w:eastAsia="MS Mincho" w:cs="Arial"/>
          <w:i/>
          <w:sz w:val="24"/>
          <w:szCs w:val="24"/>
          <w:lang w:val="es-ES_tradnl"/>
        </w:rPr>
      </w:pPr>
      <w:r w:rsidRPr="00216859">
        <w:rPr>
          <w:rFonts w:eastAsia="MS Mincho" w:cs="Arial"/>
          <w:i/>
          <w:sz w:val="24"/>
          <w:szCs w:val="24"/>
          <w:lang w:val="es-ES_tradnl"/>
        </w:rPr>
        <w:t>5. El que decrete, deniegue o modifique una medida cautelar.</w:t>
      </w:r>
    </w:p>
    <w:p w14:paraId="6800D743" w14:textId="00610E14" w:rsidR="00F90991" w:rsidRPr="00216859" w:rsidRDefault="00F90991" w:rsidP="00B4598B">
      <w:pPr>
        <w:ind w:firstLine="708"/>
        <w:jc w:val="both"/>
        <w:rPr>
          <w:rFonts w:eastAsia="MS Mincho" w:cs="Arial"/>
          <w:i/>
          <w:sz w:val="24"/>
          <w:szCs w:val="24"/>
          <w:lang w:val="es-ES_tradnl"/>
        </w:rPr>
      </w:pPr>
      <w:r w:rsidRPr="00216859">
        <w:rPr>
          <w:rFonts w:eastAsia="MS Mincho" w:cs="Arial"/>
          <w:i/>
          <w:sz w:val="24"/>
          <w:szCs w:val="24"/>
          <w:lang w:val="es-ES_tradnl"/>
        </w:rPr>
        <w:t>(…)”</w:t>
      </w:r>
    </w:p>
    <w:p w14:paraId="034F06D4" w14:textId="77777777" w:rsidR="00F90991" w:rsidRPr="00216859" w:rsidRDefault="00F90991" w:rsidP="00F90991">
      <w:pPr>
        <w:spacing w:line="360" w:lineRule="auto"/>
        <w:jc w:val="both"/>
        <w:rPr>
          <w:rFonts w:eastAsia="MS Mincho" w:cs="Arial"/>
          <w:sz w:val="24"/>
          <w:szCs w:val="24"/>
          <w:lang w:val="es-ES_tradnl"/>
        </w:rPr>
      </w:pPr>
    </w:p>
    <w:p w14:paraId="09C5A333" w14:textId="3EC43F60"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Por su parte, el artículo 244 del CPACA señaló, respecto del trámite del recurso de apelación contra autos, que el mismo podría interponerse, “directamente o en subsidio de la reposición”. Asimismo, allí se precisó que</w:t>
      </w:r>
      <w:r w:rsidR="00705D2A" w:rsidRPr="00216859">
        <w:rPr>
          <w:rFonts w:eastAsia="MS Mincho" w:cs="Arial"/>
          <w:sz w:val="24"/>
          <w:szCs w:val="24"/>
          <w:lang w:val="es-ES_tradnl"/>
        </w:rPr>
        <w:t>,</w:t>
      </w:r>
      <w:r w:rsidRPr="00216859">
        <w:rPr>
          <w:rFonts w:eastAsia="MS Mincho" w:cs="Arial"/>
          <w:sz w:val="24"/>
          <w:szCs w:val="24"/>
          <w:lang w:val="es-ES_tradnl"/>
        </w:rPr>
        <w:t xml:space="preserve"> si el auto era notificado por estado, el recurso debería</w:t>
      </w:r>
      <w:r w:rsidR="00705D2A" w:rsidRPr="00216859">
        <w:rPr>
          <w:rFonts w:eastAsia="MS Mincho" w:cs="Arial"/>
          <w:sz w:val="24"/>
          <w:szCs w:val="24"/>
          <w:lang w:val="es-ES_tradnl"/>
        </w:rPr>
        <w:t xml:space="preserve"> “</w:t>
      </w:r>
      <w:r w:rsidRPr="00216859">
        <w:rPr>
          <w:rFonts w:eastAsia="MS Mincho" w:cs="Arial"/>
          <w:i/>
          <w:sz w:val="24"/>
          <w:szCs w:val="24"/>
          <w:lang w:val="es-ES_tradnl"/>
        </w:rPr>
        <w:t>interponerse y sustentarse por escrito (…) dentro de los tres (3) días siguientes a su notificación o a la del auto que niega total o parcialmente la reposición”.</w:t>
      </w:r>
    </w:p>
    <w:p w14:paraId="7E128722" w14:textId="77777777" w:rsidR="00F90991" w:rsidRPr="00216859" w:rsidRDefault="00F90991" w:rsidP="00F90991">
      <w:pPr>
        <w:spacing w:line="360" w:lineRule="auto"/>
        <w:jc w:val="both"/>
        <w:rPr>
          <w:rFonts w:eastAsia="MS Mincho" w:cs="Arial"/>
          <w:sz w:val="24"/>
          <w:szCs w:val="24"/>
          <w:lang w:val="es-ES_tradnl"/>
        </w:rPr>
      </w:pPr>
    </w:p>
    <w:p w14:paraId="27D72F9C" w14:textId="1470CBA3"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 xml:space="preserve">En el caso </w:t>
      </w:r>
      <w:r w:rsidR="00D55629" w:rsidRPr="00216859">
        <w:rPr>
          <w:rFonts w:eastAsia="MS Mincho" w:cs="Arial"/>
          <w:sz w:val="24"/>
          <w:szCs w:val="24"/>
          <w:lang w:val="es-ES_tradnl"/>
        </w:rPr>
        <w:t>sub judice</w:t>
      </w:r>
      <w:r w:rsidRPr="00216859">
        <w:rPr>
          <w:rFonts w:eastAsia="MS Mincho" w:cs="Arial"/>
          <w:sz w:val="24"/>
          <w:szCs w:val="24"/>
          <w:lang w:val="es-ES_tradnl"/>
        </w:rPr>
        <w:t xml:space="preserve">, se advierte que el recurso de apelación interpuesto por </w:t>
      </w:r>
      <w:r w:rsidR="00D55629" w:rsidRPr="00216859">
        <w:rPr>
          <w:rFonts w:eastAsia="MS Mincho" w:cs="Arial"/>
          <w:sz w:val="24"/>
          <w:szCs w:val="24"/>
          <w:lang w:val="es-ES_tradnl"/>
        </w:rPr>
        <w:t>el</w:t>
      </w:r>
      <w:r w:rsidRPr="00216859">
        <w:rPr>
          <w:rFonts w:eastAsia="MS Mincho" w:cs="Arial"/>
          <w:sz w:val="24"/>
          <w:szCs w:val="24"/>
          <w:lang w:val="es-ES_tradnl"/>
        </w:rPr>
        <w:t xml:space="preserve"> apoderad</w:t>
      </w:r>
      <w:r w:rsidR="00D55629" w:rsidRPr="00216859">
        <w:rPr>
          <w:rFonts w:eastAsia="MS Mincho" w:cs="Arial"/>
          <w:sz w:val="24"/>
          <w:szCs w:val="24"/>
          <w:lang w:val="es-ES_tradnl"/>
        </w:rPr>
        <w:t>o</w:t>
      </w:r>
      <w:r w:rsidRPr="00216859">
        <w:rPr>
          <w:rFonts w:eastAsia="MS Mincho" w:cs="Arial"/>
          <w:sz w:val="24"/>
          <w:szCs w:val="24"/>
          <w:lang w:val="es-ES_tradnl"/>
        </w:rPr>
        <w:t xml:space="preserve"> de </w:t>
      </w:r>
      <w:r w:rsidR="00D55629" w:rsidRPr="00216859">
        <w:rPr>
          <w:rFonts w:eastAsia="MS Mincho" w:cs="Arial"/>
          <w:sz w:val="24"/>
          <w:szCs w:val="24"/>
          <w:lang w:val="es-ES_tradnl"/>
        </w:rPr>
        <w:t>la parte demandante</w:t>
      </w:r>
      <w:r w:rsidRPr="00216859">
        <w:rPr>
          <w:rFonts w:eastAsia="MS Mincho" w:cs="Arial"/>
          <w:sz w:val="24"/>
          <w:szCs w:val="24"/>
          <w:lang w:val="es-ES_tradnl"/>
        </w:rPr>
        <w:t xml:space="preserve">, es procedente, dado que la decisión atacada es pasible </w:t>
      </w:r>
      <w:r w:rsidR="00FF3ED1" w:rsidRPr="00216859">
        <w:rPr>
          <w:rFonts w:eastAsia="MS Mincho" w:cs="Arial"/>
          <w:sz w:val="24"/>
          <w:szCs w:val="24"/>
          <w:lang w:val="es-ES_tradnl"/>
        </w:rPr>
        <w:t>de este</w:t>
      </w:r>
      <w:r w:rsidRPr="00216859">
        <w:rPr>
          <w:rFonts w:eastAsia="MS Mincho" w:cs="Arial"/>
          <w:sz w:val="24"/>
          <w:szCs w:val="24"/>
          <w:lang w:val="es-ES_tradnl"/>
        </w:rPr>
        <w:t>.</w:t>
      </w:r>
    </w:p>
    <w:p w14:paraId="054A3F94" w14:textId="77777777" w:rsidR="00F90991" w:rsidRPr="00216859" w:rsidRDefault="00F90991" w:rsidP="00F90991">
      <w:pPr>
        <w:spacing w:line="360" w:lineRule="auto"/>
        <w:jc w:val="both"/>
        <w:rPr>
          <w:rFonts w:eastAsia="MS Mincho" w:cs="Arial"/>
          <w:sz w:val="24"/>
          <w:szCs w:val="24"/>
          <w:lang w:val="es-ES_tradnl"/>
        </w:rPr>
      </w:pPr>
    </w:p>
    <w:p w14:paraId="0C75C452" w14:textId="06F0C107"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 xml:space="preserve">Por su parte, en lo inherente a la oportunidad, se observa que el recurso se </w:t>
      </w:r>
      <w:r w:rsidR="00FF3ED1" w:rsidRPr="00216859">
        <w:rPr>
          <w:rFonts w:eastAsia="MS Mincho" w:cs="Arial"/>
          <w:sz w:val="24"/>
          <w:szCs w:val="24"/>
          <w:lang w:val="es-ES_tradnl"/>
        </w:rPr>
        <w:t>impetró</w:t>
      </w:r>
      <w:r w:rsidRPr="00216859">
        <w:rPr>
          <w:rFonts w:eastAsia="MS Mincho" w:cs="Arial"/>
          <w:sz w:val="24"/>
          <w:szCs w:val="24"/>
          <w:lang w:val="es-ES_tradnl"/>
        </w:rPr>
        <w:t xml:space="preserve"> de forma oportuna, teniendo en cuenta que el auto fue notificado por estado electrónico </w:t>
      </w:r>
      <w:r w:rsidR="00BF7DC7" w:rsidRPr="00216859">
        <w:rPr>
          <w:rFonts w:cs="Arial"/>
          <w:sz w:val="24"/>
          <w:szCs w:val="24"/>
        </w:rPr>
        <w:t xml:space="preserve">17 de mayo de 2023 (índice 34) y el recurso bajo estudio fue interpuesto </w:t>
      </w:r>
      <w:r w:rsidR="00BF7DC7" w:rsidRPr="00216859">
        <w:rPr>
          <w:rFonts w:cs="Arial"/>
          <w:sz w:val="24"/>
          <w:szCs w:val="24"/>
        </w:rPr>
        <w:lastRenderedPageBreak/>
        <w:t>el 23 de mayo del presente año (índice 35), esto es, dentro de los tres (3) días siguientes a su notificación.</w:t>
      </w:r>
    </w:p>
    <w:p w14:paraId="1CF93012" w14:textId="77777777" w:rsidR="00F90991" w:rsidRPr="00216859" w:rsidRDefault="00F90991" w:rsidP="00F90991">
      <w:pPr>
        <w:spacing w:line="360" w:lineRule="auto"/>
        <w:jc w:val="both"/>
        <w:rPr>
          <w:rFonts w:eastAsia="MS Mincho" w:cs="Arial"/>
          <w:sz w:val="24"/>
          <w:szCs w:val="24"/>
          <w:lang w:val="es-ES_tradnl"/>
        </w:rPr>
      </w:pPr>
    </w:p>
    <w:p w14:paraId="1EC1D06D" w14:textId="1EB5D172" w:rsidR="00F90991" w:rsidRPr="00216859" w:rsidRDefault="00F90991" w:rsidP="00F90991">
      <w:pPr>
        <w:spacing w:line="360" w:lineRule="auto"/>
        <w:jc w:val="both"/>
        <w:rPr>
          <w:rFonts w:eastAsia="MS Mincho" w:cs="Arial"/>
          <w:sz w:val="24"/>
          <w:szCs w:val="24"/>
          <w:lang w:val="es-ES_tradnl"/>
        </w:rPr>
      </w:pPr>
      <w:r w:rsidRPr="00216859">
        <w:rPr>
          <w:rFonts w:eastAsia="MS Mincho" w:cs="Arial"/>
          <w:sz w:val="24"/>
          <w:szCs w:val="24"/>
          <w:lang w:val="es-ES_tradnl"/>
        </w:rPr>
        <w:t>Por tal razón, el mismo se concederá en el efecto devolutivo, de acuerdo con lo reglado por el parágrafo 1° del artículo 243 del CPACA</w:t>
      </w:r>
    </w:p>
    <w:p w14:paraId="28FC60D4" w14:textId="77777777" w:rsidR="004F40E6" w:rsidRPr="00216859" w:rsidRDefault="004F40E6" w:rsidP="00F977B6">
      <w:pPr>
        <w:spacing w:line="360" w:lineRule="auto"/>
        <w:jc w:val="both"/>
        <w:rPr>
          <w:rFonts w:cs="Arial"/>
          <w:sz w:val="24"/>
          <w:szCs w:val="24"/>
        </w:rPr>
      </w:pPr>
    </w:p>
    <w:p w14:paraId="285062E0" w14:textId="77777777" w:rsidR="00F977B6" w:rsidRPr="00216859" w:rsidRDefault="00A35F1F" w:rsidP="00A35F1F">
      <w:pPr>
        <w:spacing w:line="360" w:lineRule="auto"/>
        <w:jc w:val="both"/>
        <w:rPr>
          <w:rFonts w:cs="Arial"/>
          <w:sz w:val="24"/>
          <w:szCs w:val="24"/>
        </w:rPr>
      </w:pPr>
      <w:r w:rsidRPr="00216859">
        <w:rPr>
          <w:rFonts w:cs="Arial"/>
          <w:sz w:val="24"/>
          <w:szCs w:val="24"/>
        </w:rPr>
        <w:t xml:space="preserve">En mérito de lo expuesto, </w:t>
      </w:r>
    </w:p>
    <w:p w14:paraId="2EEDEA8A" w14:textId="77777777" w:rsidR="0072212B" w:rsidRPr="00216859" w:rsidRDefault="00A52F0C" w:rsidP="00A52F0C">
      <w:pPr>
        <w:tabs>
          <w:tab w:val="left" w:pos="3281"/>
        </w:tabs>
        <w:spacing w:line="360" w:lineRule="auto"/>
        <w:jc w:val="both"/>
        <w:rPr>
          <w:rFonts w:cs="Arial"/>
          <w:sz w:val="24"/>
          <w:szCs w:val="24"/>
        </w:rPr>
      </w:pPr>
      <w:r w:rsidRPr="00216859">
        <w:rPr>
          <w:rFonts w:cs="Arial"/>
          <w:sz w:val="24"/>
          <w:szCs w:val="24"/>
        </w:rPr>
        <w:tab/>
      </w:r>
    </w:p>
    <w:p w14:paraId="784B8EB0" w14:textId="77777777" w:rsidR="00B219C1" w:rsidRPr="00216859" w:rsidRDefault="00B219C1" w:rsidP="00B219C1">
      <w:pPr>
        <w:jc w:val="center"/>
        <w:rPr>
          <w:rFonts w:cs="Arial"/>
          <w:b/>
          <w:sz w:val="24"/>
          <w:szCs w:val="24"/>
        </w:rPr>
      </w:pPr>
      <w:r w:rsidRPr="00216859">
        <w:rPr>
          <w:rFonts w:cs="Arial"/>
          <w:b/>
          <w:sz w:val="24"/>
          <w:szCs w:val="24"/>
        </w:rPr>
        <w:t>RESUELVE</w:t>
      </w:r>
    </w:p>
    <w:p w14:paraId="05ADFEFC" w14:textId="77777777" w:rsidR="005F6B12" w:rsidRPr="00216859" w:rsidRDefault="005F6B12" w:rsidP="00B219C1">
      <w:pPr>
        <w:jc w:val="center"/>
        <w:rPr>
          <w:rFonts w:cs="Arial"/>
          <w:b/>
          <w:sz w:val="24"/>
          <w:szCs w:val="24"/>
        </w:rPr>
      </w:pPr>
    </w:p>
    <w:p w14:paraId="7F1BC590" w14:textId="77777777" w:rsidR="00B219C1" w:rsidRPr="00216859" w:rsidRDefault="00B219C1" w:rsidP="00B219C1">
      <w:pPr>
        <w:jc w:val="center"/>
        <w:rPr>
          <w:rFonts w:cs="Arial"/>
          <w:b/>
          <w:sz w:val="24"/>
          <w:szCs w:val="24"/>
        </w:rPr>
      </w:pPr>
    </w:p>
    <w:p w14:paraId="6777121B" w14:textId="60122AF3" w:rsidR="00C71E18" w:rsidRPr="00216859" w:rsidRDefault="00C71E18" w:rsidP="00C71E18">
      <w:pPr>
        <w:spacing w:line="360" w:lineRule="auto"/>
        <w:jc w:val="both"/>
        <w:rPr>
          <w:rFonts w:cs="Arial"/>
          <w:sz w:val="24"/>
          <w:szCs w:val="24"/>
        </w:rPr>
      </w:pPr>
      <w:r w:rsidRPr="00216859">
        <w:rPr>
          <w:rFonts w:cs="Arial"/>
          <w:b/>
          <w:sz w:val="24"/>
          <w:szCs w:val="24"/>
          <w:lang w:val="es-ES_tradnl"/>
        </w:rPr>
        <w:t xml:space="preserve">PRIMERO: </w:t>
      </w:r>
      <w:r w:rsidR="00B66182" w:rsidRPr="00216859">
        <w:rPr>
          <w:rFonts w:cs="Arial"/>
          <w:b/>
          <w:sz w:val="24"/>
          <w:szCs w:val="24"/>
          <w:lang w:val="es-ES_tradnl"/>
        </w:rPr>
        <w:t>NO REPONER</w:t>
      </w:r>
      <w:r w:rsidRPr="00216859">
        <w:rPr>
          <w:rFonts w:cs="Arial"/>
          <w:sz w:val="24"/>
          <w:szCs w:val="24"/>
        </w:rPr>
        <w:t xml:space="preserve"> el auto de fecha </w:t>
      </w:r>
      <w:r w:rsidR="007E449E" w:rsidRPr="00216859">
        <w:rPr>
          <w:rFonts w:eastAsia="MS Mincho" w:cs="Arial"/>
          <w:sz w:val="24"/>
          <w:szCs w:val="24"/>
          <w:lang w:val="es-ES_tradnl"/>
        </w:rPr>
        <w:t>16 de mayo de 2023</w:t>
      </w:r>
      <w:r w:rsidRPr="00216859">
        <w:rPr>
          <w:rFonts w:cs="Arial"/>
          <w:sz w:val="24"/>
          <w:szCs w:val="24"/>
        </w:rPr>
        <w:t xml:space="preserve">, mediante el cual se dispuso </w:t>
      </w:r>
      <w:r w:rsidR="00F4293D" w:rsidRPr="00216859">
        <w:rPr>
          <w:rFonts w:cs="Arial"/>
          <w:sz w:val="24"/>
          <w:szCs w:val="24"/>
        </w:rPr>
        <w:t>negar la medida cautelar</w:t>
      </w:r>
      <w:r w:rsidR="00E933A8" w:rsidRPr="00216859">
        <w:rPr>
          <w:rFonts w:cs="Arial"/>
          <w:sz w:val="24"/>
          <w:szCs w:val="24"/>
        </w:rPr>
        <w:t xml:space="preserve"> de suspensión provisional solicitada </w:t>
      </w:r>
      <w:r w:rsidR="00F4293D" w:rsidRPr="00216859">
        <w:rPr>
          <w:rFonts w:cs="Arial"/>
          <w:sz w:val="24"/>
          <w:szCs w:val="24"/>
        </w:rPr>
        <w:t xml:space="preserve">por </w:t>
      </w:r>
      <w:r w:rsidR="007E449E" w:rsidRPr="00216859">
        <w:rPr>
          <w:rFonts w:cs="Arial"/>
          <w:sz w:val="24"/>
          <w:szCs w:val="24"/>
        </w:rPr>
        <w:t>la parte</w:t>
      </w:r>
      <w:r w:rsidR="00F4293D" w:rsidRPr="00216859">
        <w:rPr>
          <w:rFonts w:cs="Arial"/>
          <w:sz w:val="24"/>
          <w:szCs w:val="24"/>
        </w:rPr>
        <w:t xml:space="preserve"> demandante</w:t>
      </w:r>
      <w:r w:rsidR="00BC46FD" w:rsidRPr="00216859">
        <w:rPr>
          <w:rFonts w:cs="Arial"/>
          <w:sz w:val="24"/>
          <w:szCs w:val="24"/>
        </w:rPr>
        <w:t>, por las razones expuestas</w:t>
      </w:r>
      <w:r w:rsidR="0083776A" w:rsidRPr="00216859">
        <w:rPr>
          <w:rFonts w:cs="Arial"/>
          <w:sz w:val="24"/>
          <w:szCs w:val="24"/>
        </w:rPr>
        <w:t xml:space="preserve">. </w:t>
      </w:r>
    </w:p>
    <w:p w14:paraId="5DFE8C1E" w14:textId="77777777" w:rsidR="00C71E18" w:rsidRPr="00216859" w:rsidRDefault="00B219C1" w:rsidP="00B219C1">
      <w:pPr>
        <w:jc w:val="both"/>
        <w:rPr>
          <w:rFonts w:cs="Arial"/>
          <w:b/>
          <w:sz w:val="24"/>
          <w:szCs w:val="24"/>
        </w:rPr>
      </w:pPr>
      <w:r w:rsidRPr="00216859">
        <w:rPr>
          <w:rFonts w:cs="Arial"/>
          <w:b/>
          <w:sz w:val="24"/>
          <w:szCs w:val="24"/>
        </w:rPr>
        <w:t xml:space="preserve"> </w:t>
      </w:r>
    </w:p>
    <w:p w14:paraId="095253D6" w14:textId="77777777" w:rsidR="00C71E18" w:rsidRPr="00216859" w:rsidRDefault="00C71E18" w:rsidP="00B219C1">
      <w:pPr>
        <w:jc w:val="both"/>
        <w:rPr>
          <w:rFonts w:cs="Arial"/>
          <w:b/>
          <w:sz w:val="24"/>
          <w:szCs w:val="24"/>
        </w:rPr>
      </w:pPr>
    </w:p>
    <w:p w14:paraId="16E9BD6E" w14:textId="400530EB" w:rsidR="007E449E" w:rsidRPr="00216859" w:rsidRDefault="007E449E" w:rsidP="007E449E">
      <w:pPr>
        <w:spacing w:line="360" w:lineRule="auto"/>
        <w:jc w:val="both"/>
        <w:rPr>
          <w:rFonts w:cs="Arial"/>
          <w:sz w:val="24"/>
          <w:szCs w:val="24"/>
        </w:rPr>
      </w:pPr>
      <w:r w:rsidRPr="00216859">
        <w:rPr>
          <w:rFonts w:cs="Arial"/>
          <w:b/>
          <w:sz w:val="24"/>
          <w:szCs w:val="24"/>
        </w:rPr>
        <w:t xml:space="preserve">SEGUNDO: CONCEDER </w:t>
      </w:r>
      <w:r w:rsidRPr="00216859">
        <w:rPr>
          <w:rFonts w:cs="Arial"/>
          <w:sz w:val="24"/>
          <w:szCs w:val="24"/>
        </w:rPr>
        <w:t>en el efecto devolutivo, el recurso de apelación interpuesto por el apoderad</w:t>
      </w:r>
      <w:r w:rsidR="00565768" w:rsidRPr="00216859">
        <w:rPr>
          <w:rFonts w:cs="Arial"/>
          <w:sz w:val="24"/>
          <w:szCs w:val="24"/>
        </w:rPr>
        <w:t xml:space="preserve">o </w:t>
      </w:r>
      <w:r w:rsidRPr="00216859">
        <w:rPr>
          <w:rFonts w:cs="Arial"/>
          <w:sz w:val="24"/>
          <w:szCs w:val="24"/>
        </w:rPr>
        <w:t xml:space="preserve">de la parte demandante contra el auto del </w:t>
      </w:r>
      <w:r w:rsidR="00565768" w:rsidRPr="00216859">
        <w:rPr>
          <w:rFonts w:eastAsia="MS Mincho" w:cs="Arial"/>
          <w:sz w:val="24"/>
          <w:szCs w:val="24"/>
          <w:lang w:val="es-ES_tradnl"/>
        </w:rPr>
        <w:t>16 de mayo de 2023</w:t>
      </w:r>
      <w:r w:rsidRPr="00216859">
        <w:rPr>
          <w:rFonts w:cs="Arial"/>
          <w:sz w:val="24"/>
          <w:szCs w:val="24"/>
        </w:rPr>
        <w:t>, según lo previsto por los artículos 243 y 244 del CPACA.</w:t>
      </w:r>
    </w:p>
    <w:p w14:paraId="2014E374" w14:textId="77777777" w:rsidR="007E449E" w:rsidRPr="00216859" w:rsidRDefault="007E449E" w:rsidP="007E449E">
      <w:pPr>
        <w:spacing w:line="360" w:lineRule="auto"/>
        <w:jc w:val="both"/>
        <w:rPr>
          <w:rFonts w:cs="Arial"/>
          <w:b/>
          <w:sz w:val="24"/>
          <w:szCs w:val="24"/>
        </w:rPr>
      </w:pPr>
    </w:p>
    <w:p w14:paraId="267826E5" w14:textId="6AE22B0F" w:rsidR="00E933A8" w:rsidRPr="00216859" w:rsidRDefault="007E449E" w:rsidP="007E449E">
      <w:pPr>
        <w:spacing w:line="360" w:lineRule="auto"/>
        <w:jc w:val="both"/>
        <w:rPr>
          <w:rFonts w:cs="Arial"/>
          <w:sz w:val="24"/>
          <w:szCs w:val="24"/>
        </w:rPr>
      </w:pPr>
      <w:r w:rsidRPr="00216859">
        <w:rPr>
          <w:rFonts w:cs="Arial"/>
          <w:b/>
          <w:sz w:val="24"/>
          <w:szCs w:val="24"/>
        </w:rPr>
        <w:t xml:space="preserve">TERCERO: </w:t>
      </w:r>
      <w:r w:rsidRPr="00216859">
        <w:rPr>
          <w:rFonts w:cs="Arial"/>
          <w:sz w:val="24"/>
          <w:szCs w:val="24"/>
        </w:rPr>
        <w:t>Por Secretaría de la Corporación,</w:t>
      </w:r>
      <w:r w:rsidRPr="00216859">
        <w:rPr>
          <w:rFonts w:cs="Arial"/>
          <w:b/>
          <w:sz w:val="24"/>
          <w:szCs w:val="24"/>
        </w:rPr>
        <w:t xml:space="preserve"> REMITIR </w:t>
      </w:r>
      <w:r w:rsidRPr="00216859">
        <w:rPr>
          <w:rFonts w:cs="Arial"/>
          <w:sz w:val="24"/>
          <w:szCs w:val="24"/>
        </w:rPr>
        <w:t>el expediente electrónico al Consejo de Estado para lo de su competencia, dejando las constancias y anotaciones de rigor en el sistema de información judicial SAMAI.</w:t>
      </w:r>
    </w:p>
    <w:p w14:paraId="2DEAE075" w14:textId="77777777" w:rsidR="005975D3" w:rsidRPr="00216859" w:rsidRDefault="005975D3" w:rsidP="007E449E">
      <w:pPr>
        <w:spacing w:line="360" w:lineRule="auto"/>
        <w:jc w:val="both"/>
        <w:rPr>
          <w:rFonts w:cs="Arial"/>
          <w:sz w:val="24"/>
          <w:szCs w:val="24"/>
        </w:rPr>
      </w:pPr>
    </w:p>
    <w:p w14:paraId="019ABFC9" w14:textId="55BFA7A2" w:rsidR="005975D3" w:rsidRPr="00216859" w:rsidRDefault="005975D3" w:rsidP="007E449E">
      <w:pPr>
        <w:spacing w:line="360" w:lineRule="auto"/>
        <w:jc w:val="both"/>
        <w:rPr>
          <w:rFonts w:cs="Arial"/>
          <w:sz w:val="24"/>
          <w:szCs w:val="24"/>
        </w:rPr>
      </w:pPr>
      <w:r w:rsidRPr="00216859">
        <w:rPr>
          <w:rFonts w:cs="Arial"/>
          <w:b/>
          <w:sz w:val="24"/>
          <w:szCs w:val="24"/>
        </w:rPr>
        <w:t>CUARTO:</w:t>
      </w:r>
      <w:r w:rsidRPr="00216859">
        <w:rPr>
          <w:rFonts w:cs="Arial"/>
          <w:sz w:val="24"/>
          <w:szCs w:val="24"/>
        </w:rPr>
        <w:t xml:space="preserve"> </w:t>
      </w:r>
      <w:r w:rsidR="009E36D2" w:rsidRPr="00216859">
        <w:rPr>
          <w:rFonts w:cs="Arial"/>
          <w:b/>
          <w:sz w:val="24"/>
          <w:szCs w:val="24"/>
        </w:rPr>
        <w:t>NOTIFICAR</w:t>
      </w:r>
      <w:r w:rsidRPr="00216859">
        <w:rPr>
          <w:rFonts w:cs="Arial"/>
          <w:sz w:val="24"/>
          <w:szCs w:val="24"/>
        </w:rPr>
        <w:t xml:space="preserve"> por estado a las partes, la presente providencia en los términos del artículo 201 del CPACA, modificado por el artículo 50 de la Ley 2080 de 2021.</w:t>
      </w:r>
    </w:p>
    <w:p w14:paraId="6A78EF70" w14:textId="77777777" w:rsidR="00E933A8" w:rsidRPr="00216859" w:rsidRDefault="00E933A8" w:rsidP="00B219C1">
      <w:pPr>
        <w:spacing w:line="360" w:lineRule="auto"/>
        <w:jc w:val="both"/>
        <w:rPr>
          <w:rFonts w:cs="Arial"/>
          <w:sz w:val="24"/>
          <w:szCs w:val="24"/>
        </w:rPr>
      </w:pPr>
    </w:p>
    <w:p w14:paraId="3C868A22" w14:textId="77777777" w:rsidR="00A52F0C" w:rsidRPr="00216859" w:rsidRDefault="00E933A8" w:rsidP="00B219C1">
      <w:pPr>
        <w:spacing w:line="360" w:lineRule="auto"/>
        <w:jc w:val="both"/>
        <w:rPr>
          <w:rFonts w:cs="Arial"/>
          <w:b/>
          <w:sz w:val="24"/>
          <w:szCs w:val="24"/>
        </w:rPr>
      </w:pPr>
      <w:r w:rsidRPr="00216859">
        <w:rPr>
          <w:rFonts w:cs="Arial"/>
          <w:b/>
          <w:sz w:val="24"/>
          <w:szCs w:val="24"/>
        </w:rPr>
        <w:t>NOTIFÍQUESE Y CÚMPLASE</w:t>
      </w:r>
    </w:p>
    <w:p w14:paraId="68883ECD" w14:textId="77777777" w:rsidR="00B219C1" w:rsidRPr="00216859" w:rsidRDefault="00B219C1" w:rsidP="00B219C1">
      <w:pPr>
        <w:spacing w:line="360" w:lineRule="auto"/>
        <w:rPr>
          <w:rFonts w:cs="Arial"/>
          <w:b/>
          <w:sz w:val="24"/>
          <w:szCs w:val="24"/>
        </w:rPr>
      </w:pPr>
    </w:p>
    <w:p w14:paraId="4DDE26FF" w14:textId="77777777" w:rsidR="00E933A8" w:rsidRPr="00216859" w:rsidRDefault="00E933A8" w:rsidP="00B219C1">
      <w:pPr>
        <w:spacing w:line="360" w:lineRule="auto"/>
        <w:rPr>
          <w:rFonts w:cs="Arial"/>
          <w:b/>
          <w:sz w:val="24"/>
          <w:szCs w:val="24"/>
        </w:rPr>
      </w:pPr>
    </w:p>
    <w:p w14:paraId="5E8AED63" w14:textId="19A6BFAC" w:rsidR="00E933A8" w:rsidRPr="00216859" w:rsidRDefault="007B2440" w:rsidP="007B2440">
      <w:pPr>
        <w:spacing w:line="360" w:lineRule="auto"/>
        <w:jc w:val="center"/>
        <w:rPr>
          <w:rFonts w:cs="Arial"/>
          <w:sz w:val="24"/>
          <w:szCs w:val="24"/>
        </w:rPr>
      </w:pPr>
      <w:r w:rsidRPr="00216859">
        <w:rPr>
          <w:rFonts w:cs="Arial"/>
          <w:sz w:val="24"/>
          <w:szCs w:val="24"/>
        </w:rPr>
        <w:t xml:space="preserve">(Firmado electrónicamente en </w:t>
      </w:r>
      <w:proofErr w:type="spellStart"/>
      <w:r w:rsidRPr="00216859">
        <w:rPr>
          <w:rFonts w:cs="Arial"/>
          <w:sz w:val="24"/>
          <w:szCs w:val="24"/>
        </w:rPr>
        <w:t>Samai</w:t>
      </w:r>
      <w:proofErr w:type="spellEnd"/>
      <w:r w:rsidRPr="00216859">
        <w:rPr>
          <w:rFonts w:cs="Arial"/>
          <w:sz w:val="24"/>
          <w:szCs w:val="24"/>
        </w:rPr>
        <w:t>)</w:t>
      </w:r>
    </w:p>
    <w:p w14:paraId="12C1C642" w14:textId="77777777" w:rsidR="00B219C1" w:rsidRPr="00216859" w:rsidRDefault="00B219C1" w:rsidP="00B219C1">
      <w:pPr>
        <w:jc w:val="center"/>
        <w:rPr>
          <w:rFonts w:cs="Arial"/>
          <w:b/>
          <w:sz w:val="24"/>
          <w:szCs w:val="24"/>
          <w:lang w:val="es-ES_tradnl"/>
        </w:rPr>
      </w:pPr>
      <w:r w:rsidRPr="00216859">
        <w:rPr>
          <w:rFonts w:cs="Arial"/>
          <w:b/>
          <w:sz w:val="24"/>
          <w:szCs w:val="24"/>
          <w:lang w:val="es-ES_tradnl"/>
        </w:rPr>
        <w:t>FÉLIX ALBERTO RODRÍGUEZ RIVEROS</w:t>
      </w:r>
    </w:p>
    <w:p w14:paraId="2EDF9CE8" w14:textId="77777777" w:rsidR="00F44A8D" w:rsidRPr="00216859" w:rsidRDefault="00B219C1" w:rsidP="00E933A8">
      <w:pPr>
        <w:jc w:val="center"/>
        <w:rPr>
          <w:rFonts w:cs="Arial"/>
          <w:b/>
          <w:sz w:val="24"/>
          <w:szCs w:val="24"/>
          <w:lang w:val="es-ES_tradnl"/>
        </w:rPr>
      </w:pPr>
      <w:r w:rsidRPr="00216859">
        <w:rPr>
          <w:rFonts w:cs="Arial"/>
          <w:b/>
          <w:sz w:val="24"/>
          <w:szCs w:val="24"/>
          <w:lang w:val="es-ES_tradnl"/>
        </w:rPr>
        <w:t>Magistrado</w:t>
      </w:r>
    </w:p>
    <w:p w14:paraId="53933C55" w14:textId="77777777" w:rsidR="00B5443F" w:rsidRPr="00216859" w:rsidRDefault="00B5443F" w:rsidP="00E933A8">
      <w:pPr>
        <w:jc w:val="center"/>
        <w:rPr>
          <w:rFonts w:cs="Arial"/>
          <w:b/>
          <w:sz w:val="24"/>
          <w:szCs w:val="24"/>
          <w:lang w:val="es-ES_tradnl"/>
        </w:rPr>
      </w:pPr>
    </w:p>
    <w:p w14:paraId="527E70BB" w14:textId="77777777" w:rsidR="00B5443F" w:rsidRPr="00216859" w:rsidRDefault="00B5443F" w:rsidP="00E933A8">
      <w:pPr>
        <w:jc w:val="center"/>
        <w:rPr>
          <w:rFonts w:cs="Arial"/>
          <w:b/>
          <w:sz w:val="24"/>
          <w:szCs w:val="24"/>
          <w:lang w:val="es-ES_tradnl"/>
        </w:rPr>
      </w:pPr>
    </w:p>
    <w:p w14:paraId="57B78655" w14:textId="77777777" w:rsidR="00B5443F" w:rsidRPr="00216859" w:rsidRDefault="00B5443F" w:rsidP="00E933A8">
      <w:pPr>
        <w:jc w:val="center"/>
        <w:rPr>
          <w:rFonts w:cs="Arial"/>
          <w:b/>
          <w:sz w:val="24"/>
          <w:szCs w:val="24"/>
        </w:rPr>
      </w:pPr>
    </w:p>
    <w:sectPr w:rsidR="00B5443F" w:rsidRPr="00216859" w:rsidSect="00390A68">
      <w:pgSz w:w="12240" w:h="18720" w:code="14"/>
      <w:pgMar w:top="1417" w:right="1701" w:bottom="1417" w:left="1701"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1306" w14:textId="77777777" w:rsidR="009469A4" w:rsidRDefault="009469A4" w:rsidP="008E23A9">
      <w:r>
        <w:separator/>
      </w:r>
    </w:p>
  </w:endnote>
  <w:endnote w:type="continuationSeparator" w:id="0">
    <w:p w14:paraId="254B515A" w14:textId="77777777" w:rsidR="009469A4" w:rsidRDefault="009469A4" w:rsidP="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CD5C" w14:textId="77777777" w:rsidR="009469A4" w:rsidRDefault="009469A4" w:rsidP="008E23A9">
      <w:r>
        <w:separator/>
      </w:r>
    </w:p>
  </w:footnote>
  <w:footnote w:type="continuationSeparator" w:id="0">
    <w:p w14:paraId="3A0323E4" w14:textId="77777777" w:rsidR="009469A4" w:rsidRDefault="009469A4" w:rsidP="008E23A9">
      <w:r>
        <w:continuationSeparator/>
      </w:r>
    </w:p>
  </w:footnote>
  <w:footnote w:id="1">
    <w:p w14:paraId="1AF82C14" w14:textId="22023981" w:rsidR="003B6A9F" w:rsidRPr="00EA5010" w:rsidRDefault="003B6A9F" w:rsidP="00C1496A">
      <w:pPr>
        <w:pStyle w:val="Textonotapie"/>
        <w:jc w:val="both"/>
        <w:rPr>
          <w:rFonts w:ascii="Verdana" w:hAnsi="Verdana"/>
          <w:sz w:val="14"/>
          <w:szCs w:val="14"/>
        </w:rPr>
      </w:pPr>
      <w:r w:rsidRPr="00EA5010">
        <w:rPr>
          <w:rStyle w:val="Refdenotaalpie"/>
          <w:rFonts w:ascii="Verdana" w:hAnsi="Verdana"/>
          <w:sz w:val="14"/>
          <w:szCs w:val="14"/>
        </w:rPr>
        <w:footnoteRef/>
      </w:r>
      <w:r w:rsidRPr="00EA5010">
        <w:rPr>
          <w:rFonts w:ascii="Verdana" w:hAnsi="Verdana"/>
          <w:sz w:val="14"/>
          <w:szCs w:val="14"/>
        </w:rPr>
        <w:t xml:space="preserve"> </w:t>
      </w:r>
      <w:r w:rsidR="00CF05D0" w:rsidRPr="00EA5010">
        <w:rPr>
          <w:rFonts w:ascii="Verdana" w:hAnsi="Verdana"/>
          <w:sz w:val="14"/>
          <w:szCs w:val="14"/>
          <w:lang w:eastAsia="en-US"/>
        </w:rPr>
        <w:t xml:space="preserve">Consejo de Estado Sala de lo Contencioso Administrativo. Sección Tercera. Subsección C. Consejero Ponente: Jaime Orlando Santofimio Gamboa </w:t>
      </w:r>
      <w:r w:rsidRPr="00EA5010">
        <w:rPr>
          <w:rFonts w:ascii="Verdana" w:hAnsi="Verdana"/>
          <w:sz w:val="14"/>
          <w:szCs w:val="14"/>
          <w:lang w:eastAsia="en-US"/>
        </w:rPr>
        <w:t>doce (12) de diciembre de dos mil diecisiete (2017). Radicación número: 25000-23-36-000-2014-01318-03(58935).</w:t>
      </w:r>
    </w:p>
  </w:footnote>
  <w:footnote w:id="2">
    <w:p w14:paraId="1655AFE3" w14:textId="3868EBC4" w:rsidR="00EA5010" w:rsidRPr="00EA5010" w:rsidRDefault="00EA5010">
      <w:pPr>
        <w:pStyle w:val="Textonotapie"/>
        <w:rPr>
          <w:rFonts w:ascii="Verdana" w:hAnsi="Verdana"/>
          <w:sz w:val="14"/>
          <w:szCs w:val="14"/>
          <w:lang w:val="es-CO"/>
        </w:rPr>
      </w:pPr>
      <w:r w:rsidRPr="00EA5010">
        <w:rPr>
          <w:rStyle w:val="Refdenotaalpie"/>
          <w:rFonts w:ascii="Verdana" w:hAnsi="Verdana"/>
          <w:sz w:val="14"/>
          <w:szCs w:val="14"/>
        </w:rPr>
        <w:footnoteRef/>
      </w:r>
      <w:r w:rsidRPr="00EA5010">
        <w:rPr>
          <w:rFonts w:ascii="Verdana" w:hAnsi="Verdana"/>
          <w:sz w:val="14"/>
          <w:szCs w:val="14"/>
        </w:rPr>
        <w:t xml:space="preserve"> Consejo de Estado. Sección Cuarta. Auto de 21 de octubre de 2021. Expediente 11001-03-27-000-2020-0002200(25393). C.P. Stella Jeannette Carvajal.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8312C"/>
    <w:multiLevelType w:val="hybridMultilevel"/>
    <w:tmpl w:val="C79AF046"/>
    <w:lvl w:ilvl="0" w:tplc="0EF87CC4">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6E074223"/>
    <w:multiLevelType w:val="hybridMultilevel"/>
    <w:tmpl w:val="C79AF046"/>
    <w:lvl w:ilvl="0" w:tplc="0EF87CC4">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0E"/>
    <w:rsid w:val="00000CA8"/>
    <w:rsid w:val="00002A57"/>
    <w:rsid w:val="00004980"/>
    <w:rsid w:val="000061A6"/>
    <w:rsid w:val="00020C39"/>
    <w:rsid w:val="0002331F"/>
    <w:rsid w:val="00030829"/>
    <w:rsid w:val="000373CF"/>
    <w:rsid w:val="00040745"/>
    <w:rsid w:val="00041233"/>
    <w:rsid w:val="00042735"/>
    <w:rsid w:val="00045B38"/>
    <w:rsid w:val="00046425"/>
    <w:rsid w:val="000474E8"/>
    <w:rsid w:val="00051AE0"/>
    <w:rsid w:val="00054681"/>
    <w:rsid w:val="000661B6"/>
    <w:rsid w:val="00070485"/>
    <w:rsid w:val="000A2D59"/>
    <w:rsid w:val="000A40EE"/>
    <w:rsid w:val="000B188B"/>
    <w:rsid w:val="000B1ACC"/>
    <w:rsid w:val="000D0B44"/>
    <w:rsid w:val="000D7342"/>
    <w:rsid w:val="000D79EE"/>
    <w:rsid w:val="000E29A3"/>
    <w:rsid w:val="000E2D14"/>
    <w:rsid w:val="000E3559"/>
    <w:rsid w:val="00100FF0"/>
    <w:rsid w:val="00101AF4"/>
    <w:rsid w:val="00111B25"/>
    <w:rsid w:val="001350B9"/>
    <w:rsid w:val="001407BF"/>
    <w:rsid w:val="001454FD"/>
    <w:rsid w:val="00147443"/>
    <w:rsid w:val="00147F87"/>
    <w:rsid w:val="00151023"/>
    <w:rsid w:val="00151D8F"/>
    <w:rsid w:val="00161878"/>
    <w:rsid w:val="001627FA"/>
    <w:rsid w:val="0016538C"/>
    <w:rsid w:val="00166127"/>
    <w:rsid w:val="00171288"/>
    <w:rsid w:val="001863F4"/>
    <w:rsid w:val="0018734F"/>
    <w:rsid w:val="001956EF"/>
    <w:rsid w:val="00195A17"/>
    <w:rsid w:val="001A2DFE"/>
    <w:rsid w:val="001B017E"/>
    <w:rsid w:val="001B6A3E"/>
    <w:rsid w:val="001C189A"/>
    <w:rsid w:val="001C70FB"/>
    <w:rsid w:val="001D57FE"/>
    <w:rsid w:val="001E25EC"/>
    <w:rsid w:val="001E7EEA"/>
    <w:rsid w:val="001F0946"/>
    <w:rsid w:val="001F15ED"/>
    <w:rsid w:val="0020153B"/>
    <w:rsid w:val="002039D5"/>
    <w:rsid w:val="00203C79"/>
    <w:rsid w:val="00212909"/>
    <w:rsid w:val="00216859"/>
    <w:rsid w:val="00222EB5"/>
    <w:rsid w:val="00224CBB"/>
    <w:rsid w:val="00225999"/>
    <w:rsid w:val="002277E6"/>
    <w:rsid w:val="00227F3F"/>
    <w:rsid w:val="002322A2"/>
    <w:rsid w:val="00233F78"/>
    <w:rsid w:val="00244ECB"/>
    <w:rsid w:val="002469BA"/>
    <w:rsid w:val="0025728E"/>
    <w:rsid w:val="00257C49"/>
    <w:rsid w:val="00270903"/>
    <w:rsid w:val="002730E9"/>
    <w:rsid w:val="002776B0"/>
    <w:rsid w:val="0028081D"/>
    <w:rsid w:val="00281C0F"/>
    <w:rsid w:val="0028424B"/>
    <w:rsid w:val="002842B8"/>
    <w:rsid w:val="00284616"/>
    <w:rsid w:val="00285450"/>
    <w:rsid w:val="002879E7"/>
    <w:rsid w:val="002B4EEC"/>
    <w:rsid w:val="002B7A74"/>
    <w:rsid w:val="002C7C8F"/>
    <w:rsid w:val="002C7F0C"/>
    <w:rsid w:val="002D3E33"/>
    <w:rsid w:val="002D53EB"/>
    <w:rsid w:val="002D7D31"/>
    <w:rsid w:val="002F15B2"/>
    <w:rsid w:val="002F7A05"/>
    <w:rsid w:val="00301F7A"/>
    <w:rsid w:val="00303A31"/>
    <w:rsid w:val="003109FB"/>
    <w:rsid w:val="00317708"/>
    <w:rsid w:val="0032622A"/>
    <w:rsid w:val="00330CC4"/>
    <w:rsid w:val="003311CC"/>
    <w:rsid w:val="003337C1"/>
    <w:rsid w:val="003374B7"/>
    <w:rsid w:val="003501AE"/>
    <w:rsid w:val="003559A9"/>
    <w:rsid w:val="003633CF"/>
    <w:rsid w:val="003813E5"/>
    <w:rsid w:val="00387B26"/>
    <w:rsid w:val="00390A68"/>
    <w:rsid w:val="00390DDE"/>
    <w:rsid w:val="00392C5D"/>
    <w:rsid w:val="003A1361"/>
    <w:rsid w:val="003A170E"/>
    <w:rsid w:val="003A47F9"/>
    <w:rsid w:val="003B137E"/>
    <w:rsid w:val="003B44A1"/>
    <w:rsid w:val="003B4F05"/>
    <w:rsid w:val="003B5D1B"/>
    <w:rsid w:val="003B6A9F"/>
    <w:rsid w:val="003E1490"/>
    <w:rsid w:val="003E23F5"/>
    <w:rsid w:val="003E634F"/>
    <w:rsid w:val="003F5FA0"/>
    <w:rsid w:val="00402A06"/>
    <w:rsid w:val="00403767"/>
    <w:rsid w:val="00403D64"/>
    <w:rsid w:val="00404973"/>
    <w:rsid w:val="00414AB5"/>
    <w:rsid w:val="004157FB"/>
    <w:rsid w:val="004205B6"/>
    <w:rsid w:val="00422B8F"/>
    <w:rsid w:val="00423710"/>
    <w:rsid w:val="0043152C"/>
    <w:rsid w:val="00433214"/>
    <w:rsid w:val="00436A7A"/>
    <w:rsid w:val="00441C1B"/>
    <w:rsid w:val="00443212"/>
    <w:rsid w:val="00443569"/>
    <w:rsid w:val="00443C11"/>
    <w:rsid w:val="00445136"/>
    <w:rsid w:val="00447FDD"/>
    <w:rsid w:val="00453D86"/>
    <w:rsid w:val="00460B94"/>
    <w:rsid w:val="00476B2B"/>
    <w:rsid w:val="00477D27"/>
    <w:rsid w:val="00481192"/>
    <w:rsid w:val="004965F3"/>
    <w:rsid w:val="004B35FC"/>
    <w:rsid w:val="004B46AF"/>
    <w:rsid w:val="004C0B76"/>
    <w:rsid w:val="004C16AB"/>
    <w:rsid w:val="004D2ACF"/>
    <w:rsid w:val="004D5CB6"/>
    <w:rsid w:val="004E397E"/>
    <w:rsid w:val="004F40E6"/>
    <w:rsid w:val="004F4A92"/>
    <w:rsid w:val="004F79C8"/>
    <w:rsid w:val="00510075"/>
    <w:rsid w:val="00514863"/>
    <w:rsid w:val="0052730C"/>
    <w:rsid w:val="00530002"/>
    <w:rsid w:val="00530380"/>
    <w:rsid w:val="005402A8"/>
    <w:rsid w:val="00541ECA"/>
    <w:rsid w:val="00550DD5"/>
    <w:rsid w:val="005549B8"/>
    <w:rsid w:val="00555BF8"/>
    <w:rsid w:val="00565768"/>
    <w:rsid w:val="00566A24"/>
    <w:rsid w:val="005674FE"/>
    <w:rsid w:val="005728C2"/>
    <w:rsid w:val="00573423"/>
    <w:rsid w:val="00576095"/>
    <w:rsid w:val="00583B1C"/>
    <w:rsid w:val="005850A4"/>
    <w:rsid w:val="0058607B"/>
    <w:rsid w:val="005865A2"/>
    <w:rsid w:val="00591781"/>
    <w:rsid w:val="005917E5"/>
    <w:rsid w:val="00595E3E"/>
    <w:rsid w:val="005975D3"/>
    <w:rsid w:val="005A12AE"/>
    <w:rsid w:val="005A3A02"/>
    <w:rsid w:val="005A57CC"/>
    <w:rsid w:val="005B0EC9"/>
    <w:rsid w:val="005B4F54"/>
    <w:rsid w:val="005C4EB4"/>
    <w:rsid w:val="005D23BA"/>
    <w:rsid w:val="005D49D2"/>
    <w:rsid w:val="005D6CF4"/>
    <w:rsid w:val="005F06C1"/>
    <w:rsid w:val="005F2D64"/>
    <w:rsid w:val="005F499B"/>
    <w:rsid w:val="005F6B12"/>
    <w:rsid w:val="005F7302"/>
    <w:rsid w:val="00601D60"/>
    <w:rsid w:val="006046CC"/>
    <w:rsid w:val="006130CC"/>
    <w:rsid w:val="00613901"/>
    <w:rsid w:val="00617315"/>
    <w:rsid w:val="00620868"/>
    <w:rsid w:val="00622DF9"/>
    <w:rsid w:val="00637615"/>
    <w:rsid w:val="00642619"/>
    <w:rsid w:val="006426FF"/>
    <w:rsid w:val="006435C4"/>
    <w:rsid w:val="00644757"/>
    <w:rsid w:val="006522D1"/>
    <w:rsid w:val="00652BFE"/>
    <w:rsid w:val="00652C7D"/>
    <w:rsid w:val="00655F4A"/>
    <w:rsid w:val="00656607"/>
    <w:rsid w:val="00656CD3"/>
    <w:rsid w:val="00656FF0"/>
    <w:rsid w:val="006578C9"/>
    <w:rsid w:val="0066294C"/>
    <w:rsid w:val="006663E6"/>
    <w:rsid w:val="0067329D"/>
    <w:rsid w:val="00680429"/>
    <w:rsid w:val="006A36FE"/>
    <w:rsid w:val="006A3EB6"/>
    <w:rsid w:val="006A6AAC"/>
    <w:rsid w:val="006B6B8F"/>
    <w:rsid w:val="006C1D87"/>
    <w:rsid w:val="006C49B1"/>
    <w:rsid w:val="006D5F77"/>
    <w:rsid w:val="006E763F"/>
    <w:rsid w:val="006F02E1"/>
    <w:rsid w:val="006F1FC5"/>
    <w:rsid w:val="006F27A9"/>
    <w:rsid w:val="006F692B"/>
    <w:rsid w:val="00701826"/>
    <w:rsid w:val="00703550"/>
    <w:rsid w:val="00705D2A"/>
    <w:rsid w:val="007069B6"/>
    <w:rsid w:val="00711EB0"/>
    <w:rsid w:val="00715EAE"/>
    <w:rsid w:val="007208CB"/>
    <w:rsid w:val="00721391"/>
    <w:rsid w:val="0072212B"/>
    <w:rsid w:val="00725E67"/>
    <w:rsid w:val="00735008"/>
    <w:rsid w:val="00735A2B"/>
    <w:rsid w:val="0074701F"/>
    <w:rsid w:val="00747663"/>
    <w:rsid w:val="00747D2D"/>
    <w:rsid w:val="0075065B"/>
    <w:rsid w:val="00752DE0"/>
    <w:rsid w:val="00755D47"/>
    <w:rsid w:val="00772301"/>
    <w:rsid w:val="00776EA4"/>
    <w:rsid w:val="00787861"/>
    <w:rsid w:val="00787AA7"/>
    <w:rsid w:val="00791436"/>
    <w:rsid w:val="00791571"/>
    <w:rsid w:val="00791BF2"/>
    <w:rsid w:val="00793872"/>
    <w:rsid w:val="00794CD4"/>
    <w:rsid w:val="007A2FBB"/>
    <w:rsid w:val="007B1146"/>
    <w:rsid w:val="007B2440"/>
    <w:rsid w:val="007B4934"/>
    <w:rsid w:val="007C203B"/>
    <w:rsid w:val="007C2202"/>
    <w:rsid w:val="007C3BAA"/>
    <w:rsid w:val="007C5C51"/>
    <w:rsid w:val="007D0FC4"/>
    <w:rsid w:val="007E21C1"/>
    <w:rsid w:val="007E449E"/>
    <w:rsid w:val="007E4569"/>
    <w:rsid w:val="007E4E16"/>
    <w:rsid w:val="007E60A5"/>
    <w:rsid w:val="007F3CCD"/>
    <w:rsid w:val="007F4CD7"/>
    <w:rsid w:val="007F5775"/>
    <w:rsid w:val="007F69EA"/>
    <w:rsid w:val="00800587"/>
    <w:rsid w:val="00802E00"/>
    <w:rsid w:val="00803293"/>
    <w:rsid w:val="0081126B"/>
    <w:rsid w:val="00813EBA"/>
    <w:rsid w:val="0082113E"/>
    <w:rsid w:val="00826F02"/>
    <w:rsid w:val="00833100"/>
    <w:rsid w:val="008362FF"/>
    <w:rsid w:val="0083776A"/>
    <w:rsid w:val="00842D20"/>
    <w:rsid w:val="008467BA"/>
    <w:rsid w:val="008475E7"/>
    <w:rsid w:val="0085499D"/>
    <w:rsid w:val="00857959"/>
    <w:rsid w:val="0086504D"/>
    <w:rsid w:val="0086581F"/>
    <w:rsid w:val="0089346D"/>
    <w:rsid w:val="008A41AE"/>
    <w:rsid w:val="008A6F7C"/>
    <w:rsid w:val="008B62F5"/>
    <w:rsid w:val="008C7AA4"/>
    <w:rsid w:val="008D18D8"/>
    <w:rsid w:val="008D37CE"/>
    <w:rsid w:val="008D4265"/>
    <w:rsid w:val="008D44E5"/>
    <w:rsid w:val="008D52F7"/>
    <w:rsid w:val="008E23A9"/>
    <w:rsid w:val="008E67F7"/>
    <w:rsid w:val="008F5A8F"/>
    <w:rsid w:val="00902B54"/>
    <w:rsid w:val="00905A1D"/>
    <w:rsid w:val="0090626C"/>
    <w:rsid w:val="009071FE"/>
    <w:rsid w:val="00910E31"/>
    <w:rsid w:val="009330AF"/>
    <w:rsid w:val="00937993"/>
    <w:rsid w:val="00945EBA"/>
    <w:rsid w:val="009469A4"/>
    <w:rsid w:val="00950459"/>
    <w:rsid w:val="0095400F"/>
    <w:rsid w:val="0096042F"/>
    <w:rsid w:val="009633B8"/>
    <w:rsid w:val="00965B8B"/>
    <w:rsid w:val="00975EFB"/>
    <w:rsid w:val="009766C5"/>
    <w:rsid w:val="00984243"/>
    <w:rsid w:val="00985265"/>
    <w:rsid w:val="00985ADB"/>
    <w:rsid w:val="009867DD"/>
    <w:rsid w:val="00992281"/>
    <w:rsid w:val="00994858"/>
    <w:rsid w:val="00996CB9"/>
    <w:rsid w:val="00996FA3"/>
    <w:rsid w:val="009A13AE"/>
    <w:rsid w:val="009B394F"/>
    <w:rsid w:val="009B3B9E"/>
    <w:rsid w:val="009B3EE8"/>
    <w:rsid w:val="009C1AC3"/>
    <w:rsid w:val="009C4D58"/>
    <w:rsid w:val="009D0C3F"/>
    <w:rsid w:val="009D2950"/>
    <w:rsid w:val="009D41B8"/>
    <w:rsid w:val="009D5628"/>
    <w:rsid w:val="009D58D1"/>
    <w:rsid w:val="009D6462"/>
    <w:rsid w:val="009E36D2"/>
    <w:rsid w:val="009E5341"/>
    <w:rsid w:val="009F0109"/>
    <w:rsid w:val="009F247D"/>
    <w:rsid w:val="009F3E21"/>
    <w:rsid w:val="009F5136"/>
    <w:rsid w:val="009F6AFB"/>
    <w:rsid w:val="009F7524"/>
    <w:rsid w:val="00A0466A"/>
    <w:rsid w:val="00A060FF"/>
    <w:rsid w:val="00A1187B"/>
    <w:rsid w:val="00A1327F"/>
    <w:rsid w:val="00A15650"/>
    <w:rsid w:val="00A25995"/>
    <w:rsid w:val="00A329DE"/>
    <w:rsid w:val="00A35780"/>
    <w:rsid w:val="00A35F1F"/>
    <w:rsid w:val="00A52F0C"/>
    <w:rsid w:val="00A545FA"/>
    <w:rsid w:val="00A557AE"/>
    <w:rsid w:val="00A56364"/>
    <w:rsid w:val="00A76AE4"/>
    <w:rsid w:val="00A779B0"/>
    <w:rsid w:val="00A85849"/>
    <w:rsid w:val="00A86839"/>
    <w:rsid w:val="00A96F33"/>
    <w:rsid w:val="00AA22E8"/>
    <w:rsid w:val="00AA25AC"/>
    <w:rsid w:val="00AB1106"/>
    <w:rsid w:val="00AB2718"/>
    <w:rsid w:val="00AB7F30"/>
    <w:rsid w:val="00AC2A5E"/>
    <w:rsid w:val="00AC5BA8"/>
    <w:rsid w:val="00AC75E3"/>
    <w:rsid w:val="00AD34F6"/>
    <w:rsid w:val="00AF5809"/>
    <w:rsid w:val="00B0071E"/>
    <w:rsid w:val="00B052D0"/>
    <w:rsid w:val="00B0795C"/>
    <w:rsid w:val="00B07D82"/>
    <w:rsid w:val="00B219C1"/>
    <w:rsid w:val="00B22493"/>
    <w:rsid w:val="00B256CE"/>
    <w:rsid w:val="00B26E71"/>
    <w:rsid w:val="00B433E7"/>
    <w:rsid w:val="00B4598B"/>
    <w:rsid w:val="00B5443F"/>
    <w:rsid w:val="00B660B7"/>
    <w:rsid w:val="00B66182"/>
    <w:rsid w:val="00B70710"/>
    <w:rsid w:val="00B812B7"/>
    <w:rsid w:val="00B8255E"/>
    <w:rsid w:val="00B86262"/>
    <w:rsid w:val="00B915EB"/>
    <w:rsid w:val="00B92ADA"/>
    <w:rsid w:val="00B97759"/>
    <w:rsid w:val="00BA055D"/>
    <w:rsid w:val="00BA229B"/>
    <w:rsid w:val="00BA445F"/>
    <w:rsid w:val="00BA5753"/>
    <w:rsid w:val="00BB0144"/>
    <w:rsid w:val="00BC1EA9"/>
    <w:rsid w:val="00BC3963"/>
    <w:rsid w:val="00BC4103"/>
    <w:rsid w:val="00BC46FD"/>
    <w:rsid w:val="00BC62ED"/>
    <w:rsid w:val="00BD04A4"/>
    <w:rsid w:val="00BD46F6"/>
    <w:rsid w:val="00BD5F0B"/>
    <w:rsid w:val="00BE0CD4"/>
    <w:rsid w:val="00BE24EE"/>
    <w:rsid w:val="00BE2739"/>
    <w:rsid w:val="00BE48AF"/>
    <w:rsid w:val="00BE74AD"/>
    <w:rsid w:val="00BF7C65"/>
    <w:rsid w:val="00BF7DC7"/>
    <w:rsid w:val="00C02C01"/>
    <w:rsid w:val="00C047A6"/>
    <w:rsid w:val="00C05FCC"/>
    <w:rsid w:val="00C11748"/>
    <w:rsid w:val="00C1179D"/>
    <w:rsid w:val="00C13B81"/>
    <w:rsid w:val="00C1496A"/>
    <w:rsid w:val="00C23591"/>
    <w:rsid w:val="00C32A7F"/>
    <w:rsid w:val="00C33BDD"/>
    <w:rsid w:val="00C40E9F"/>
    <w:rsid w:val="00C51A21"/>
    <w:rsid w:val="00C51D1D"/>
    <w:rsid w:val="00C52009"/>
    <w:rsid w:val="00C601CE"/>
    <w:rsid w:val="00C61D3A"/>
    <w:rsid w:val="00C71E18"/>
    <w:rsid w:val="00C7298E"/>
    <w:rsid w:val="00C77D0E"/>
    <w:rsid w:val="00C80939"/>
    <w:rsid w:val="00C810D9"/>
    <w:rsid w:val="00C84998"/>
    <w:rsid w:val="00C92DBF"/>
    <w:rsid w:val="00C93E53"/>
    <w:rsid w:val="00C947E8"/>
    <w:rsid w:val="00C9777B"/>
    <w:rsid w:val="00CA39A8"/>
    <w:rsid w:val="00CB6572"/>
    <w:rsid w:val="00CC01AC"/>
    <w:rsid w:val="00CC1E21"/>
    <w:rsid w:val="00CC37BD"/>
    <w:rsid w:val="00CC3EF4"/>
    <w:rsid w:val="00CD268A"/>
    <w:rsid w:val="00CD50DE"/>
    <w:rsid w:val="00CD6836"/>
    <w:rsid w:val="00CE2633"/>
    <w:rsid w:val="00CE51DE"/>
    <w:rsid w:val="00CE61C0"/>
    <w:rsid w:val="00CE76E6"/>
    <w:rsid w:val="00CF05D0"/>
    <w:rsid w:val="00CF25BF"/>
    <w:rsid w:val="00CF540D"/>
    <w:rsid w:val="00D006C9"/>
    <w:rsid w:val="00D015AD"/>
    <w:rsid w:val="00D12A30"/>
    <w:rsid w:val="00D16FB7"/>
    <w:rsid w:val="00D17918"/>
    <w:rsid w:val="00D22BD3"/>
    <w:rsid w:val="00D23A95"/>
    <w:rsid w:val="00D3276F"/>
    <w:rsid w:val="00D33302"/>
    <w:rsid w:val="00D35F9C"/>
    <w:rsid w:val="00D36898"/>
    <w:rsid w:val="00D47263"/>
    <w:rsid w:val="00D47B0E"/>
    <w:rsid w:val="00D53B86"/>
    <w:rsid w:val="00D53EE8"/>
    <w:rsid w:val="00D54D87"/>
    <w:rsid w:val="00D55629"/>
    <w:rsid w:val="00D57216"/>
    <w:rsid w:val="00D573CA"/>
    <w:rsid w:val="00D61F1F"/>
    <w:rsid w:val="00D623F8"/>
    <w:rsid w:val="00D6643B"/>
    <w:rsid w:val="00D71A88"/>
    <w:rsid w:val="00D8363A"/>
    <w:rsid w:val="00D837EE"/>
    <w:rsid w:val="00D84FEB"/>
    <w:rsid w:val="00D87120"/>
    <w:rsid w:val="00D9042D"/>
    <w:rsid w:val="00D93343"/>
    <w:rsid w:val="00D939B2"/>
    <w:rsid w:val="00D94078"/>
    <w:rsid w:val="00D953F1"/>
    <w:rsid w:val="00DA3E3B"/>
    <w:rsid w:val="00DA4A40"/>
    <w:rsid w:val="00DB202A"/>
    <w:rsid w:val="00DB3526"/>
    <w:rsid w:val="00DB3568"/>
    <w:rsid w:val="00DB4E20"/>
    <w:rsid w:val="00DC107E"/>
    <w:rsid w:val="00DC2C9F"/>
    <w:rsid w:val="00DC6921"/>
    <w:rsid w:val="00DC7D51"/>
    <w:rsid w:val="00DD0DCD"/>
    <w:rsid w:val="00DD1268"/>
    <w:rsid w:val="00DD3496"/>
    <w:rsid w:val="00DD4692"/>
    <w:rsid w:val="00DD5197"/>
    <w:rsid w:val="00DD552F"/>
    <w:rsid w:val="00DD5966"/>
    <w:rsid w:val="00DD5A6A"/>
    <w:rsid w:val="00DD7B17"/>
    <w:rsid w:val="00DE1034"/>
    <w:rsid w:val="00DE4DF5"/>
    <w:rsid w:val="00DE5C54"/>
    <w:rsid w:val="00DF01E0"/>
    <w:rsid w:val="00DF26CE"/>
    <w:rsid w:val="00DF705E"/>
    <w:rsid w:val="00E0003A"/>
    <w:rsid w:val="00E001DD"/>
    <w:rsid w:val="00E030BF"/>
    <w:rsid w:val="00E03DD4"/>
    <w:rsid w:val="00E106D7"/>
    <w:rsid w:val="00E16504"/>
    <w:rsid w:val="00E2468D"/>
    <w:rsid w:val="00E32BB9"/>
    <w:rsid w:val="00E4195E"/>
    <w:rsid w:val="00E50254"/>
    <w:rsid w:val="00E572D1"/>
    <w:rsid w:val="00E60710"/>
    <w:rsid w:val="00E665FD"/>
    <w:rsid w:val="00E66FE0"/>
    <w:rsid w:val="00E676A9"/>
    <w:rsid w:val="00E779CF"/>
    <w:rsid w:val="00E77BEC"/>
    <w:rsid w:val="00E823FD"/>
    <w:rsid w:val="00E859B8"/>
    <w:rsid w:val="00E8646D"/>
    <w:rsid w:val="00E933A8"/>
    <w:rsid w:val="00E953A2"/>
    <w:rsid w:val="00EA2B24"/>
    <w:rsid w:val="00EA4A49"/>
    <w:rsid w:val="00EA5010"/>
    <w:rsid w:val="00EA59FE"/>
    <w:rsid w:val="00EA61AE"/>
    <w:rsid w:val="00EB1313"/>
    <w:rsid w:val="00EB7191"/>
    <w:rsid w:val="00EC2082"/>
    <w:rsid w:val="00ED3CF3"/>
    <w:rsid w:val="00ED6D6B"/>
    <w:rsid w:val="00ED736A"/>
    <w:rsid w:val="00ED7387"/>
    <w:rsid w:val="00EE3ED8"/>
    <w:rsid w:val="00EE6838"/>
    <w:rsid w:val="00EE7C0C"/>
    <w:rsid w:val="00EE7DA7"/>
    <w:rsid w:val="00EF236D"/>
    <w:rsid w:val="00EF7F7C"/>
    <w:rsid w:val="00F00E09"/>
    <w:rsid w:val="00F04244"/>
    <w:rsid w:val="00F0491A"/>
    <w:rsid w:val="00F04F5A"/>
    <w:rsid w:val="00F10CBC"/>
    <w:rsid w:val="00F13082"/>
    <w:rsid w:val="00F213FD"/>
    <w:rsid w:val="00F244A5"/>
    <w:rsid w:val="00F250B5"/>
    <w:rsid w:val="00F30B43"/>
    <w:rsid w:val="00F31C76"/>
    <w:rsid w:val="00F335EC"/>
    <w:rsid w:val="00F342E1"/>
    <w:rsid w:val="00F4293D"/>
    <w:rsid w:val="00F44A8D"/>
    <w:rsid w:val="00F5416C"/>
    <w:rsid w:val="00F56C2E"/>
    <w:rsid w:val="00F63923"/>
    <w:rsid w:val="00F74348"/>
    <w:rsid w:val="00F74A21"/>
    <w:rsid w:val="00F82FA4"/>
    <w:rsid w:val="00F8583F"/>
    <w:rsid w:val="00F90991"/>
    <w:rsid w:val="00F92C00"/>
    <w:rsid w:val="00F9587B"/>
    <w:rsid w:val="00F977B6"/>
    <w:rsid w:val="00FA29AA"/>
    <w:rsid w:val="00FA4F89"/>
    <w:rsid w:val="00FB150A"/>
    <w:rsid w:val="00FB1F10"/>
    <w:rsid w:val="00FB6358"/>
    <w:rsid w:val="00FB7F9D"/>
    <w:rsid w:val="00FC1FBA"/>
    <w:rsid w:val="00FC3300"/>
    <w:rsid w:val="00FD0370"/>
    <w:rsid w:val="00FD0D22"/>
    <w:rsid w:val="00FD50E2"/>
    <w:rsid w:val="00FD75B2"/>
    <w:rsid w:val="00FD7DB5"/>
    <w:rsid w:val="00FE4AEE"/>
    <w:rsid w:val="00FF2752"/>
    <w:rsid w:val="00FF3ED1"/>
    <w:rsid w:val="00FF5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47B0"/>
  <w15:docId w15:val="{B692E0FB-C86F-4691-A7C1-C9FF51E8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70E"/>
    <w:pPr>
      <w:overflowPunct w:val="0"/>
      <w:autoSpaceDE w:val="0"/>
      <w:autoSpaceDN w:val="0"/>
      <w:adjustRightInd w:val="0"/>
      <w:spacing w:after="0" w:line="240" w:lineRule="auto"/>
    </w:pPr>
    <w:rPr>
      <w:rFonts w:ascii="Arial" w:eastAsia="Times New Roman" w:hAnsi="Arial" w:cs="Times New Roman"/>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170E"/>
    <w:pPr>
      <w:autoSpaceDE w:val="0"/>
      <w:autoSpaceDN w:val="0"/>
      <w:adjustRightInd w:val="0"/>
      <w:spacing w:after="0" w:line="240" w:lineRule="auto"/>
    </w:pPr>
    <w:rPr>
      <w:rFonts w:ascii="Corbel" w:eastAsia="Times New Roman" w:hAnsi="Corbel" w:cs="Corbel"/>
      <w:color w:val="000000"/>
      <w:sz w:val="24"/>
      <w:szCs w:val="24"/>
      <w:lang w:eastAsia="es-ES"/>
    </w:rPr>
  </w:style>
  <w:style w:type="paragraph" w:styleId="Prrafodelista">
    <w:name w:val="List Paragraph"/>
    <w:basedOn w:val="Normal"/>
    <w:uiPriority w:val="34"/>
    <w:qFormat/>
    <w:rsid w:val="003A170E"/>
    <w:pPr>
      <w:overflowPunct/>
      <w:autoSpaceDE/>
      <w:autoSpaceDN/>
      <w:adjustRightInd/>
      <w:spacing w:after="200" w:line="276" w:lineRule="auto"/>
      <w:ind w:left="720"/>
      <w:contextualSpacing/>
    </w:pPr>
    <w:rPr>
      <w:rFonts w:ascii="Calibri" w:hAnsi="Calibri"/>
      <w:sz w:val="22"/>
      <w:szCs w:val="22"/>
      <w:lang w:eastAsia="en-US"/>
    </w:rPr>
  </w:style>
  <w:style w:type="paragraph" w:styleId="Textodeglobo">
    <w:name w:val="Balloon Text"/>
    <w:basedOn w:val="Normal"/>
    <w:link w:val="TextodegloboCar"/>
    <w:uiPriority w:val="99"/>
    <w:semiHidden/>
    <w:unhideWhenUsed/>
    <w:rsid w:val="003A17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70E"/>
    <w:rPr>
      <w:rFonts w:ascii="Tahoma" w:eastAsia="Times New Roman" w:hAnsi="Tahoma" w:cs="Tahoma"/>
      <w:sz w:val="16"/>
      <w:szCs w:val="16"/>
      <w:lang w:eastAsia="es-ES"/>
    </w:rPr>
  </w:style>
  <w:style w:type="paragraph" w:styleId="NormalWeb">
    <w:name w:val="Normal (Web)"/>
    <w:basedOn w:val="Normal"/>
    <w:uiPriority w:val="99"/>
    <w:unhideWhenUsed/>
    <w:rsid w:val="004F79C8"/>
    <w:pPr>
      <w:overflowPunct/>
      <w:autoSpaceDE/>
      <w:autoSpaceDN/>
      <w:adjustRightInd/>
      <w:spacing w:before="100" w:beforeAutospacing="1" w:after="100" w:afterAutospacing="1"/>
    </w:pPr>
    <w:rPr>
      <w:rFonts w:ascii="Times New Roman" w:hAnsi="Times New Roman"/>
      <w:sz w:val="24"/>
      <w:szCs w:val="24"/>
      <w:lang w:val="es-CO" w:eastAsia="es-CO"/>
    </w:rPr>
  </w:style>
  <w:style w:type="table" w:styleId="Tablaconcuadrcula">
    <w:name w:val="Table Grid"/>
    <w:basedOn w:val="Tablanormal"/>
    <w:uiPriority w:val="39"/>
    <w:rsid w:val="0077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E23A9"/>
    <w:rPr>
      <w:sz w:val="20"/>
    </w:rPr>
  </w:style>
  <w:style w:type="character" w:customStyle="1" w:styleId="TextonotapieCar">
    <w:name w:val="Texto nota pie Car"/>
    <w:basedOn w:val="Fuentedeprrafopredeter"/>
    <w:link w:val="Textonotapie"/>
    <w:uiPriority w:val="99"/>
    <w:semiHidden/>
    <w:rsid w:val="008E23A9"/>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8E23A9"/>
    <w:rPr>
      <w:vertAlign w:val="superscript"/>
    </w:rPr>
  </w:style>
  <w:style w:type="character" w:styleId="Textoennegrita">
    <w:name w:val="Strong"/>
    <w:basedOn w:val="Fuentedeprrafopredeter"/>
    <w:uiPriority w:val="99"/>
    <w:qFormat/>
    <w:rsid w:val="00BA5753"/>
    <w:rPr>
      <w:rFonts w:cs="Times New Roman"/>
      <w:b/>
    </w:rPr>
  </w:style>
  <w:style w:type="paragraph" w:styleId="Encabezado">
    <w:name w:val="header"/>
    <w:basedOn w:val="Normal"/>
    <w:link w:val="EncabezadoCar"/>
    <w:uiPriority w:val="99"/>
    <w:unhideWhenUsed/>
    <w:rsid w:val="005F6B12"/>
    <w:pPr>
      <w:tabs>
        <w:tab w:val="center" w:pos="4419"/>
        <w:tab w:val="right" w:pos="8838"/>
      </w:tabs>
    </w:pPr>
  </w:style>
  <w:style w:type="character" w:customStyle="1" w:styleId="EncabezadoCar">
    <w:name w:val="Encabezado Car"/>
    <w:basedOn w:val="Fuentedeprrafopredeter"/>
    <w:link w:val="Encabezado"/>
    <w:uiPriority w:val="99"/>
    <w:rsid w:val="005F6B12"/>
    <w:rPr>
      <w:rFonts w:ascii="Arial" w:eastAsia="Times New Roman" w:hAnsi="Arial" w:cs="Times New Roman"/>
      <w:sz w:val="32"/>
      <w:szCs w:val="20"/>
      <w:lang w:eastAsia="es-ES"/>
    </w:rPr>
  </w:style>
  <w:style w:type="paragraph" w:styleId="Piedepgina">
    <w:name w:val="footer"/>
    <w:basedOn w:val="Normal"/>
    <w:link w:val="PiedepginaCar"/>
    <w:uiPriority w:val="99"/>
    <w:unhideWhenUsed/>
    <w:rsid w:val="005F6B12"/>
    <w:pPr>
      <w:tabs>
        <w:tab w:val="center" w:pos="4419"/>
        <w:tab w:val="right" w:pos="8838"/>
      </w:tabs>
    </w:pPr>
  </w:style>
  <w:style w:type="character" w:customStyle="1" w:styleId="PiedepginaCar">
    <w:name w:val="Pie de página Car"/>
    <w:basedOn w:val="Fuentedeprrafopredeter"/>
    <w:link w:val="Piedepgina"/>
    <w:uiPriority w:val="99"/>
    <w:rsid w:val="005F6B12"/>
    <w:rPr>
      <w:rFonts w:ascii="Arial" w:eastAsia="Times New Roman" w:hAnsi="Arial" w:cs="Times New Roman"/>
      <w:sz w:val="32"/>
      <w:szCs w:val="20"/>
      <w:lang w:eastAsia="es-ES"/>
    </w:rPr>
  </w:style>
  <w:style w:type="character" w:styleId="Hipervnculo">
    <w:name w:val="Hyperlink"/>
    <w:basedOn w:val="Fuentedeprrafopredeter"/>
    <w:uiPriority w:val="99"/>
    <w:unhideWhenUsed/>
    <w:rsid w:val="00284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229">
      <w:bodyDiv w:val="1"/>
      <w:marLeft w:val="0"/>
      <w:marRight w:val="0"/>
      <w:marTop w:val="0"/>
      <w:marBottom w:val="0"/>
      <w:divBdr>
        <w:top w:val="none" w:sz="0" w:space="0" w:color="auto"/>
        <w:left w:val="none" w:sz="0" w:space="0" w:color="auto"/>
        <w:bottom w:val="none" w:sz="0" w:space="0" w:color="auto"/>
        <w:right w:val="none" w:sz="0" w:space="0" w:color="auto"/>
      </w:divBdr>
    </w:div>
    <w:div w:id="219441753">
      <w:bodyDiv w:val="1"/>
      <w:marLeft w:val="0"/>
      <w:marRight w:val="0"/>
      <w:marTop w:val="0"/>
      <w:marBottom w:val="0"/>
      <w:divBdr>
        <w:top w:val="none" w:sz="0" w:space="0" w:color="auto"/>
        <w:left w:val="none" w:sz="0" w:space="0" w:color="auto"/>
        <w:bottom w:val="none" w:sz="0" w:space="0" w:color="auto"/>
        <w:right w:val="none" w:sz="0" w:space="0" w:color="auto"/>
      </w:divBdr>
    </w:div>
    <w:div w:id="523832729">
      <w:bodyDiv w:val="1"/>
      <w:marLeft w:val="0"/>
      <w:marRight w:val="0"/>
      <w:marTop w:val="0"/>
      <w:marBottom w:val="0"/>
      <w:divBdr>
        <w:top w:val="none" w:sz="0" w:space="0" w:color="auto"/>
        <w:left w:val="none" w:sz="0" w:space="0" w:color="auto"/>
        <w:bottom w:val="none" w:sz="0" w:space="0" w:color="auto"/>
        <w:right w:val="none" w:sz="0" w:space="0" w:color="auto"/>
      </w:divBdr>
    </w:div>
    <w:div w:id="986475361">
      <w:bodyDiv w:val="1"/>
      <w:marLeft w:val="0"/>
      <w:marRight w:val="0"/>
      <w:marTop w:val="0"/>
      <w:marBottom w:val="0"/>
      <w:divBdr>
        <w:top w:val="none" w:sz="0" w:space="0" w:color="auto"/>
        <w:left w:val="none" w:sz="0" w:space="0" w:color="auto"/>
        <w:bottom w:val="none" w:sz="0" w:space="0" w:color="auto"/>
        <w:right w:val="none" w:sz="0" w:space="0" w:color="auto"/>
      </w:divBdr>
    </w:div>
    <w:div w:id="10553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rj.consejodeestado.gov.co/Vistas/Casos/list_procesos.aspx?guid=1500123330002022005190015001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rj.consejodeestado.gov.co/Vistas/Casos/list_procesos.aspx?guid=1500123330002022005190015001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A897-12BF-4D5F-836D-F27DB4AC7B6D}"/>
</file>

<file path=customXml/itemProps2.xml><?xml version="1.0" encoding="utf-8"?>
<ds:datastoreItem xmlns:ds="http://schemas.openxmlformats.org/officeDocument/2006/customXml" ds:itemID="{B71CE166-3E97-4E9F-84CC-7EF78CF8A7EB}">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A6FF3076-B28E-4363-8F33-D103B902F737}">
  <ds:schemaRefs>
    <ds:schemaRef ds:uri="http://schemas.microsoft.com/sharepoint/v3/contenttype/forms"/>
  </ds:schemaRefs>
</ds:datastoreItem>
</file>

<file path=customXml/itemProps4.xml><?xml version="1.0" encoding="utf-8"?>
<ds:datastoreItem xmlns:ds="http://schemas.openxmlformats.org/officeDocument/2006/customXml" ds:itemID="{B3A2CA9C-CFE1-4F0E-97A4-2BC00E77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5800</dc:creator>
  <cp:keywords/>
  <dc:description/>
  <cp:lastModifiedBy>Relatoria Tribunal Administrativo - Boyacá - Seccional Tunja</cp:lastModifiedBy>
  <cp:revision>2</cp:revision>
  <cp:lastPrinted>2019-07-04T22:49:00Z</cp:lastPrinted>
  <dcterms:created xsi:type="dcterms:W3CDTF">2023-06-15T15:55:00Z</dcterms:created>
  <dcterms:modified xsi:type="dcterms:W3CDTF">2023-06-15T15:55:00Z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