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F63E" w14:textId="70F03717" w:rsidR="00311F53" w:rsidRPr="00E33689" w:rsidRDefault="00311F53" w:rsidP="00F027E4">
      <w:pPr>
        <w:tabs>
          <w:tab w:val="left" w:pos="6216"/>
        </w:tabs>
        <w:rPr>
          <w:rFonts w:ascii="Century Gothic" w:hAnsi="Century Gothic" w:cs="Arial"/>
          <w:szCs w:val="24"/>
        </w:rPr>
      </w:pPr>
      <w:r w:rsidRPr="00E33689">
        <w:rPr>
          <w:rFonts w:ascii="Century Gothic" w:hAnsi="Century Gothic" w:cs="Arial"/>
          <w:szCs w:val="24"/>
        </w:rPr>
        <w:t xml:space="preserve">Tunja, </w:t>
      </w:r>
      <w:r w:rsidR="00D63C7F" w:rsidRPr="00E33689">
        <w:rPr>
          <w:rFonts w:ascii="Century Gothic" w:hAnsi="Century Gothic" w:cs="Arial"/>
          <w:szCs w:val="24"/>
        </w:rPr>
        <w:t>siete</w:t>
      </w:r>
      <w:r w:rsidRPr="00E33689">
        <w:rPr>
          <w:rFonts w:ascii="Century Gothic" w:hAnsi="Century Gothic" w:cs="Arial"/>
          <w:szCs w:val="24"/>
        </w:rPr>
        <w:t xml:space="preserve"> (</w:t>
      </w:r>
      <w:r w:rsidR="00D63C7F" w:rsidRPr="00E33689">
        <w:rPr>
          <w:rFonts w:ascii="Century Gothic" w:hAnsi="Century Gothic" w:cs="Arial"/>
          <w:szCs w:val="24"/>
        </w:rPr>
        <w:t>7</w:t>
      </w:r>
      <w:r w:rsidRPr="00E33689">
        <w:rPr>
          <w:rFonts w:ascii="Century Gothic" w:hAnsi="Century Gothic" w:cs="Arial"/>
          <w:szCs w:val="24"/>
        </w:rPr>
        <w:t xml:space="preserve">) de </w:t>
      </w:r>
      <w:r w:rsidR="00D63C7F" w:rsidRPr="00E33689">
        <w:rPr>
          <w:rFonts w:ascii="Century Gothic" w:hAnsi="Century Gothic" w:cs="Arial"/>
          <w:szCs w:val="24"/>
        </w:rPr>
        <w:t xml:space="preserve">mayo </w:t>
      </w:r>
      <w:r w:rsidRPr="00E33689">
        <w:rPr>
          <w:rFonts w:ascii="Century Gothic" w:hAnsi="Century Gothic" w:cs="Arial"/>
          <w:szCs w:val="24"/>
        </w:rPr>
        <w:t>de dos mil veintiuno (2021)</w:t>
      </w:r>
    </w:p>
    <w:p w14:paraId="20CFB114" w14:textId="77777777" w:rsidR="000B5403" w:rsidRPr="00E33689" w:rsidRDefault="000B5403" w:rsidP="00F027E4">
      <w:pPr>
        <w:rPr>
          <w:rFonts w:ascii="Century Gothic" w:hAnsi="Century Gothic" w:cs="Arial"/>
          <w:szCs w:val="24"/>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10"/>
        <w:gridCol w:w="6400"/>
      </w:tblGrid>
      <w:tr w:rsidR="000B5403" w:rsidRPr="00E33689" w14:paraId="08FE6604" w14:textId="77777777" w:rsidTr="00AF3978">
        <w:trPr>
          <w:trHeight w:val="287"/>
        </w:trPr>
        <w:tc>
          <w:tcPr>
            <w:tcW w:w="1240" w:type="pct"/>
            <w:shd w:val="clear" w:color="auto" w:fill="auto"/>
          </w:tcPr>
          <w:p w14:paraId="5AC9074F" w14:textId="77777777" w:rsidR="000B5403" w:rsidRPr="00E33689" w:rsidRDefault="000B5403" w:rsidP="00F027E4">
            <w:pPr>
              <w:rPr>
                <w:rFonts w:ascii="Century Gothic" w:hAnsi="Century Gothic" w:cs="Arial"/>
                <w:b/>
                <w:szCs w:val="24"/>
              </w:rPr>
            </w:pPr>
            <w:r w:rsidRPr="00E33689">
              <w:rPr>
                <w:rFonts w:ascii="Century Gothic" w:hAnsi="Century Gothic" w:cs="Arial"/>
                <w:b/>
                <w:szCs w:val="24"/>
              </w:rPr>
              <w:t>DEMANDANTE:</w:t>
            </w:r>
          </w:p>
        </w:tc>
        <w:tc>
          <w:tcPr>
            <w:tcW w:w="3760" w:type="pct"/>
            <w:shd w:val="clear" w:color="auto" w:fill="auto"/>
          </w:tcPr>
          <w:p w14:paraId="6D2A40A2" w14:textId="250795A7" w:rsidR="000B5403" w:rsidRPr="00E33689" w:rsidRDefault="00924390" w:rsidP="00F027E4">
            <w:pPr>
              <w:rPr>
                <w:rFonts w:ascii="Century Gothic" w:hAnsi="Century Gothic" w:cs="Arial"/>
                <w:szCs w:val="24"/>
              </w:rPr>
            </w:pPr>
            <w:r>
              <w:rPr>
                <w:rFonts w:ascii="Century Gothic" w:hAnsi="Century Gothic" w:cs="Arial"/>
                <w:iCs/>
                <w:szCs w:val="24"/>
              </w:rPr>
              <w:t>CARLOS JULIO GIL SIERRA</w:t>
            </w:r>
          </w:p>
        </w:tc>
      </w:tr>
      <w:tr w:rsidR="000B5403" w:rsidRPr="00E33689" w14:paraId="0349793D" w14:textId="77777777" w:rsidTr="00AF3978">
        <w:trPr>
          <w:trHeight w:val="51"/>
        </w:trPr>
        <w:tc>
          <w:tcPr>
            <w:tcW w:w="1240" w:type="pct"/>
            <w:shd w:val="clear" w:color="auto" w:fill="auto"/>
          </w:tcPr>
          <w:p w14:paraId="229C4EF1" w14:textId="77777777" w:rsidR="000B5403" w:rsidRPr="00E33689" w:rsidRDefault="000B5403" w:rsidP="00F027E4">
            <w:pPr>
              <w:rPr>
                <w:rFonts w:ascii="Century Gothic" w:hAnsi="Century Gothic" w:cs="Arial"/>
                <w:b/>
                <w:szCs w:val="24"/>
              </w:rPr>
            </w:pPr>
            <w:r w:rsidRPr="00E33689">
              <w:rPr>
                <w:rFonts w:ascii="Century Gothic" w:hAnsi="Century Gothic" w:cs="Arial"/>
                <w:b/>
                <w:szCs w:val="24"/>
              </w:rPr>
              <w:t>DEMANDADO:</w:t>
            </w:r>
          </w:p>
        </w:tc>
        <w:tc>
          <w:tcPr>
            <w:tcW w:w="3760" w:type="pct"/>
            <w:shd w:val="clear" w:color="auto" w:fill="auto"/>
          </w:tcPr>
          <w:p w14:paraId="618D42D3" w14:textId="5C0A661B" w:rsidR="000B5403" w:rsidRPr="00E33689" w:rsidRDefault="00924390" w:rsidP="00F027E4">
            <w:pPr>
              <w:rPr>
                <w:rFonts w:ascii="Century Gothic" w:hAnsi="Century Gothic"/>
                <w:szCs w:val="24"/>
              </w:rPr>
            </w:pPr>
            <w:r w:rsidRPr="00E33689">
              <w:rPr>
                <w:rFonts w:ascii="Century Gothic" w:hAnsi="Century Gothic"/>
                <w:szCs w:val="24"/>
              </w:rPr>
              <w:t xml:space="preserve">NACIÓN – </w:t>
            </w:r>
            <w:r>
              <w:rPr>
                <w:rFonts w:ascii="Century Gothic" w:hAnsi="Century Gothic"/>
                <w:szCs w:val="24"/>
              </w:rPr>
              <w:t>MINISTERIO DE EDUCACIÓN</w:t>
            </w:r>
            <w:r w:rsidRPr="00E33689">
              <w:rPr>
                <w:rFonts w:ascii="Century Gothic" w:hAnsi="Century Gothic"/>
                <w:szCs w:val="24"/>
              </w:rPr>
              <w:t xml:space="preserve"> – </w:t>
            </w:r>
            <w:r>
              <w:rPr>
                <w:rFonts w:ascii="Century Gothic" w:hAnsi="Century Gothic"/>
                <w:szCs w:val="24"/>
              </w:rPr>
              <w:t>FONDO NACIONAL DE PRESTACIONES SOCIALES DEL MAGISTERIO</w:t>
            </w:r>
          </w:p>
        </w:tc>
      </w:tr>
      <w:tr w:rsidR="000B5403" w:rsidRPr="00E33689" w14:paraId="36BD3150" w14:textId="77777777" w:rsidTr="00AF3978">
        <w:trPr>
          <w:trHeight w:val="287"/>
        </w:trPr>
        <w:tc>
          <w:tcPr>
            <w:tcW w:w="1240" w:type="pct"/>
            <w:shd w:val="clear" w:color="auto" w:fill="auto"/>
          </w:tcPr>
          <w:p w14:paraId="34BCD1CF" w14:textId="77777777" w:rsidR="000B5403" w:rsidRPr="00E33689" w:rsidRDefault="000B5403" w:rsidP="00F027E4">
            <w:pPr>
              <w:rPr>
                <w:rFonts w:ascii="Century Gothic" w:hAnsi="Century Gothic" w:cs="Arial"/>
                <w:b/>
                <w:szCs w:val="24"/>
              </w:rPr>
            </w:pPr>
            <w:r w:rsidRPr="00E33689">
              <w:rPr>
                <w:rFonts w:ascii="Century Gothic" w:hAnsi="Century Gothic" w:cs="Arial"/>
                <w:b/>
                <w:szCs w:val="24"/>
              </w:rPr>
              <w:t>RADICACIÓN:</w:t>
            </w:r>
          </w:p>
        </w:tc>
        <w:tc>
          <w:tcPr>
            <w:tcW w:w="3760" w:type="pct"/>
            <w:shd w:val="clear" w:color="auto" w:fill="auto"/>
          </w:tcPr>
          <w:p w14:paraId="4AC9B1F7" w14:textId="2C90C4B3" w:rsidR="000B5403" w:rsidRPr="00E33689" w:rsidRDefault="00CE539F" w:rsidP="00F027E4">
            <w:pPr>
              <w:rPr>
                <w:rFonts w:ascii="Century Gothic" w:hAnsi="Century Gothic" w:cs="Arial"/>
                <w:szCs w:val="24"/>
              </w:rPr>
            </w:pPr>
            <w:bookmarkStart w:id="0" w:name="_Hlk70525111"/>
            <w:bookmarkStart w:id="1" w:name="_GoBack"/>
            <w:r w:rsidRPr="00E33689">
              <w:rPr>
                <w:rFonts w:ascii="Century Gothic" w:hAnsi="Century Gothic" w:cs="Arial"/>
                <w:szCs w:val="24"/>
              </w:rPr>
              <w:t>15001-33-33-009-</w:t>
            </w:r>
            <w:r w:rsidRPr="00E33689">
              <w:rPr>
                <w:rFonts w:ascii="Century Gothic" w:hAnsi="Century Gothic" w:cs="Arial"/>
                <w:b/>
                <w:bCs/>
                <w:szCs w:val="24"/>
              </w:rPr>
              <w:t>2018</w:t>
            </w:r>
            <w:r w:rsidRPr="00E33689">
              <w:rPr>
                <w:rFonts w:ascii="Century Gothic" w:hAnsi="Century Gothic" w:cs="Arial"/>
                <w:szCs w:val="24"/>
              </w:rPr>
              <w:t>-</w:t>
            </w:r>
            <w:r w:rsidRPr="00E33689">
              <w:rPr>
                <w:rFonts w:ascii="Century Gothic" w:hAnsi="Century Gothic" w:cs="Arial"/>
                <w:b/>
                <w:bCs/>
                <w:szCs w:val="24"/>
              </w:rPr>
              <w:t>00099</w:t>
            </w:r>
            <w:r w:rsidRPr="00E33689">
              <w:rPr>
                <w:rFonts w:ascii="Century Gothic" w:hAnsi="Century Gothic" w:cs="Arial"/>
                <w:szCs w:val="24"/>
              </w:rPr>
              <w:t>-01</w:t>
            </w:r>
            <w:bookmarkEnd w:id="0"/>
            <w:bookmarkEnd w:id="1"/>
          </w:p>
        </w:tc>
      </w:tr>
      <w:tr w:rsidR="000B5403" w:rsidRPr="00E33689" w14:paraId="484B52B3" w14:textId="77777777" w:rsidTr="00AF3978">
        <w:trPr>
          <w:trHeight w:val="287"/>
        </w:trPr>
        <w:tc>
          <w:tcPr>
            <w:tcW w:w="1240" w:type="pct"/>
            <w:shd w:val="clear" w:color="auto" w:fill="auto"/>
          </w:tcPr>
          <w:p w14:paraId="1319A913" w14:textId="77777777" w:rsidR="000B5403" w:rsidRPr="00E33689" w:rsidRDefault="000B5403" w:rsidP="00F027E4">
            <w:pPr>
              <w:rPr>
                <w:rFonts w:ascii="Century Gothic" w:hAnsi="Century Gothic" w:cs="Arial"/>
                <w:b/>
                <w:szCs w:val="24"/>
              </w:rPr>
            </w:pPr>
            <w:r w:rsidRPr="00E33689">
              <w:rPr>
                <w:rFonts w:ascii="Century Gothic" w:hAnsi="Century Gothic" w:cs="Arial"/>
                <w:b/>
                <w:szCs w:val="24"/>
              </w:rPr>
              <w:t>REFERENCIA:</w:t>
            </w:r>
          </w:p>
        </w:tc>
        <w:tc>
          <w:tcPr>
            <w:tcW w:w="3760" w:type="pct"/>
            <w:shd w:val="clear" w:color="auto" w:fill="auto"/>
          </w:tcPr>
          <w:p w14:paraId="5A77FDAA" w14:textId="77777777" w:rsidR="000B5403" w:rsidRPr="00E33689" w:rsidRDefault="000B5403" w:rsidP="00F027E4">
            <w:pPr>
              <w:rPr>
                <w:rFonts w:ascii="Century Gothic" w:hAnsi="Century Gothic" w:cs="Arial"/>
                <w:szCs w:val="24"/>
              </w:rPr>
            </w:pPr>
            <w:r w:rsidRPr="00E33689">
              <w:rPr>
                <w:rFonts w:ascii="Century Gothic" w:hAnsi="Century Gothic" w:cs="Arial"/>
                <w:szCs w:val="24"/>
              </w:rPr>
              <w:t>EJECUTIVO</w:t>
            </w:r>
          </w:p>
        </w:tc>
      </w:tr>
      <w:tr w:rsidR="000B5403" w:rsidRPr="00E33689" w14:paraId="72085E67" w14:textId="77777777" w:rsidTr="00AF3978">
        <w:trPr>
          <w:trHeight w:val="287"/>
        </w:trPr>
        <w:tc>
          <w:tcPr>
            <w:tcW w:w="1240" w:type="pct"/>
            <w:shd w:val="clear" w:color="auto" w:fill="auto"/>
          </w:tcPr>
          <w:p w14:paraId="0CB0851B" w14:textId="77777777" w:rsidR="000B5403" w:rsidRPr="00E33689" w:rsidRDefault="000B5403" w:rsidP="00F027E4">
            <w:pPr>
              <w:rPr>
                <w:rFonts w:ascii="Century Gothic" w:hAnsi="Century Gothic" w:cs="Arial"/>
                <w:b/>
                <w:szCs w:val="24"/>
              </w:rPr>
            </w:pPr>
            <w:r w:rsidRPr="00E33689">
              <w:rPr>
                <w:rFonts w:ascii="Century Gothic" w:hAnsi="Century Gothic" w:cs="Arial"/>
                <w:b/>
                <w:szCs w:val="24"/>
              </w:rPr>
              <w:t>ASUNTO:</w:t>
            </w:r>
          </w:p>
        </w:tc>
        <w:tc>
          <w:tcPr>
            <w:tcW w:w="3760" w:type="pct"/>
            <w:shd w:val="clear" w:color="auto" w:fill="auto"/>
          </w:tcPr>
          <w:p w14:paraId="6AEF1BBF" w14:textId="49BD9D3F" w:rsidR="000B5403" w:rsidRPr="002B1FF8" w:rsidRDefault="000B5403" w:rsidP="00F027E4">
            <w:pPr>
              <w:rPr>
                <w:rFonts w:ascii="Century Gothic" w:hAnsi="Century Gothic" w:cs="Arial"/>
                <w:szCs w:val="24"/>
              </w:rPr>
            </w:pPr>
            <w:r w:rsidRPr="002B1FF8">
              <w:rPr>
                <w:rFonts w:ascii="Century Gothic" w:hAnsi="Century Gothic" w:cs="Arial"/>
                <w:szCs w:val="24"/>
              </w:rPr>
              <w:t>APELACIÓN CONTRA AUTO QUE DECRETA MEDIDA CAUTELAR</w:t>
            </w:r>
            <w:r w:rsidR="002B1FF8" w:rsidRPr="002B1FF8">
              <w:rPr>
                <w:rFonts w:ascii="Century Gothic" w:hAnsi="Century Gothic" w:cs="Arial"/>
                <w:szCs w:val="24"/>
              </w:rPr>
              <w:t xml:space="preserve"> – INDEPENDENCIA</w:t>
            </w:r>
            <w:r w:rsidR="0047403C" w:rsidRPr="002B1FF8">
              <w:rPr>
                <w:rFonts w:ascii="Century Gothic" w:hAnsi="Century Gothic" w:cs="Arial"/>
                <w:szCs w:val="24"/>
              </w:rPr>
              <w:t xml:space="preserve"> PATRIMONIAL DEL FOMAG</w:t>
            </w:r>
          </w:p>
        </w:tc>
      </w:tr>
    </w:tbl>
    <w:p w14:paraId="461A8489" w14:textId="77777777" w:rsidR="000B5403" w:rsidRPr="00E33689" w:rsidRDefault="000B5403" w:rsidP="00F027E4">
      <w:pPr>
        <w:rPr>
          <w:rFonts w:ascii="Century Gothic" w:hAnsi="Century Gothic" w:cs="Arial"/>
          <w:szCs w:val="24"/>
        </w:rPr>
      </w:pPr>
    </w:p>
    <w:p w14:paraId="025B6400" w14:textId="4EFF2403" w:rsidR="000B5403" w:rsidRPr="00E33689" w:rsidRDefault="00CE539F" w:rsidP="00F027E4">
      <w:pPr>
        <w:tabs>
          <w:tab w:val="left" w:pos="748"/>
        </w:tabs>
        <w:rPr>
          <w:rFonts w:ascii="Century Gothic" w:hAnsi="Century Gothic" w:cs="Arial"/>
          <w:szCs w:val="24"/>
        </w:rPr>
      </w:pPr>
      <w:r w:rsidRPr="00E33689">
        <w:rPr>
          <w:rFonts w:ascii="Century Gothic" w:hAnsi="Century Gothic" w:cs="Arial"/>
          <w:szCs w:val="24"/>
        </w:rPr>
        <w:t xml:space="preserve">Decide el despacho </w:t>
      </w:r>
      <w:r w:rsidR="000B5403" w:rsidRPr="00E33689">
        <w:rPr>
          <w:rFonts w:ascii="Century Gothic" w:hAnsi="Century Gothic" w:cs="Arial"/>
          <w:szCs w:val="24"/>
        </w:rPr>
        <w:t xml:space="preserve">el recurso de apelación interpuesto por la parte ejecutada contra la decisión relativa a decretar la medida cautelar de embargo pedida por la parte ejecutante, la cual fue adoptada mediante auto </w:t>
      </w:r>
      <w:r w:rsidR="009A10E1">
        <w:rPr>
          <w:rFonts w:ascii="Century Gothic" w:hAnsi="Century Gothic" w:cs="Arial"/>
          <w:szCs w:val="24"/>
        </w:rPr>
        <w:t xml:space="preserve">proferido el </w:t>
      </w:r>
      <w:r w:rsidRPr="00E33689">
        <w:rPr>
          <w:rFonts w:ascii="Century Gothic" w:hAnsi="Century Gothic" w:cs="Arial"/>
          <w:szCs w:val="24"/>
        </w:rPr>
        <w:t>27 de noviembre de 2020</w:t>
      </w:r>
      <w:r w:rsidR="000B5403" w:rsidRPr="00E33689">
        <w:rPr>
          <w:rFonts w:ascii="Century Gothic" w:hAnsi="Century Gothic" w:cs="Arial"/>
          <w:szCs w:val="24"/>
        </w:rPr>
        <w:t xml:space="preserve"> por el </w:t>
      </w:r>
      <w:r w:rsidRPr="00E33689">
        <w:rPr>
          <w:rFonts w:ascii="Century Gothic" w:hAnsi="Century Gothic" w:cs="Arial"/>
          <w:szCs w:val="24"/>
        </w:rPr>
        <w:t>Juzgado Sexto Administrativo Oral del Circuito Judicial de Tunja</w:t>
      </w:r>
      <w:r w:rsidR="000B5403" w:rsidRPr="00E33689">
        <w:rPr>
          <w:rFonts w:ascii="Century Gothic" w:hAnsi="Century Gothic" w:cs="Arial"/>
          <w:szCs w:val="24"/>
        </w:rPr>
        <w:t>.</w:t>
      </w:r>
    </w:p>
    <w:p w14:paraId="0717FA84" w14:textId="77777777" w:rsidR="000B5403" w:rsidRPr="00E33689" w:rsidRDefault="000B5403" w:rsidP="00F027E4">
      <w:pPr>
        <w:tabs>
          <w:tab w:val="left" w:pos="748"/>
        </w:tabs>
        <w:rPr>
          <w:rFonts w:ascii="Century Gothic" w:hAnsi="Century Gothic" w:cs="Arial"/>
          <w:szCs w:val="24"/>
        </w:rPr>
      </w:pPr>
    </w:p>
    <w:p w14:paraId="3DF25B5E" w14:textId="77777777" w:rsidR="000B5403" w:rsidRPr="00E33689" w:rsidRDefault="000B5403" w:rsidP="0086799E">
      <w:pPr>
        <w:pStyle w:val="Ttulo1"/>
      </w:pPr>
      <w:r w:rsidRPr="00E33689">
        <w:t>ANTECEDENTES</w:t>
      </w:r>
    </w:p>
    <w:p w14:paraId="15A80593" w14:textId="77777777" w:rsidR="000B5403" w:rsidRPr="00E33689" w:rsidRDefault="000B5403" w:rsidP="00F027E4">
      <w:pPr>
        <w:tabs>
          <w:tab w:val="left" w:pos="748"/>
        </w:tabs>
        <w:rPr>
          <w:rFonts w:ascii="Century Gothic" w:hAnsi="Century Gothic"/>
          <w:szCs w:val="24"/>
        </w:rPr>
      </w:pPr>
    </w:p>
    <w:p w14:paraId="69EA9A30" w14:textId="1B215348"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 xml:space="preserve">Mediante memorial radicado el </w:t>
      </w:r>
      <w:r w:rsidR="009F30AA" w:rsidRPr="00E33689">
        <w:rPr>
          <w:rFonts w:ascii="Century Gothic" w:hAnsi="Century Gothic"/>
          <w:szCs w:val="24"/>
        </w:rPr>
        <w:t>9</w:t>
      </w:r>
      <w:r w:rsidRPr="00E33689">
        <w:rPr>
          <w:rFonts w:ascii="Century Gothic" w:hAnsi="Century Gothic"/>
          <w:szCs w:val="24"/>
        </w:rPr>
        <w:t xml:space="preserve"> de </w:t>
      </w:r>
      <w:r w:rsidR="009F30AA" w:rsidRPr="00E33689">
        <w:rPr>
          <w:rFonts w:ascii="Century Gothic" w:hAnsi="Century Gothic"/>
          <w:szCs w:val="24"/>
        </w:rPr>
        <w:t xml:space="preserve">octubre </w:t>
      </w:r>
      <w:r w:rsidRPr="00E33689">
        <w:rPr>
          <w:rFonts w:ascii="Century Gothic" w:hAnsi="Century Gothic"/>
          <w:szCs w:val="24"/>
        </w:rPr>
        <w:t>de 20</w:t>
      </w:r>
      <w:r w:rsidR="009F30AA" w:rsidRPr="00E33689">
        <w:rPr>
          <w:rFonts w:ascii="Century Gothic" w:hAnsi="Century Gothic"/>
          <w:szCs w:val="24"/>
        </w:rPr>
        <w:t>20</w:t>
      </w:r>
      <w:r w:rsidRPr="00E33689">
        <w:rPr>
          <w:rFonts w:ascii="Century Gothic" w:hAnsi="Century Gothic"/>
          <w:szCs w:val="24"/>
        </w:rPr>
        <w:t xml:space="preserve">, la parte ejecutante solicitó que se decretara el embargo de los recursos </w:t>
      </w:r>
      <w:r w:rsidR="00702DC8" w:rsidRPr="00E33689">
        <w:rPr>
          <w:rFonts w:ascii="Century Gothic" w:hAnsi="Century Gothic"/>
          <w:szCs w:val="24"/>
        </w:rPr>
        <w:t xml:space="preserve">que el FOMAG (administrado por la </w:t>
      </w:r>
      <w:r w:rsidR="00924390">
        <w:rPr>
          <w:rFonts w:ascii="Century Gothic" w:hAnsi="Century Gothic"/>
          <w:szCs w:val="24"/>
        </w:rPr>
        <w:t>Fiduprevisora</w:t>
      </w:r>
      <w:r w:rsidR="00702DC8" w:rsidRPr="00E33689">
        <w:rPr>
          <w:rFonts w:ascii="Century Gothic" w:hAnsi="Century Gothic"/>
          <w:szCs w:val="24"/>
        </w:rPr>
        <w:t xml:space="preserve"> S.A.) </w:t>
      </w:r>
      <w:r w:rsidR="00000806">
        <w:rPr>
          <w:rFonts w:ascii="Century Gothic" w:hAnsi="Century Gothic"/>
          <w:szCs w:val="24"/>
        </w:rPr>
        <w:t>tuviera</w:t>
      </w:r>
      <w:r w:rsidR="00702DC8" w:rsidRPr="00E33689">
        <w:rPr>
          <w:rFonts w:ascii="Century Gothic" w:hAnsi="Century Gothic"/>
          <w:szCs w:val="24"/>
        </w:rPr>
        <w:t xml:space="preserve"> depositados en las siguientes cuentas del banco BBVA: </w:t>
      </w:r>
      <w:r w:rsidR="009F30AA" w:rsidRPr="00E33689">
        <w:rPr>
          <w:rFonts w:ascii="Century Gothic" w:hAnsi="Century Gothic"/>
          <w:szCs w:val="24"/>
        </w:rPr>
        <w:t>310-000161</w:t>
      </w:r>
      <w:r w:rsidR="00506CE1">
        <w:rPr>
          <w:rFonts w:ascii="Century Gothic" w:hAnsi="Century Gothic"/>
          <w:szCs w:val="24"/>
        </w:rPr>
        <w:t xml:space="preserve"> (DTN – Fondos Especiales Educación Superior)</w:t>
      </w:r>
      <w:r w:rsidR="009F30AA" w:rsidRPr="00E33689">
        <w:rPr>
          <w:rFonts w:ascii="Century Gothic" w:hAnsi="Century Gothic"/>
          <w:szCs w:val="24"/>
        </w:rPr>
        <w:t>, 310-002571</w:t>
      </w:r>
      <w:r w:rsidR="00506CE1">
        <w:rPr>
          <w:rFonts w:ascii="Century Gothic" w:hAnsi="Century Gothic"/>
          <w:szCs w:val="24"/>
        </w:rPr>
        <w:t xml:space="preserve"> (</w:t>
      </w:r>
      <w:r w:rsidR="0020532F">
        <w:rPr>
          <w:rFonts w:ascii="Century Gothic" w:hAnsi="Century Gothic"/>
          <w:szCs w:val="24"/>
        </w:rPr>
        <w:t xml:space="preserve">contribución </w:t>
      </w:r>
      <w:r w:rsidR="00506CE1">
        <w:rPr>
          <w:rFonts w:ascii="Century Gothic" w:hAnsi="Century Gothic"/>
          <w:szCs w:val="24"/>
        </w:rPr>
        <w:t>parafiscal Ley 21)</w:t>
      </w:r>
      <w:r w:rsidR="009F30AA" w:rsidRPr="00E33689">
        <w:rPr>
          <w:rFonts w:ascii="Century Gothic" w:hAnsi="Century Gothic"/>
          <w:szCs w:val="24"/>
        </w:rPr>
        <w:t xml:space="preserve">, 310-001763 </w:t>
      </w:r>
      <w:r w:rsidR="00506CE1">
        <w:rPr>
          <w:rFonts w:ascii="Century Gothic" w:hAnsi="Century Gothic"/>
          <w:szCs w:val="24"/>
        </w:rPr>
        <w:t xml:space="preserve">(DTN – gastos generales) </w:t>
      </w:r>
      <w:r w:rsidR="009F30AA" w:rsidRPr="00E33689">
        <w:rPr>
          <w:rFonts w:ascii="Century Gothic" w:hAnsi="Century Gothic"/>
          <w:szCs w:val="24"/>
        </w:rPr>
        <w:t>y 310-002563</w:t>
      </w:r>
      <w:r w:rsidR="00506CE1">
        <w:rPr>
          <w:rFonts w:ascii="Century Gothic" w:hAnsi="Century Gothic"/>
          <w:szCs w:val="24"/>
        </w:rPr>
        <w:t xml:space="preserve"> (Ley 21)</w:t>
      </w:r>
      <w:r w:rsidR="00D82F87" w:rsidRPr="00E33689">
        <w:rPr>
          <w:rStyle w:val="Refdenotaalpie"/>
          <w:rFonts w:ascii="Century Gothic" w:hAnsi="Century Gothic"/>
          <w:szCs w:val="24"/>
        </w:rPr>
        <w:footnoteReference w:id="1"/>
      </w:r>
      <w:r w:rsidR="009F30AA" w:rsidRPr="00E33689">
        <w:rPr>
          <w:rFonts w:ascii="Century Gothic" w:hAnsi="Century Gothic"/>
          <w:szCs w:val="24"/>
        </w:rPr>
        <w:t>.</w:t>
      </w:r>
    </w:p>
    <w:p w14:paraId="682A0FB5" w14:textId="77777777" w:rsidR="000B5403" w:rsidRPr="00E33689" w:rsidRDefault="000B5403" w:rsidP="00F027E4">
      <w:pPr>
        <w:tabs>
          <w:tab w:val="left" w:pos="748"/>
        </w:tabs>
        <w:rPr>
          <w:rFonts w:ascii="Century Gothic" w:hAnsi="Century Gothic"/>
          <w:szCs w:val="24"/>
        </w:rPr>
      </w:pPr>
    </w:p>
    <w:p w14:paraId="30A97EA7" w14:textId="77777777"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Esta petición fue resuelta a través del auto apelado.</w:t>
      </w:r>
    </w:p>
    <w:p w14:paraId="716C95B8" w14:textId="77777777" w:rsidR="000B5403" w:rsidRPr="00E33689" w:rsidRDefault="000B5403" w:rsidP="00F027E4">
      <w:pPr>
        <w:rPr>
          <w:rFonts w:ascii="Century Gothic" w:hAnsi="Century Gothic"/>
          <w:b/>
          <w:szCs w:val="24"/>
        </w:rPr>
      </w:pPr>
    </w:p>
    <w:p w14:paraId="6DB8B7DD" w14:textId="77777777" w:rsidR="000B5403" w:rsidRPr="00E33689" w:rsidRDefault="000B5403" w:rsidP="0086799E">
      <w:pPr>
        <w:pStyle w:val="Ttulo1"/>
      </w:pPr>
      <w:r w:rsidRPr="00E33689">
        <w:t>RECURSO DE APELACIÓN</w:t>
      </w:r>
    </w:p>
    <w:p w14:paraId="62729B95" w14:textId="77777777" w:rsidR="000B5403" w:rsidRPr="00E33689" w:rsidRDefault="000B5403" w:rsidP="00F027E4">
      <w:pPr>
        <w:tabs>
          <w:tab w:val="left" w:pos="748"/>
        </w:tabs>
        <w:rPr>
          <w:rFonts w:ascii="Century Gothic" w:hAnsi="Century Gothic"/>
          <w:szCs w:val="24"/>
        </w:rPr>
      </w:pPr>
    </w:p>
    <w:p w14:paraId="61C79E89" w14:textId="3C3CB8D8" w:rsidR="000B5403" w:rsidRPr="00E33689" w:rsidRDefault="000B5403" w:rsidP="0086799E">
      <w:pPr>
        <w:pStyle w:val="Ttulo2"/>
      </w:pPr>
      <w:r w:rsidRPr="00E33689">
        <w:t>Auto recurrido</w:t>
      </w:r>
      <w:r w:rsidR="00D82F87" w:rsidRPr="00E33689">
        <w:rPr>
          <w:rStyle w:val="Refdenotaalpie"/>
        </w:rPr>
        <w:footnoteReference w:id="2"/>
      </w:r>
    </w:p>
    <w:p w14:paraId="4219CDD4" w14:textId="77777777" w:rsidR="000B5403" w:rsidRPr="00E33689" w:rsidRDefault="000B5403" w:rsidP="00F027E4">
      <w:pPr>
        <w:tabs>
          <w:tab w:val="left" w:pos="748"/>
        </w:tabs>
        <w:rPr>
          <w:rFonts w:ascii="Century Gothic" w:hAnsi="Century Gothic"/>
          <w:szCs w:val="24"/>
        </w:rPr>
      </w:pPr>
    </w:p>
    <w:p w14:paraId="72FA129B" w14:textId="7398181D"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Se trata del auto del</w:t>
      </w:r>
      <w:r w:rsidR="00CE539F" w:rsidRPr="00E33689">
        <w:rPr>
          <w:rFonts w:ascii="Century Gothic" w:hAnsi="Century Gothic"/>
          <w:szCs w:val="24"/>
        </w:rPr>
        <w:t xml:space="preserve"> 27 de noviembre de 2020</w:t>
      </w:r>
      <w:r w:rsidRPr="00E33689">
        <w:rPr>
          <w:rFonts w:ascii="Century Gothic" w:hAnsi="Century Gothic"/>
          <w:szCs w:val="24"/>
        </w:rPr>
        <w:t xml:space="preserve">, por medio del cual el </w:t>
      </w:r>
      <w:r w:rsidR="00CE539F" w:rsidRPr="00E33689">
        <w:rPr>
          <w:rFonts w:ascii="Century Gothic" w:hAnsi="Century Gothic"/>
          <w:szCs w:val="24"/>
        </w:rPr>
        <w:t>Juzgado Sexto Administrativo Oral del Circuito Judicial de Tunja</w:t>
      </w:r>
      <w:r w:rsidRPr="00E33689">
        <w:rPr>
          <w:rFonts w:ascii="Century Gothic" w:hAnsi="Century Gothic"/>
          <w:szCs w:val="24"/>
        </w:rPr>
        <w:t xml:space="preserve"> </w:t>
      </w:r>
      <w:r w:rsidRPr="00E33689">
        <w:rPr>
          <w:rFonts w:ascii="Century Gothic" w:hAnsi="Century Gothic" w:cs="Arial"/>
          <w:szCs w:val="24"/>
        </w:rPr>
        <w:t xml:space="preserve">decretó </w:t>
      </w:r>
      <w:r w:rsidRPr="00E33689">
        <w:rPr>
          <w:rFonts w:ascii="Century Gothic" w:hAnsi="Century Gothic" w:cs="Arial"/>
          <w:szCs w:val="24"/>
        </w:rPr>
        <w:lastRenderedPageBreak/>
        <w:t>la medida cautelar de embargo pedida por la parte ejecutante,</w:t>
      </w:r>
      <w:r w:rsidRPr="00E33689">
        <w:rPr>
          <w:rFonts w:ascii="Century Gothic" w:hAnsi="Century Gothic"/>
          <w:szCs w:val="24"/>
        </w:rPr>
        <w:t xml:space="preserve"> bajo los siguientes argumentos:</w:t>
      </w:r>
    </w:p>
    <w:p w14:paraId="7EA8C748" w14:textId="77777777" w:rsidR="000B5403" w:rsidRPr="00E33689" w:rsidRDefault="000B5403" w:rsidP="00F027E4">
      <w:pPr>
        <w:tabs>
          <w:tab w:val="left" w:pos="748"/>
        </w:tabs>
        <w:rPr>
          <w:rFonts w:ascii="Century Gothic" w:hAnsi="Century Gothic"/>
          <w:szCs w:val="24"/>
        </w:rPr>
      </w:pPr>
    </w:p>
    <w:p w14:paraId="2BF2027A" w14:textId="19DB2E5E"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 xml:space="preserve">Sostuvo que </w:t>
      </w:r>
      <w:r w:rsidR="00021D05" w:rsidRPr="00E33689">
        <w:rPr>
          <w:rFonts w:ascii="Century Gothic" w:hAnsi="Century Gothic"/>
          <w:szCs w:val="24"/>
        </w:rPr>
        <w:t xml:space="preserve">el título base de recaudo corresponde a una sentencia </w:t>
      </w:r>
      <w:r w:rsidR="00D34DD7" w:rsidRPr="00E33689">
        <w:rPr>
          <w:rFonts w:ascii="Century Gothic" w:hAnsi="Century Gothic"/>
          <w:szCs w:val="24"/>
        </w:rPr>
        <w:t xml:space="preserve">judicial </w:t>
      </w:r>
      <w:r w:rsidR="00021D05" w:rsidRPr="00E33689">
        <w:rPr>
          <w:rFonts w:ascii="Century Gothic" w:hAnsi="Century Gothic"/>
          <w:szCs w:val="24"/>
        </w:rPr>
        <w:t xml:space="preserve">que ordena reliquidar una pensión de jubilación, motivo por el cual se enmarca en una de las excepciones al principio de inembargabilidad </w:t>
      </w:r>
      <w:r w:rsidR="00D34DD7">
        <w:rPr>
          <w:rFonts w:ascii="Century Gothic" w:hAnsi="Century Gothic"/>
          <w:szCs w:val="24"/>
        </w:rPr>
        <w:t xml:space="preserve">que ha </w:t>
      </w:r>
      <w:r w:rsidR="00021D05" w:rsidRPr="00E33689">
        <w:rPr>
          <w:rFonts w:ascii="Century Gothic" w:hAnsi="Century Gothic"/>
          <w:szCs w:val="24"/>
        </w:rPr>
        <w:t>decantado la jurisprudencia.</w:t>
      </w:r>
    </w:p>
    <w:p w14:paraId="1320D549" w14:textId="6DA31E9E" w:rsidR="00021D05" w:rsidRPr="00E33689" w:rsidRDefault="00021D05" w:rsidP="00F027E4">
      <w:pPr>
        <w:tabs>
          <w:tab w:val="left" w:pos="748"/>
        </w:tabs>
        <w:rPr>
          <w:rFonts w:ascii="Century Gothic" w:hAnsi="Century Gothic"/>
          <w:szCs w:val="24"/>
        </w:rPr>
      </w:pPr>
    </w:p>
    <w:p w14:paraId="25DA9015" w14:textId="6CE91438" w:rsidR="00021D05" w:rsidRPr="00E33689" w:rsidRDefault="00021D05" w:rsidP="00F027E4">
      <w:pPr>
        <w:tabs>
          <w:tab w:val="left" w:pos="748"/>
        </w:tabs>
        <w:rPr>
          <w:rFonts w:ascii="Century Gothic" w:hAnsi="Century Gothic"/>
          <w:szCs w:val="24"/>
        </w:rPr>
      </w:pPr>
      <w:r w:rsidRPr="00E33689">
        <w:rPr>
          <w:rFonts w:ascii="Century Gothic" w:hAnsi="Century Gothic"/>
          <w:szCs w:val="24"/>
        </w:rPr>
        <w:t>Indicó que por esa razón era procedente la medida cautelar de embargo y secuestro sobre las cuentas relacionadas por el ejecutante.</w:t>
      </w:r>
    </w:p>
    <w:p w14:paraId="7E55DCC1" w14:textId="77777777" w:rsidR="000B5403" w:rsidRPr="00E33689" w:rsidRDefault="000B5403" w:rsidP="00F027E4">
      <w:pPr>
        <w:tabs>
          <w:tab w:val="left" w:pos="748"/>
        </w:tabs>
        <w:rPr>
          <w:rFonts w:ascii="Century Gothic" w:hAnsi="Century Gothic"/>
          <w:szCs w:val="24"/>
        </w:rPr>
      </w:pPr>
    </w:p>
    <w:p w14:paraId="5E0DD1C3" w14:textId="13D7A582"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 xml:space="preserve">Limitó el monto del embargo a </w:t>
      </w:r>
      <w:r w:rsidR="00021D05" w:rsidRPr="00E33689">
        <w:rPr>
          <w:rFonts w:ascii="Century Gothic" w:hAnsi="Century Gothic"/>
          <w:szCs w:val="24"/>
        </w:rPr>
        <w:t>$6.079.017</w:t>
      </w:r>
      <w:r w:rsidR="002D53E4" w:rsidRPr="00E33689">
        <w:rPr>
          <w:rFonts w:ascii="Century Gothic" w:hAnsi="Century Gothic"/>
          <w:szCs w:val="24"/>
        </w:rPr>
        <w:t>, equivalente al valor pendiente de pago aumentado en un 50 %, de conformidad con el artículo 599 del CGP.</w:t>
      </w:r>
    </w:p>
    <w:p w14:paraId="53351A0E" w14:textId="77777777" w:rsidR="000B5403" w:rsidRPr="00E33689" w:rsidRDefault="000B5403" w:rsidP="00F027E4">
      <w:pPr>
        <w:tabs>
          <w:tab w:val="left" w:pos="748"/>
        </w:tabs>
        <w:rPr>
          <w:rFonts w:ascii="Century Gothic" w:hAnsi="Century Gothic"/>
          <w:szCs w:val="24"/>
        </w:rPr>
      </w:pPr>
    </w:p>
    <w:p w14:paraId="37355A5C" w14:textId="469CF33F" w:rsidR="000B5403" w:rsidRPr="00E33689" w:rsidRDefault="000B5403" w:rsidP="0086799E">
      <w:pPr>
        <w:pStyle w:val="Ttulo2"/>
        <w:rPr>
          <w:rFonts w:cs="Arial"/>
        </w:rPr>
      </w:pPr>
      <w:r w:rsidRPr="00E33689">
        <w:t>Fundamentos del recurso</w:t>
      </w:r>
      <w:r w:rsidR="00D82F87" w:rsidRPr="00E33689">
        <w:rPr>
          <w:rStyle w:val="Refdenotaalpie"/>
        </w:rPr>
        <w:footnoteReference w:id="3"/>
      </w:r>
    </w:p>
    <w:p w14:paraId="14D85C02" w14:textId="77777777" w:rsidR="000B5403" w:rsidRPr="00E33689" w:rsidRDefault="000B5403" w:rsidP="00F027E4">
      <w:pPr>
        <w:tabs>
          <w:tab w:val="left" w:pos="748"/>
        </w:tabs>
        <w:rPr>
          <w:rFonts w:ascii="Century Gothic" w:hAnsi="Century Gothic" w:cs="Arial"/>
          <w:szCs w:val="24"/>
        </w:rPr>
      </w:pPr>
    </w:p>
    <w:p w14:paraId="4B4E715F" w14:textId="7E8694D1" w:rsidR="000B5403" w:rsidRPr="00E33689" w:rsidRDefault="000B5403" w:rsidP="00F027E4">
      <w:pPr>
        <w:tabs>
          <w:tab w:val="left" w:pos="748"/>
        </w:tabs>
        <w:rPr>
          <w:rFonts w:ascii="Century Gothic" w:hAnsi="Century Gothic" w:cs="Arial"/>
          <w:szCs w:val="24"/>
        </w:rPr>
      </w:pPr>
      <w:r w:rsidRPr="00E33689">
        <w:rPr>
          <w:rFonts w:ascii="Century Gothic" w:hAnsi="Century Gothic" w:cs="Arial"/>
          <w:szCs w:val="24"/>
        </w:rPr>
        <w:t>Inconforme con la decisión anterior, la apoderada de la parte ejecutada</w:t>
      </w:r>
      <w:r w:rsidRPr="00E33689">
        <w:rPr>
          <w:rFonts w:ascii="Century Gothic" w:hAnsi="Century Gothic"/>
          <w:szCs w:val="24"/>
        </w:rPr>
        <w:t xml:space="preserve"> </w:t>
      </w:r>
      <w:r w:rsidRPr="00E33689">
        <w:rPr>
          <w:rFonts w:ascii="Century Gothic" w:hAnsi="Century Gothic" w:cs="Arial"/>
          <w:szCs w:val="24"/>
        </w:rPr>
        <w:t>interpuso recurso de apelación</w:t>
      </w:r>
      <w:r w:rsidR="00E86B00">
        <w:rPr>
          <w:rFonts w:ascii="Century Gothic" w:hAnsi="Century Gothic" w:cs="Arial"/>
          <w:szCs w:val="24"/>
        </w:rPr>
        <w:t xml:space="preserve">, </w:t>
      </w:r>
      <w:r w:rsidRPr="00E33689">
        <w:rPr>
          <w:rFonts w:ascii="Century Gothic" w:hAnsi="Century Gothic" w:cs="Arial"/>
          <w:szCs w:val="24"/>
        </w:rPr>
        <w:t>con los siguientes razonamientos:</w:t>
      </w:r>
    </w:p>
    <w:p w14:paraId="1B602FA4" w14:textId="66877B23" w:rsidR="000B5403" w:rsidRPr="00E33689" w:rsidRDefault="000B5403" w:rsidP="00F027E4">
      <w:pPr>
        <w:tabs>
          <w:tab w:val="left" w:pos="748"/>
        </w:tabs>
        <w:rPr>
          <w:rFonts w:ascii="Century Gothic" w:hAnsi="Century Gothic" w:cs="Arial"/>
          <w:szCs w:val="24"/>
        </w:rPr>
      </w:pPr>
    </w:p>
    <w:p w14:paraId="768BC946" w14:textId="02AE3A21" w:rsidR="00ED0EF8" w:rsidRPr="00E33689" w:rsidRDefault="00ED0EF8" w:rsidP="00F027E4">
      <w:pPr>
        <w:tabs>
          <w:tab w:val="left" w:pos="748"/>
        </w:tabs>
        <w:rPr>
          <w:rFonts w:ascii="Century Gothic" w:hAnsi="Century Gothic" w:cs="Arial"/>
          <w:szCs w:val="24"/>
        </w:rPr>
      </w:pPr>
      <w:r w:rsidRPr="00E33689">
        <w:rPr>
          <w:rFonts w:ascii="Century Gothic" w:hAnsi="Century Gothic" w:cs="Arial"/>
          <w:szCs w:val="24"/>
        </w:rPr>
        <w:t>Aseguró que el FOMAG es una cuenta especial de la Nación creada en virtud de la Ley 91 de 1989, sin personería jurídica, con independencia patrimonial, contable y estadística.</w:t>
      </w:r>
    </w:p>
    <w:p w14:paraId="230734F6" w14:textId="77777777" w:rsidR="00ED0EF8" w:rsidRPr="00E33689" w:rsidRDefault="00ED0EF8" w:rsidP="00F027E4">
      <w:pPr>
        <w:tabs>
          <w:tab w:val="left" w:pos="748"/>
        </w:tabs>
        <w:rPr>
          <w:rFonts w:ascii="Century Gothic" w:hAnsi="Century Gothic" w:cs="Arial"/>
          <w:szCs w:val="24"/>
        </w:rPr>
      </w:pPr>
    </w:p>
    <w:p w14:paraId="72BD9D9C" w14:textId="257D145C" w:rsidR="000B5403" w:rsidRPr="00E33689" w:rsidRDefault="000B5403" w:rsidP="00F027E4">
      <w:pPr>
        <w:tabs>
          <w:tab w:val="left" w:pos="748"/>
        </w:tabs>
        <w:rPr>
          <w:rFonts w:ascii="Century Gothic" w:hAnsi="Century Gothic" w:cs="Arial"/>
          <w:szCs w:val="24"/>
        </w:rPr>
      </w:pPr>
      <w:r w:rsidRPr="00E33689">
        <w:rPr>
          <w:rFonts w:ascii="Century Gothic" w:hAnsi="Century Gothic" w:cs="Arial"/>
          <w:szCs w:val="24"/>
        </w:rPr>
        <w:t xml:space="preserve">Afirmó que </w:t>
      </w:r>
      <w:bookmarkStart w:id="2" w:name="_Hlk70529324"/>
      <w:r w:rsidR="006E2102" w:rsidRPr="00E33689">
        <w:rPr>
          <w:rFonts w:ascii="Century Gothic" w:hAnsi="Century Gothic" w:cs="Arial"/>
          <w:szCs w:val="24"/>
        </w:rPr>
        <w:t xml:space="preserve">los recursos que reposan en las cuentas bancarias a nombre de la entidad ejecutada </w:t>
      </w:r>
      <w:r w:rsidR="00C81A8F" w:rsidRPr="00E33689">
        <w:rPr>
          <w:rFonts w:ascii="Century Gothic" w:hAnsi="Century Gothic" w:cs="Arial"/>
          <w:szCs w:val="24"/>
        </w:rPr>
        <w:t xml:space="preserve">tienen destinación específica y </w:t>
      </w:r>
      <w:r w:rsidR="006E2102" w:rsidRPr="00E33689">
        <w:rPr>
          <w:rFonts w:ascii="Century Gothic" w:hAnsi="Century Gothic" w:cs="Arial"/>
          <w:szCs w:val="24"/>
        </w:rPr>
        <w:t>corresponden al pago de la contribución de la Ley 21 de 1982</w:t>
      </w:r>
      <w:bookmarkEnd w:id="2"/>
      <w:r w:rsidR="006E2102" w:rsidRPr="00E33689">
        <w:rPr>
          <w:rFonts w:ascii="Century Gothic" w:hAnsi="Century Gothic" w:cs="Arial"/>
          <w:szCs w:val="24"/>
        </w:rPr>
        <w:t xml:space="preserve">, </w:t>
      </w:r>
      <w:r w:rsidR="00C81A8F" w:rsidRPr="00E33689">
        <w:rPr>
          <w:rFonts w:ascii="Century Gothic" w:hAnsi="Century Gothic" w:cs="Arial"/>
          <w:szCs w:val="24"/>
        </w:rPr>
        <w:t>dirigida a</w:t>
      </w:r>
      <w:r w:rsidR="006E2102" w:rsidRPr="00E33689">
        <w:rPr>
          <w:rFonts w:ascii="Century Gothic" w:hAnsi="Century Gothic" w:cs="Arial"/>
          <w:szCs w:val="24"/>
        </w:rPr>
        <w:t xml:space="preserve"> financiar el Plan Nacional </w:t>
      </w:r>
      <w:r w:rsidR="00C81A8F" w:rsidRPr="00E33689">
        <w:rPr>
          <w:rFonts w:ascii="Century Gothic" w:hAnsi="Century Gothic" w:cs="Arial"/>
          <w:szCs w:val="24"/>
        </w:rPr>
        <w:t xml:space="preserve">de </w:t>
      </w:r>
      <w:r w:rsidR="006E2102" w:rsidRPr="00E33689">
        <w:rPr>
          <w:rFonts w:ascii="Century Gothic" w:hAnsi="Century Gothic" w:cs="Arial"/>
          <w:szCs w:val="24"/>
        </w:rPr>
        <w:t>Infraestructura Educativa (PNIE)</w:t>
      </w:r>
      <w:r w:rsidR="00C81A8F" w:rsidRPr="00E33689">
        <w:rPr>
          <w:rFonts w:ascii="Century Gothic" w:hAnsi="Century Gothic" w:cs="Arial"/>
          <w:szCs w:val="24"/>
        </w:rPr>
        <w:t>.</w:t>
      </w:r>
      <w:r w:rsidR="00ED0EF8" w:rsidRPr="00E33689">
        <w:rPr>
          <w:rFonts w:ascii="Century Gothic" w:hAnsi="Century Gothic" w:cs="Arial"/>
          <w:szCs w:val="24"/>
        </w:rPr>
        <w:t xml:space="preserve"> Por ende, </w:t>
      </w:r>
      <w:r w:rsidR="00ED0EF8" w:rsidRPr="00E33689">
        <w:rPr>
          <w:rFonts w:ascii="Century Gothic" w:hAnsi="Century Gothic" w:cs="Arial"/>
          <w:i/>
          <w:iCs/>
          <w:sz w:val="22"/>
        </w:rPr>
        <w:t xml:space="preserve">“estos dineros no hacen parte de los recursos con los cuales se pagan las prestaciones sociales del </w:t>
      </w:r>
      <w:r w:rsidR="00924390">
        <w:rPr>
          <w:rFonts w:ascii="Century Gothic" w:hAnsi="Century Gothic" w:cs="Arial"/>
          <w:i/>
          <w:iCs/>
          <w:sz w:val="22"/>
        </w:rPr>
        <w:t>Fondo Nacional de Prestaciones Sociales del Magisterio</w:t>
      </w:r>
      <w:r w:rsidR="00ED0EF8" w:rsidRPr="00E33689">
        <w:rPr>
          <w:rFonts w:ascii="Century Gothic" w:hAnsi="Century Gothic" w:cs="Arial"/>
          <w:i/>
          <w:iCs/>
          <w:sz w:val="22"/>
        </w:rPr>
        <w:t>-FOMAG, en consecuencia no pueden ser utilizados ni ejecutados para otros fines”</w:t>
      </w:r>
      <w:r w:rsidR="00ED0EF8" w:rsidRPr="00E33689">
        <w:rPr>
          <w:rFonts w:ascii="Century Gothic" w:hAnsi="Century Gothic" w:cs="Arial"/>
          <w:szCs w:val="24"/>
        </w:rPr>
        <w:t>.</w:t>
      </w:r>
    </w:p>
    <w:p w14:paraId="1D0E4FA2" w14:textId="4911CAD9" w:rsidR="00B705EF" w:rsidRPr="00E33689" w:rsidRDefault="00B705EF" w:rsidP="00F027E4">
      <w:pPr>
        <w:tabs>
          <w:tab w:val="left" w:pos="748"/>
        </w:tabs>
        <w:rPr>
          <w:rFonts w:ascii="Century Gothic" w:hAnsi="Century Gothic" w:cs="Arial"/>
          <w:szCs w:val="24"/>
        </w:rPr>
      </w:pPr>
    </w:p>
    <w:p w14:paraId="4A9FCE3C" w14:textId="55615B0C" w:rsidR="00B705EF" w:rsidRPr="00E33689" w:rsidRDefault="00B705EF" w:rsidP="00F027E4">
      <w:pPr>
        <w:tabs>
          <w:tab w:val="left" w:pos="748"/>
        </w:tabs>
        <w:rPr>
          <w:rFonts w:ascii="Century Gothic" w:hAnsi="Century Gothic" w:cs="Arial"/>
          <w:szCs w:val="24"/>
        </w:rPr>
      </w:pPr>
      <w:r w:rsidRPr="00E33689">
        <w:rPr>
          <w:rFonts w:ascii="Century Gothic" w:hAnsi="Century Gothic" w:cs="Arial"/>
          <w:szCs w:val="24"/>
        </w:rPr>
        <w:t xml:space="preserve">Citó los artículos 597-11 y 594-1 del CGP para afirmar que los dineros sobre los cuales recayó la cautela son inembargables por hacer parte del </w:t>
      </w:r>
      <w:r w:rsidR="007B673C" w:rsidRPr="00E33689">
        <w:rPr>
          <w:rFonts w:ascii="Century Gothic" w:hAnsi="Century Gothic" w:cs="Arial"/>
          <w:szCs w:val="24"/>
        </w:rPr>
        <w:t xml:space="preserve">Presupuesto General </w:t>
      </w:r>
      <w:r w:rsidRPr="00E33689">
        <w:rPr>
          <w:rFonts w:ascii="Century Gothic" w:hAnsi="Century Gothic" w:cs="Arial"/>
          <w:szCs w:val="24"/>
        </w:rPr>
        <w:t>de la Nación</w:t>
      </w:r>
      <w:r w:rsidR="00F027E4">
        <w:rPr>
          <w:rFonts w:ascii="Century Gothic" w:hAnsi="Century Gothic" w:cs="Arial"/>
          <w:szCs w:val="24"/>
        </w:rPr>
        <w:t xml:space="preserve"> y r</w:t>
      </w:r>
      <w:r w:rsidRPr="00E33689">
        <w:rPr>
          <w:rFonts w:ascii="Century Gothic" w:hAnsi="Century Gothic" w:cs="Arial"/>
          <w:szCs w:val="24"/>
        </w:rPr>
        <w:t>ecalcó este argumento con la transcripción del artículo 63 de la Constitución y de un aparte de la sentencia C-1154 de 2008, proferida por la Corte Constitucional.</w:t>
      </w:r>
    </w:p>
    <w:p w14:paraId="6F5459B0" w14:textId="77777777" w:rsidR="000B5403" w:rsidRPr="00E33689" w:rsidRDefault="000B5403" w:rsidP="00F027E4">
      <w:pPr>
        <w:tabs>
          <w:tab w:val="left" w:pos="748"/>
        </w:tabs>
        <w:rPr>
          <w:rFonts w:ascii="Century Gothic" w:hAnsi="Century Gothic"/>
          <w:szCs w:val="24"/>
        </w:rPr>
      </w:pPr>
    </w:p>
    <w:p w14:paraId="1201A40F" w14:textId="1F8C7610"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 xml:space="preserve">Manifestó que </w:t>
      </w:r>
      <w:r w:rsidR="00B705EF" w:rsidRPr="00E33689">
        <w:rPr>
          <w:rFonts w:ascii="Century Gothic" w:hAnsi="Century Gothic"/>
          <w:i/>
          <w:iCs/>
          <w:sz w:val="22"/>
        </w:rPr>
        <w:t>“</w:t>
      </w:r>
      <w:r w:rsidR="00B705EF" w:rsidRPr="00E33689">
        <w:rPr>
          <w:rFonts w:ascii="Century Gothic" w:hAnsi="Century Gothic"/>
          <w:sz w:val="22"/>
        </w:rPr>
        <w:t>[t]</w:t>
      </w:r>
      <w:r w:rsidR="00B705EF" w:rsidRPr="00E33689">
        <w:rPr>
          <w:rFonts w:ascii="Century Gothic" w:hAnsi="Century Gothic"/>
          <w:i/>
          <w:iCs/>
          <w:sz w:val="22"/>
        </w:rPr>
        <w:t xml:space="preserve">ales recursos </w:t>
      </w:r>
      <w:r w:rsidR="00ED0EF8" w:rsidRPr="00E33689">
        <w:rPr>
          <w:rFonts w:ascii="Century Gothic" w:hAnsi="Century Gothic"/>
          <w:sz w:val="22"/>
        </w:rPr>
        <w:t>[los del FOMAG]</w:t>
      </w:r>
      <w:r w:rsidR="00ED0EF8" w:rsidRPr="00E33689">
        <w:rPr>
          <w:rFonts w:ascii="Century Gothic" w:hAnsi="Century Gothic"/>
          <w:i/>
          <w:iCs/>
          <w:sz w:val="22"/>
        </w:rPr>
        <w:t xml:space="preserve"> </w:t>
      </w:r>
      <w:r w:rsidR="00B705EF" w:rsidRPr="00E33689">
        <w:rPr>
          <w:rFonts w:ascii="Century Gothic" w:hAnsi="Century Gothic"/>
          <w:i/>
          <w:iCs/>
          <w:sz w:val="22"/>
        </w:rPr>
        <w:t xml:space="preserve">tienen destinación específica, dentro de cuyos objetivos está el pago de prestaciones sociales del personal afiliado, su manejo fue previsto por la citada ley a través de contrato de fiducia, que impone la creación de un patrimonio autónomo por efecto del mismo por efecto del mismo, según lo dispone el artículo 1233 del código de comercio y </w:t>
      </w:r>
      <w:r w:rsidR="00B705EF" w:rsidRPr="00E33689">
        <w:rPr>
          <w:rFonts w:ascii="Century Gothic" w:hAnsi="Century Gothic"/>
          <w:i/>
          <w:iCs/>
          <w:sz w:val="22"/>
        </w:rPr>
        <w:lastRenderedPageBreak/>
        <w:t>además de acuerdo a la finalidad contemplada en el acto que lo constituye, lo cual imprime la característica de ser inembargable”</w:t>
      </w:r>
      <w:r w:rsidR="00B705EF" w:rsidRPr="00E33689">
        <w:rPr>
          <w:rFonts w:ascii="Century Gothic" w:hAnsi="Century Gothic"/>
          <w:szCs w:val="24"/>
        </w:rPr>
        <w:t>.</w:t>
      </w:r>
    </w:p>
    <w:p w14:paraId="63FF954F" w14:textId="77777777" w:rsidR="000B5403" w:rsidRPr="00E33689" w:rsidRDefault="000B5403" w:rsidP="00F027E4">
      <w:pPr>
        <w:tabs>
          <w:tab w:val="left" w:pos="748"/>
        </w:tabs>
        <w:rPr>
          <w:rFonts w:ascii="Century Gothic" w:hAnsi="Century Gothic"/>
          <w:szCs w:val="24"/>
        </w:rPr>
      </w:pPr>
    </w:p>
    <w:p w14:paraId="5F0FEAF0" w14:textId="542FC835"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 xml:space="preserve">Sostuvo que </w:t>
      </w:r>
      <w:r w:rsidR="005B74AE" w:rsidRPr="00E33689">
        <w:rPr>
          <w:rFonts w:ascii="Century Gothic" w:hAnsi="Century Gothic"/>
          <w:szCs w:val="24"/>
        </w:rPr>
        <w:t xml:space="preserve">los recursos constitutivos del patrimonio autónomo provienen, entre otros, de la Nación, aportes fiscales y parafiscales que componen el </w:t>
      </w:r>
      <w:r w:rsidR="00BD0784" w:rsidRPr="00E33689">
        <w:rPr>
          <w:rFonts w:ascii="Century Gothic" w:hAnsi="Century Gothic"/>
          <w:szCs w:val="24"/>
        </w:rPr>
        <w:t xml:space="preserve">Presupuesto General </w:t>
      </w:r>
      <w:r w:rsidR="005B74AE" w:rsidRPr="00E33689">
        <w:rPr>
          <w:rFonts w:ascii="Century Gothic" w:hAnsi="Century Gothic"/>
          <w:szCs w:val="24"/>
        </w:rPr>
        <w:t>de la Nación y</w:t>
      </w:r>
      <w:r w:rsidR="004E4859" w:rsidRPr="00E33689">
        <w:rPr>
          <w:rFonts w:ascii="Century Gothic" w:hAnsi="Century Gothic"/>
          <w:szCs w:val="24"/>
        </w:rPr>
        <w:t>,</w:t>
      </w:r>
      <w:r w:rsidR="005B74AE" w:rsidRPr="00E33689">
        <w:rPr>
          <w:rFonts w:ascii="Century Gothic" w:hAnsi="Century Gothic"/>
          <w:szCs w:val="24"/>
        </w:rPr>
        <w:t xml:space="preserve"> por esa razón</w:t>
      </w:r>
      <w:r w:rsidR="004E4859" w:rsidRPr="00E33689">
        <w:rPr>
          <w:rFonts w:ascii="Century Gothic" w:hAnsi="Century Gothic"/>
          <w:szCs w:val="24"/>
        </w:rPr>
        <w:t>,</w:t>
      </w:r>
      <w:r w:rsidR="005B74AE" w:rsidRPr="00E33689">
        <w:rPr>
          <w:rFonts w:ascii="Century Gothic" w:hAnsi="Century Gothic"/>
          <w:szCs w:val="24"/>
        </w:rPr>
        <w:t xml:space="preserve"> gozan de protección e inembargabilidad</w:t>
      </w:r>
      <w:r w:rsidR="00ED58F4" w:rsidRPr="00E33689">
        <w:rPr>
          <w:rFonts w:ascii="Century Gothic" w:hAnsi="Century Gothic"/>
          <w:szCs w:val="24"/>
        </w:rPr>
        <w:t>.</w:t>
      </w:r>
    </w:p>
    <w:p w14:paraId="00B4E0F8" w14:textId="77777777" w:rsidR="000B5403" w:rsidRPr="00E33689" w:rsidRDefault="000B5403" w:rsidP="00F027E4">
      <w:pPr>
        <w:tabs>
          <w:tab w:val="left" w:pos="748"/>
        </w:tabs>
        <w:rPr>
          <w:rFonts w:ascii="Century Gothic" w:hAnsi="Century Gothic"/>
          <w:szCs w:val="24"/>
        </w:rPr>
      </w:pPr>
    </w:p>
    <w:p w14:paraId="46CA23EA" w14:textId="231332E8" w:rsidR="000B5403" w:rsidRPr="00E33689" w:rsidRDefault="000B5403" w:rsidP="00F027E4">
      <w:pPr>
        <w:tabs>
          <w:tab w:val="left" w:pos="748"/>
        </w:tabs>
        <w:rPr>
          <w:rFonts w:ascii="Century Gothic" w:hAnsi="Century Gothic"/>
          <w:szCs w:val="24"/>
        </w:rPr>
      </w:pPr>
      <w:r w:rsidRPr="00E33689">
        <w:rPr>
          <w:rFonts w:ascii="Century Gothic" w:hAnsi="Century Gothic"/>
          <w:szCs w:val="24"/>
        </w:rPr>
        <w:t>Esgrimió que</w:t>
      </w:r>
      <w:r w:rsidR="006E2102" w:rsidRPr="00E33689">
        <w:rPr>
          <w:rFonts w:ascii="Century Gothic" w:hAnsi="Century Gothic"/>
          <w:szCs w:val="24"/>
        </w:rPr>
        <w:t xml:space="preserve"> </w:t>
      </w:r>
      <w:r w:rsidR="002C7F69" w:rsidRPr="00E33689">
        <w:rPr>
          <w:rFonts w:ascii="Century Gothic" w:hAnsi="Century Gothic"/>
          <w:szCs w:val="24"/>
        </w:rPr>
        <w:t xml:space="preserve">las sentencias judiciales </w:t>
      </w:r>
      <w:r w:rsidR="002C7F69" w:rsidRPr="00E33689">
        <w:rPr>
          <w:rFonts w:ascii="Century Gothic" w:hAnsi="Century Gothic"/>
          <w:i/>
          <w:iCs/>
          <w:sz w:val="22"/>
        </w:rPr>
        <w:t>“deben cancelarse teniendo en cuenta el presupuesto dado por el Ministerio de Hacienda y según el turno de beneficiarios en el que se encuentra”</w:t>
      </w:r>
      <w:r w:rsidR="00CC3664">
        <w:rPr>
          <w:rFonts w:ascii="Century Gothic" w:hAnsi="Century Gothic"/>
          <w:szCs w:val="24"/>
        </w:rPr>
        <w:t xml:space="preserve">, </w:t>
      </w:r>
      <w:r w:rsidR="004B5505" w:rsidRPr="00E33689">
        <w:rPr>
          <w:rFonts w:ascii="Century Gothic" w:hAnsi="Century Gothic"/>
          <w:szCs w:val="24"/>
        </w:rPr>
        <w:t xml:space="preserve">y añadió que actualmente la entidad adelantaba </w:t>
      </w:r>
      <w:r w:rsidR="00A87643">
        <w:rPr>
          <w:rFonts w:ascii="Century Gothic" w:hAnsi="Century Gothic"/>
          <w:szCs w:val="24"/>
        </w:rPr>
        <w:t>acciones</w:t>
      </w:r>
      <w:r w:rsidR="004B5505" w:rsidRPr="00E33689">
        <w:rPr>
          <w:rFonts w:ascii="Century Gothic" w:hAnsi="Century Gothic"/>
          <w:szCs w:val="24"/>
        </w:rPr>
        <w:t xml:space="preserve"> para pagar este tipo de acreencias con mayor celeridad.</w:t>
      </w:r>
    </w:p>
    <w:p w14:paraId="53D0AF42" w14:textId="6E7C106C" w:rsidR="000B5403" w:rsidRPr="00E33689" w:rsidRDefault="000B5403" w:rsidP="00F027E4">
      <w:pPr>
        <w:tabs>
          <w:tab w:val="left" w:pos="748"/>
        </w:tabs>
        <w:rPr>
          <w:rFonts w:ascii="Century Gothic" w:hAnsi="Century Gothic" w:cs="Arial"/>
          <w:szCs w:val="24"/>
        </w:rPr>
      </w:pPr>
    </w:p>
    <w:p w14:paraId="7D7476F2" w14:textId="43838FB4" w:rsidR="00FA1BF0" w:rsidRPr="00E33689" w:rsidRDefault="00FA1BF0" w:rsidP="00FA1BF0">
      <w:pPr>
        <w:pStyle w:val="Ttulo2"/>
        <w:rPr>
          <w:rFonts w:cs="Arial"/>
        </w:rPr>
      </w:pPr>
      <w:r w:rsidRPr="00E33689">
        <w:t>Oposición de la contraparte</w:t>
      </w:r>
      <w:r w:rsidR="004B5505" w:rsidRPr="00E33689">
        <w:rPr>
          <w:rStyle w:val="Refdenotaalpie"/>
        </w:rPr>
        <w:footnoteReference w:id="4"/>
      </w:r>
    </w:p>
    <w:p w14:paraId="288EDFF8" w14:textId="026714F0" w:rsidR="00FA1BF0" w:rsidRPr="00E33689" w:rsidRDefault="00FA1BF0" w:rsidP="00F027E4">
      <w:pPr>
        <w:tabs>
          <w:tab w:val="left" w:pos="748"/>
        </w:tabs>
        <w:rPr>
          <w:rFonts w:ascii="Century Gothic" w:hAnsi="Century Gothic" w:cs="Arial"/>
          <w:szCs w:val="24"/>
        </w:rPr>
      </w:pPr>
    </w:p>
    <w:p w14:paraId="479AFD59" w14:textId="384987F0" w:rsidR="00B46B6D" w:rsidRPr="00E33689" w:rsidRDefault="0093363D" w:rsidP="00F027E4">
      <w:pPr>
        <w:tabs>
          <w:tab w:val="left" w:pos="748"/>
        </w:tabs>
        <w:rPr>
          <w:rFonts w:ascii="Century Gothic" w:hAnsi="Century Gothic" w:cs="Arial"/>
          <w:szCs w:val="24"/>
        </w:rPr>
      </w:pPr>
      <w:r w:rsidRPr="00E33689">
        <w:rPr>
          <w:rFonts w:ascii="Century Gothic" w:hAnsi="Century Gothic" w:cs="Arial"/>
          <w:szCs w:val="24"/>
        </w:rPr>
        <w:t>El apoderado de la parte ejecutante descorrió el traslado del recurso y afirmó que la sentencia C-1154 de 2008</w:t>
      </w:r>
      <w:r w:rsidR="00DB3840">
        <w:rPr>
          <w:rFonts w:ascii="Century Gothic" w:hAnsi="Century Gothic" w:cs="Arial"/>
          <w:szCs w:val="24"/>
        </w:rPr>
        <w:t>, dictada por la Corte Constitucional</w:t>
      </w:r>
      <w:r w:rsidR="005914CE">
        <w:rPr>
          <w:rFonts w:ascii="Century Gothic" w:hAnsi="Century Gothic" w:cs="Arial"/>
          <w:szCs w:val="24"/>
        </w:rPr>
        <w:t>,</w:t>
      </w:r>
      <w:r w:rsidRPr="00E33689">
        <w:rPr>
          <w:rFonts w:ascii="Century Gothic" w:hAnsi="Century Gothic" w:cs="Arial"/>
          <w:szCs w:val="24"/>
        </w:rPr>
        <w:t xml:space="preserve"> estableció </w:t>
      </w:r>
      <w:r w:rsidR="00677FB7" w:rsidRPr="00E33689">
        <w:rPr>
          <w:rFonts w:ascii="Century Gothic" w:hAnsi="Century Gothic" w:cs="Arial"/>
          <w:szCs w:val="24"/>
        </w:rPr>
        <w:t>e</w:t>
      </w:r>
      <w:r w:rsidRPr="00E33689">
        <w:rPr>
          <w:rFonts w:ascii="Century Gothic" w:hAnsi="Century Gothic" w:cs="Arial"/>
          <w:szCs w:val="24"/>
        </w:rPr>
        <w:t xml:space="preserve">xcepciones </w:t>
      </w:r>
      <w:r w:rsidR="00677FB7" w:rsidRPr="00E33689">
        <w:rPr>
          <w:rFonts w:ascii="Century Gothic" w:hAnsi="Century Gothic" w:cs="Arial"/>
          <w:szCs w:val="24"/>
        </w:rPr>
        <w:t xml:space="preserve">a </w:t>
      </w:r>
      <w:r w:rsidRPr="00E33689">
        <w:rPr>
          <w:rFonts w:ascii="Century Gothic" w:hAnsi="Century Gothic" w:cs="Arial"/>
          <w:szCs w:val="24"/>
        </w:rPr>
        <w:t xml:space="preserve">la inembargabilidad de los </w:t>
      </w:r>
      <w:r w:rsidR="00677FB7" w:rsidRPr="00E33689">
        <w:rPr>
          <w:rFonts w:ascii="Century Gothic" w:hAnsi="Century Gothic" w:cs="Arial"/>
          <w:szCs w:val="24"/>
        </w:rPr>
        <w:t>recursos públicos</w:t>
      </w:r>
      <w:r w:rsidRPr="00E33689">
        <w:rPr>
          <w:rFonts w:ascii="Century Gothic" w:hAnsi="Century Gothic" w:cs="Arial"/>
          <w:szCs w:val="24"/>
        </w:rPr>
        <w:t xml:space="preserve">, como cuando se trata del cobro de créditos emanados </w:t>
      </w:r>
      <w:r w:rsidR="00376E40" w:rsidRPr="00E33689">
        <w:rPr>
          <w:rFonts w:ascii="Century Gothic" w:hAnsi="Century Gothic" w:cs="Arial"/>
          <w:szCs w:val="24"/>
        </w:rPr>
        <w:t xml:space="preserve">de </w:t>
      </w:r>
      <w:r w:rsidRPr="00E33689">
        <w:rPr>
          <w:rFonts w:ascii="Century Gothic" w:hAnsi="Century Gothic" w:cs="Arial"/>
          <w:szCs w:val="24"/>
        </w:rPr>
        <w:t>sentencias judiciales que contienen una obligación clara</w:t>
      </w:r>
      <w:r w:rsidR="005914CE">
        <w:rPr>
          <w:rFonts w:ascii="Century Gothic" w:hAnsi="Century Gothic" w:cs="Arial"/>
          <w:szCs w:val="24"/>
        </w:rPr>
        <w:t>,</w:t>
      </w:r>
      <w:r w:rsidRPr="00E33689">
        <w:rPr>
          <w:rFonts w:ascii="Century Gothic" w:hAnsi="Century Gothic" w:cs="Arial"/>
          <w:szCs w:val="24"/>
        </w:rPr>
        <w:t xml:space="preserve"> expresa y exigible.</w:t>
      </w:r>
    </w:p>
    <w:p w14:paraId="6BCF679C" w14:textId="0EC6AA9C" w:rsidR="002B4F31" w:rsidRPr="00E33689" w:rsidRDefault="002B4F31" w:rsidP="00F027E4">
      <w:pPr>
        <w:tabs>
          <w:tab w:val="left" w:pos="748"/>
        </w:tabs>
        <w:rPr>
          <w:rFonts w:ascii="Century Gothic" w:hAnsi="Century Gothic" w:cs="Arial"/>
          <w:szCs w:val="24"/>
        </w:rPr>
      </w:pPr>
    </w:p>
    <w:p w14:paraId="768BDB8A" w14:textId="0605E881" w:rsidR="002B4F31" w:rsidRPr="00E33689" w:rsidRDefault="002B4F31" w:rsidP="00F027E4">
      <w:pPr>
        <w:tabs>
          <w:tab w:val="left" w:pos="748"/>
        </w:tabs>
        <w:rPr>
          <w:rFonts w:ascii="Century Gothic" w:hAnsi="Century Gothic" w:cs="Arial"/>
          <w:szCs w:val="24"/>
        </w:rPr>
      </w:pPr>
      <w:r w:rsidRPr="00E33689">
        <w:rPr>
          <w:rFonts w:ascii="Century Gothic" w:hAnsi="Century Gothic" w:cs="Arial"/>
          <w:szCs w:val="24"/>
        </w:rPr>
        <w:t>Alegó que los intereses moratorios reclamados en el presente proceso surgen de obligaciones laborales y contenidas en el fallo judicial que constituye título ejecutivo, así que también se enmarcan en la primera excepción que contempla la jurisprudencia.</w:t>
      </w:r>
    </w:p>
    <w:p w14:paraId="2BB558A8" w14:textId="6716FCEC" w:rsidR="007C4796" w:rsidRPr="00E33689" w:rsidRDefault="007C4796" w:rsidP="00F027E4">
      <w:pPr>
        <w:tabs>
          <w:tab w:val="left" w:pos="748"/>
        </w:tabs>
        <w:rPr>
          <w:rFonts w:ascii="Century Gothic" w:hAnsi="Century Gothic" w:cs="Arial"/>
          <w:szCs w:val="24"/>
        </w:rPr>
      </w:pPr>
    </w:p>
    <w:p w14:paraId="77F1C60B" w14:textId="7F92E2FC" w:rsidR="007C4796" w:rsidRPr="00E33689" w:rsidRDefault="007C4796" w:rsidP="00F027E4">
      <w:pPr>
        <w:tabs>
          <w:tab w:val="left" w:pos="748"/>
        </w:tabs>
        <w:rPr>
          <w:rFonts w:ascii="Century Gothic" w:hAnsi="Century Gothic" w:cs="Arial"/>
          <w:szCs w:val="24"/>
        </w:rPr>
      </w:pPr>
      <w:r w:rsidRPr="00E33689">
        <w:rPr>
          <w:rFonts w:ascii="Century Gothic" w:hAnsi="Century Gothic" w:cs="Arial"/>
          <w:szCs w:val="24"/>
        </w:rPr>
        <w:t xml:space="preserve">Refirió que </w:t>
      </w:r>
      <w:r w:rsidRPr="00E33689">
        <w:rPr>
          <w:rFonts w:ascii="Century Gothic" w:hAnsi="Century Gothic" w:cs="Arial"/>
          <w:i/>
          <w:iCs/>
          <w:sz w:val="22"/>
        </w:rPr>
        <w:t>“</w:t>
      </w:r>
      <w:r w:rsidRPr="00E33689">
        <w:rPr>
          <w:rFonts w:ascii="Century Gothic" w:hAnsi="Century Gothic" w:cs="Arial"/>
          <w:sz w:val="22"/>
        </w:rPr>
        <w:t>[s]</w:t>
      </w:r>
      <w:r w:rsidRPr="00E33689">
        <w:rPr>
          <w:rFonts w:ascii="Century Gothic" w:hAnsi="Century Gothic" w:cs="Arial"/>
          <w:i/>
          <w:iCs/>
          <w:sz w:val="22"/>
        </w:rPr>
        <w:t xml:space="preserve">i los recursos de la NACION </w:t>
      </w:r>
      <w:r w:rsidRPr="00E33689">
        <w:rPr>
          <w:rFonts w:ascii="Century Gothic" w:hAnsi="Century Gothic" w:cs="Arial"/>
          <w:sz w:val="22"/>
        </w:rPr>
        <w:t>(sic)</w:t>
      </w:r>
      <w:r w:rsidRPr="00E33689">
        <w:rPr>
          <w:rFonts w:ascii="Century Gothic" w:hAnsi="Century Gothic" w:cs="Arial"/>
          <w:i/>
          <w:iCs/>
          <w:sz w:val="22"/>
        </w:rPr>
        <w:t xml:space="preserve"> MINISTERIO DE EDUCACION </w:t>
      </w:r>
      <w:r w:rsidRPr="00E33689">
        <w:rPr>
          <w:rFonts w:ascii="Century Gothic" w:hAnsi="Century Gothic" w:cs="Arial"/>
          <w:sz w:val="22"/>
        </w:rPr>
        <w:t xml:space="preserve">(sic) </w:t>
      </w:r>
      <w:r w:rsidRPr="00E33689">
        <w:rPr>
          <w:rFonts w:ascii="Century Gothic" w:hAnsi="Century Gothic" w:cs="Arial"/>
          <w:i/>
          <w:iCs/>
          <w:sz w:val="22"/>
        </w:rPr>
        <w:t xml:space="preserve">NACIONAL FONDO DE PRESTACIONES SOCIALES DEL MAGISTERIO (FOMAG), son de carácter inembargable, seria </w:t>
      </w:r>
      <w:r w:rsidRPr="00E33689">
        <w:rPr>
          <w:rFonts w:ascii="Century Gothic" w:hAnsi="Century Gothic" w:cs="Arial"/>
          <w:sz w:val="22"/>
        </w:rPr>
        <w:t xml:space="preserve">(sic) </w:t>
      </w:r>
      <w:r w:rsidRPr="00E33689">
        <w:rPr>
          <w:rFonts w:ascii="Century Gothic" w:hAnsi="Century Gothic" w:cs="Arial"/>
          <w:i/>
          <w:iCs/>
          <w:sz w:val="22"/>
        </w:rPr>
        <w:t xml:space="preserve">improcedente e innecesario, presentar demanda ejecutiva para el pago de las obligaciones emanadas de las sentencias de nulidad y restablecimiento del derecho, pues el único medio para dicho pago es pretender el embargo de dineros que reposan en las cuentas de la UGPP </w:t>
      </w:r>
      <w:r w:rsidRPr="00E33689">
        <w:rPr>
          <w:rFonts w:ascii="Century Gothic" w:hAnsi="Century Gothic" w:cs="Arial"/>
          <w:sz w:val="22"/>
        </w:rPr>
        <w:t>(sic)</w:t>
      </w:r>
      <w:r w:rsidRPr="00E33689">
        <w:rPr>
          <w:rFonts w:ascii="Century Gothic" w:hAnsi="Century Gothic" w:cs="Arial"/>
          <w:i/>
          <w:iCs/>
          <w:sz w:val="22"/>
        </w:rPr>
        <w:t>”</w:t>
      </w:r>
      <w:r w:rsidRPr="00E33689">
        <w:rPr>
          <w:rFonts w:ascii="Century Gothic" w:hAnsi="Century Gothic" w:cs="Arial"/>
          <w:szCs w:val="24"/>
        </w:rPr>
        <w:t>.</w:t>
      </w:r>
    </w:p>
    <w:p w14:paraId="6EC17E44" w14:textId="77777777" w:rsidR="00B46B6D" w:rsidRPr="00E33689" w:rsidRDefault="00B46B6D" w:rsidP="00F027E4">
      <w:pPr>
        <w:tabs>
          <w:tab w:val="left" w:pos="748"/>
        </w:tabs>
        <w:rPr>
          <w:rFonts w:ascii="Century Gothic" w:hAnsi="Century Gothic" w:cs="Arial"/>
          <w:szCs w:val="24"/>
        </w:rPr>
      </w:pPr>
    </w:p>
    <w:p w14:paraId="07E05C5C" w14:textId="77777777" w:rsidR="000B5403" w:rsidRPr="00E33689" w:rsidRDefault="000B5403" w:rsidP="00FA1BF0">
      <w:pPr>
        <w:pStyle w:val="Ttulo1"/>
      </w:pPr>
      <w:r w:rsidRPr="00E33689">
        <w:t>CONSIDERACIONES</w:t>
      </w:r>
    </w:p>
    <w:p w14:paraId="4543DFAE" w14:textId="77777777" w:rsidR="000B5403" w:rsidRPr="00E33689" w:rsidRDefault="000B5403" w:rsidP="00F027E4">
      <w:pPr>
        <w:tabs>
          <w:tab w:val="left" w:pos="748"/>
        </w:tabs>
        <w:rPr>
          <w:rFonts w:ascii="Century Gothic" w:hAnsi="Century Gothic"/>
          <w:b/>
          <w:szCs w:val="24"/>
        </w:rPr>
      </w:pPr>
    </w:p>
    <w:p w14:paraId="57E90122" w14:textId="77777777" w:rsidR="000B5403" w:rsidRPr="00E33689" w:rsidRDefault="000B5403" w:rsidP="0086799E">
      <w:pPr>
        <w:pStyle w:val="Ttulo2"/>
        <w:numPr>
          <w:ilvl w:val="0"/>
          <w:numId w:val="8"/>
        </w:numPr>
        <w:ind w:left="723"/>
      </w:pPr>
      <w:r w:rsidRPr="00E33689">
        <w:t>Procedencia y oportunidad del recurso de apelación y competencia para resolverlo</w:t>
      </w:r>
    </w:p>
    <w:p w14:paraId="20DD56E9" w14:textId="77777777" w:rsidR="000B5403" w:rsidRPr="00E33689" w:rsidRDefault="000B5403" w:rsidP="000B5403">
      <w:pPr>
        <w:pStyle w:val="Textoindependiente3"/>
        <w:spacing w:after="0" w:line="276" w:lineRule="auto"/>
        <w:jc w:val="both"/>
        <w:rPr>
          <w:rFonts w:ascii="Century Gothic" w:hAnsi="Century Gothic"/>
          <w:sz w:val="22"/>
          <w:szCs w:val="22"/>
          <w:lang w:val="es-CO"/>
        </w:rPr>
      </w:pPr>
    </w:p>
    <w:p w14:paraId="665BEF26" w14:textId="77777777" w:rsidR="000B5403" w:rsidRPr="00E33689" w:rsidRDefault="000B5403" w:rsidP="00F027E4">
      <w:pPr>
        <w:tabs>
          <w:tab w:val="left" w:pos="6120"/>
          <w:tab w:val="left" w:pos="6480"/>
        </w:tabs>
        <w:rPr>
          <w:rFonts w:ascii="Century Gothic" w:hAnsi="Century Gothic"/>
          <w:szCs w:val="24"/>
        </w:rPr>
      </w:pPr>
      <w:r w:rsidRPr="00E33689">
        <w:rPr>
          <w:rFonts w:ascii="Century Gothic" w:hAnsi="Century Gothic"/>
          <w:szCs w:val="24"/>
        </w:rPr>
        <w:t>La Sala Plena de la Sección Tercera del Consejo de Estado, en auto de unificación proferido el 29 de enero de 2020, estableció lo siguiente:</w:t>
      </w:r>
    </w:p>
    <w:p w14:paraId="6FF28215" w14:textId="77777777" w:rsidR="000B5403" w:rsidRPr="00E33689" w:rsidRDefault="000B5403" w:rsidP="00F027E4">
      <w:pPr>
        <w:tabs>
          <w:tab w:val="left" w:pos="6120"/>
          <w:tab w:val="left" w:pos="6480"/>
        </w:tabs>
        <w:rPr>
          <w:rFonts w:ascii="Century Gothic" w:hAnsi="Century Gothic"/>
          <w:szCs w:val="24"/>
        </w:rPr>
      </w:pPr>
    </w:p>
    <w:p w14:paraId="45755471" w14:textId="77777777" w:rsidR="000B5403" w:rsidRPr="00E33689" w:rsidRDefault="000B5403" w:rsidP="00484385">
      <w:pPr>
        <w:pStyle w:val="Cita"/>
      </w:pPr>
      <w:r w:rsidRPr="00E33689">
        <w:t xml:space="preserve">“(…) la lectura conjunta de las normas referidas -artículos 125, 229 y siguientes, 243 y 299 del CPACA- conduce a la Sala a concluir lo siguiente, en lo relativo a los </w:t>
      </w:r>
      <w:r w:rsidRPr="00E33689">
        <w:rPr>
          <w:b/>
        </w:rPr>
        <w:t>procesos ejecutivos cuyo título de recaudo sea una sentencia proferida o una conciliación aprobada por la Jurisdicción de lo Contencioso Administrativo</w:t>
      </w:r>
      <w:r w:rsidRPr="00E33689">
        <w:t>:</w:t>
      </w:r>
    </w:p>
    <w:p w14:paraId="413553C9" w14:textId="77777777" w:rsidR="000B5403" w:rsidRPr="00E33689" w:rsidRDefault="000B5403" w:rsidP="00484385">
      <w:pPr>
        <w:pStyle w:val="Cita"/>
      </w:pPr>
    </w:p>
    <w:p w14:paraId="35DC0C9A" w14:textId="77777777" w:rsidR="000B5403" w:rsidRPr="00E33689" w:rsidRDefault="000B5403" w:rsidP="00484385">
      <w:pPr>
        <w:pStyle w:val="Cita"/>
        <w:numPr>
          <w:ilvl w:val="0"/>
          <w:numId w:val="10"/>
        </w:numPr>
        <w:rPr>
          <w:b/>
        </w:rPr>
      </w:pPr>
      <w:r w:rsidRPr="00E33689">
        <w:rPr>
          <w:b/>
        </w:rPr>
        <w:t xml:space="preserve">El auto que </w:t>
      </w:r>
      <w:r w:rsidRPr="00E33689">
        <w:rPr>
          <w:b/>
          <w:bCs/>
          <w:u w:val="single"/>
        </w:rPr>
        <w:t>decreta</w:t>
      </w:r>
      <w:r w:rsidRPr="00E33689">
        <w:rPr>
          <w:b/>
          <w:bCs/>
        </w:rPr>
        <w:t xml:space="preserve"> una medida cautelar</w:t>
      </w:r>
      <w:r w:rsidRPr="00E33689">
        <w:rPr>
          <w:b/>
        </w:rPr>
        <w:t xml:space="preserve"> debe ser proferido por el </w:t>
      </w:r>
      <w:r w:rsidRPr="00E33689">
        <w:rPr>
          <w:b/>
          <w:u w:val="single"/>
        </w:rPr>
        <w:t>magistrado ponente</w:t>
      </w:r>
      <w:r w:rsidRPr="00E33689">
        <w:rPr>
          <w:b/>
        </w:rPr>
        <w:t xml:space="preserve"> en el caso de los jueces colegiados, de conformidad con los artículos 229 y siguientes del CPACA, y es </w:t>
      </w:r>
      <w:r w:rsidRPr="00E33689">
        <w:rPr>
          <w:b/>
          <w:u w:val="single"/>
        </w:rPr>
        <w:t>apelable</w:t>
      </w:r>
      <w:r w:rsidRPr="00E33689">
        <w:rPr>
          <w:b/>
        </w:rPr>
        <w:t xml:space="preserve"> según lo dispuesto en el numeral 2 del artículo 243 del CPACA. </w:t>
      </w:r>
    </w:p>
    <w:p w14:paraId="55DC4DD4" w14:textId="77777777" w:rsidR="000B5403" w:rsidRPr="00E33689" w:rsidRDefault="000B5403" w:rsidP="00484385">
      <w:pPr>
        <w:pStyle w:val="Cita"/>
      </w:pPr>
    </w:p>
    <w:p w14:paraId="7FA2AEB4" w14:textId="0B26432B" w:rsidR="000B5403" w:rsidRPr="00E33689" w:rsidRDefault="000B5403" w:rsidP="00484385">
      <w:pPr>
        <w:pStyle w:val="Cita"/>
        <w:numPr>
          <w:ilvl w:val="0"/>
          <w:numId w:val="10"/>
        </w:numPr>
      </w:pPr>
      <w:r w:rsidRPr="00E33689">
        <w:t xml:space="preserve">El auto que </w:t>
      </w:r>
      <w:r w:rsidRPr="00E33689">
        <w:rPr>
          <w:bCs/>
        </w:rPr>
        <w:t>niega una medida cautelar</w:t>
      </w:r>
      <w:r w:rsidRPr="00E33689">
        <w:t xml:space="preserve"> es de competencia del magistrado ponente -como lo profirió el juzgador de primera instancia en la decisión impugnada- y no es apelable, toda vez que no se encuentra enlistado en los autos susceptibles de ese recurso en el CPACA. (…)”</w:t>
      </w:r>
      <w:r w:rsidRPr="00E33689">
        <w:rPr>
          <w:rStyle w:val="Refdenotaalpie"/>
          <w:rFonts w:ascii="Century Gothic" w:hAnsi="Century Gothic"/>
          <w:sz w:val="24"/>
          <w:szCs w:val="24"/>
        </w:rPr>
        <w:footnoteReference w:id="5"/>
      </w:r>
      <w:r w:rsidR="008C1E61" w:rsidRPr="00E33689">
        <w:t xml:space="preserve"> </w:t>
      </w:r>
      <w:r w:rsidR="008C1E61" w:rsidRPr="00E33689">
        <w:rPr>
          <w:i w:val="0"/>
          <w:iCs/>
        </w:rPr>
        <w:t>(Subraya y negrilla fuera del texto original)</w:t>
      </w:r>
    </w:p>
    <w:p w14:paraId="1F1536CA" w14:textId="77777777" w:rsidR="000B5403" w:rsidRPr="00E33689" w:rsidRDefault="000B5403" w:rsidP="00F027E4">
      <w:pPr>
        <w:tabs>
          <w:tab w:val="left" w:pos="6120"/>
          <w:tab w:val="left" w:pos="6480"/>
        </w:tabs>
        <w:rPr>
          <w:rFonts w:ascii="Century Gothic" w:hAnsi="Century Gothic"/>
          <w:szCs w:val="24"/>
        </w:rPr>
      </w:pPr>
    </w:p>
    <w:p w14:paraId="0BE39F8E" w14:textId="17CC0C4A" w:rsidR="000B5403" w:rsidRPr="00E33689" w:rsidRDefault="00FA3419" w:rsidP="00F027E4">
      <w:pPr>
        <w:tabs>
          <w:tab w:val="left" w:pos="6120"/>
          <w:tab w:val="left" w:pos="6480"/>
        </w:tabs>
        <w:rPr>
          <w:rFonts w:ascii="Century Gothic" w:hAnsi="Century Gothic"/>
          <w:szCs w:val="24"/>
        </w:rPr>
      </w:pPr>
      <w:r w:rsidRPr="00E33689">
        <w:rPr>
          <w:rFonts w:ascii="Century Gothic" w:hAnsi="Century Gothic"/>
          <w:szCs w:val="24"/>
        </w:rPr>
        <w:t>Entonces</w:t>
      </w:r>
      <w:r w:rsidR="000B5403" w:rsidRPr="00E33689">
        <w:rPr>
          <w:rFonts w:ascii="Century Gothic" w:hAnsi="Century Gothic"/>
          <w:szCs w:val="24"/>
        </w:rPr>
        <w:t xml:space="preserve">, la apelación en este caso es procedente porque busca cuestionar la providencia a través de la cual se decretó una medida cautelar y el título de recaudo es una sentencia dictada por esta jurisdicción. Asimismo, la competencia para resolver el recurso es del ponente </w:t>
      </w:r>
      <w:r w:rsidR="0082169D">
        <w:rPr>
          <w:rFonts w:ascii="Century Gothic" w:hAnsi="Century Gothic"/>
          <w:szCs w:val="24"/>
        </w:rPr>
        <w:t xml:space="preserve">en </w:t>
      </w:r>
      <w:r w:rsidR="00DD194D">
        <w:rPr>
          <w:rFonts w:ascii="Century Gothic" w:hAnsi="Century Gothic"/>
          <w:szCs w:val="24"/>
        </w:rPr>
        <w:t>todo</w:t>
      </w:r>
      <w:r w:rsidR="0082169D">
        <w:rPr>
          <w:rFonts w:ascii="Century Gothic" w:hAnsi="Century Gothic"/>
          <w:szCs w:val="24"/>
        </w:rPr>
        <w:t xml:space="preserve"> caso</w:t>
      </w:r>
      <w:r w:rsidR="000B5403" w:rsidRPr="00E33689">
        <w:rPr>
          <w:rFonts w:ascii="Century Gothic" w:hAnsi="Century Gothic"/>
          <w:szCs w:val="24"/>
        </w:rPr>
        <w:t>, siguiendo la lógica de la regla sentada por el alto tribunal.</w:t>
      </w:r>
    </w:p>
    <w:p w14:paraId="366CB898" w14:textId="77777777" w:rsidR="000B5403" w:rsidRPr="00E33689" w:rsidRDefault="000B5403" w:rsidP="00F027E4">
      <w:pPr>
        <w:tabs>
          <w:tab w:val="left" w:pos="6120"/>
          <w:tab w:val="left" w:pos="6480"/>
        </w:tabs>
        <w:rPr>
          <w:rFonts w:ascii="Century Gothic" w:hAnsi="Century Gothic"/>
          <w:szCs w:val="24"/>
        </w:rPr>
      </w:pPr>
    </w:p>
    <w:p w14:paraId="03F266EE" w14:textId="416D52C9" w:rsidR="000B5403" w:rsidRPr="00E33689" w:rsidRDefault="00FA3419" w:rsidP="00F027E4">
      <w:pPr>
        <w:tabs>
          <w:tab w:val="left" w:pos="6120"/>
          <w:tab w:val="left" w:pos="6480"/>
        </w:tabs>
        <w:rPr>
          <w:rFonts w:ascii="Century Gothic" w:hAnsi="Century Gothic" w:cs="Arial"/>
          <w:szCs w:val="24"/>
        </w:rPr>
      </w:pPr>
      <w:r w:rsidRPr="00E33689">
        <w:rPr>
          <w:rFonts w:ascii="Century Gothic" w:hAnsi="Century Gothic"/>
          <w:szCs w:val="24"/>
        </w:rPr>
        <w:t>Por otra parte</w:t>
      </w:r>
      <w:r w:rsidR="000B5403" w:rsidRPr="00E33689">
        <w:rPr>
          <w:rFonts w:ascii="Century Gothic" w:hAnsi="Century Gothic"/>
          <w:szCs w:val="24"/>
        </w:rPr>
        <w:t xml:space="preserve">, la decisión cuestionada fue notificada por estado el </w:t>
      </w:r>
      <w:r w:rsidRPr="00E33689">
        <w:rPr>
          <w:rFonts w:ascii="Century Gothic" w:hAnsi="Century Gothic"/>
          <w:szCs w:val="24"/>
        </w:rPr>
        <w:t>30</w:t>
      </w:r>
      <w:r w:rsidR="000B5403" w:rsidRPr="00E33689">
        <w:rPr>
          <w:rFonts w:ascii="Century Gothic" w:hAnsi="Century Gothic"/>
          <w:szCs w:val="24"/>
        </w:rPr>
        <w:t xml:space="preserve"> de </w:t>
      </w:r>
      <w:r w:rsidRPr="00E33689">
        <w:rPr>
          <w:rFonts w:ascii="Century Gothic" w:hAnsi="Century Gothic"/>
          <w:szCs w:val="24"/>
        </w:rPr>
        <w:t xml:space="preserve">noviembre </w:t>
      </w:r>
      <w:r w:rsidR="000B5403" w:rsidRPr="00E33689">
        <w:rPr>
          <w:rFonts w:ascii="Century Gothic" w:hAnsi="Century Gothic"/>
          <w:szCs w:val="24"/>
        </w:rPr>
        <w:t>de 2020 y el recurso bajo estudio fue interpuesto y sustentado el 1</w:t>
      </w:r>
      <w:r w:rsidRPr="00E33689">
        <w:rPr>
          <w:rFonts w:ascii="Century Gothic" w:hAnsi="Century Gothic"/>
          <w:szCs w:val="24"/>
        </w:rPr>
        <w:t>.º</w:t>
      </w:r>
      <w:r w:rsidR="000B5403" w:rsidRPr="00E33689">
        <w:rPr>
          <w:rFonts w:ascii="Century Gothic" w:hAnsi="Century Gothic"/>
          <w:szCs w:val="24"/>
        </w:rPr>
        <w:t xml:space="preserve"> de </w:t>
      </w:r>
      <w:r w:rsidRPr="00E33689">
        <w:rPr>
          <w:rFonts w:ascii="Century Gothic" w:hAnsi="Century Gothic"/>
          <w:szCs w:val="24"/>
        </w:rPr>
        <w:t xml:space="preserve">diciembre </w:t>
      </w:r>
      <w:r w:rsidR="000B5403" w:rsidRPr="00E33689">
        <w:rPr>
          <w:rFonts w:ascii="Century Gothic" w:hAnsi="Century Gothic"/>
          <w:szCs w:val="24"/>
        </w:rPr>
        <w:t>de la misma anualidad</w:t>
      </w:r>
      <w:r w:rsidR="00536F14">
        <w:rPr>
          <w:rStyle w:val="Refdenotaalpie"/>
          <w:rFonts w:ascii="Century Gothic" w:hAnsi="Century Gothic"/>
          <w:szCs w:val="24"/>
        </w:rPr>
        <w:footnoteReference w:id="6"/>
      </w:r>
      <w:r w:rsidR="000B5403" w:rsidRPr="00E33689">
        <w:rPr>
          <w:rFonts w:ascii="Century Gothic" w:hAnsi="Century Gothic"/>
          <w:szCs w:val="24"/>
        </w:rPr>
        <w:t xml:space="preserve">, esto es, dentro de su término de ejecutoria, conforme a lo </w:t>
      </w:r>
      <w:r w:rsidR="00D63C99">
        <w:rPr>
          <w:rFonts w:ascii="Century Gothic" w:hAnsi="Century Gothic"/>
          <w:szCs w:val="24"/>
        </w:rPr>
        <w:t>preceptuado</w:t>
      </w:r>
      <w:r w:rsidR="000B5403" w:rsidRPr="00E33689">
        <w:rPr>
          <w:rFonts w:ascii="Century Gothic" w:hAnsi="Century Gothic"/>
          <w:szCs w:val="24"/>
        </w:rPr>
        <w:t xml:space="preserve"> en el numeral 2.º del artículo 322 numeral 1.º inciso 2.º del CGP</w:t>
      </w:r>
      <w:r w:rsidR="000B5403" w:rsidRPr="00E33689">
        <w:rPr>
          <w:rStyle w:val="Refdenotaalpie"/>
          <w:rFonts w:ascii="Century Gothic" w:hAnsi="Century Gothic"/>
          <w:szCs w:val="24"/>
        </w:rPr>
        <w:footnoteReference w:id="7"/>
      </w:r>
      <w:r w:rsidR="000B5403" w:rsidRPr="00E33689">
        <w:rPr>
          <w:rFonts w:ascii="Century Gothic" w:hAnsi="Century Gothic"/>
          <w:szCs w:val="24"/>
        </w:rPr>
        <w:t>.</w:t>
      </w:r>
    </w:p>
    <w:p w14:paraId="0563656C" w14:textId="0221BF36" w:rsidR="000B5403" w:rsidRPr="00E33689" w:rsidRDefault="000B5403" w:rsidP="00F027E4">
      <w:pPr>
        <w:tabs>
          <w:tab w:val="left" w:pos="6120"/>
          <w:tab w:val="left" w:pos="6480"/>
        </w:tabs>
        <w:rPr>
          <w:rFonts w:ascii="Century Gothic" w:hAnsi="Century Gothic" w:cs="Arial"/>
          <w:szCs w:val="24"/>
        </w:rPr>
      </w:pPr>
    </w:p>
    <w:p w14:paraId="20C62EF0" w14:textId="77777777" w:rsidR="00170868" w:rsidRPr="00E33689" w:rsidRDefault="00170868" w:rsidP="00F027E4">
      <w:pPr>
        <w:rPr>
          <w:szCs w:val="24"/>
        </w:rPr>
      </w:pPr>
      <w:r w:rsidRPr="00E33689">
        <w:rPr>
          <w:szCs w:val="24"/>
        </w:rPr>
        <w:t>Se precisa que la Ley 2080 del 25 de enero de 2021, mediante la cual se reformó el CPACA, no es la norma procesal aplicable al trámite y resolución del presente recurso de apelación, debido a la regla de transición prevista en el inciso final de su artículo 86</w:t>
      </w:r>
      <w:r w:rsidRPr="00E33689">
        <w:rPr>
          <w:rStyle w:val="Refdenotaalpie"/>
          <w:szCs w:val="24"/>
        </w:rPr>
        <w:footnoteReference w:id="8"/>
      </w:r>
      <w:r w:rsidRPr="00E33689">
        <w:rPr>
          <w:szCs w:val="24"/>
        </w:rPr>
        <w:t>.</w:t>
      </w:r>
    </w:p>
    <w:p w14:paraId="5136931C" w14:textId="07316AAE" w:rsidR="000B5403" w:rsidRPr="00E33689" w:rsidRDefault="00170868" w:rsidP="0086799E">
      <w:pPr>
        <w:pStyle w:val="Ttulo2"/>
      </w:pPr>
      <w:r w:rsidRPr="00E33689">
        <w:lastRenderedPageBreak/>
        <w:t>Análisis del despacho</w:t>
      </w:r>
    </w:p>
    <w:p w14:paraId="35B67FD3" w14:textId="77777777" w:rsidR="000B5403" w:rsidRPr="00E33689" w:rsidRDefault="000B5403" w:rsidP="00F027E4">
      <w:pPr>
        <w:rPr>
          <w:rFonts w:ascii="Century Gothic" w:hAnsi="Century Gothic" w:cs="Arial"/>
          <w:b/>
          <w:szCs w:val="24"/>
        </w:rPr>
      </w:pPr>
    </w:p>
    <w:p w14:paraId="6714CA7B" w14:textId="45A4E6D8" w:rsidR="00170868" w:rsidRPr="00E33689" w:rsidRDefault="00936B6E" w:rsidP="00F027E4">
      <w:pPr>
        <w:rPr>
          <w:rFonts w:ascii="Century Gothic" w:hAnsi="Century Gothic" w:cs="Arial"/>
          <w:szCs w:val="24"/>
        </w:rPr>
      </w:pPr>
      <w:r w:rsidRPr="00E33689">
        <w:rPr>
          <w:rFonts w:ascii="Century Gothic" w:hAnsi="Century Gothic"/>
          <w:szCs w:val="24"/>
        </w:rPr>
        <w:t xml:space="preserve">Los cargos de </w:t>
      </w:r>
      <w:r w:rsidR="00D54351" w:rsidRPr="00E33689">
        <w:rPr>
          <w:rFonts w:ascii="Century Gothic" w:hAnsi="Century Gothic"/>
          <w:szCs w:val="24"/>
        </w:rPr>
        <w:t>la apelación se refiere</w:t>
      </w:r>
      <w:r w:rsidRPr="00E33689">
        <w:rPr>
          <w:rFonts w:ascii="Century Gothic" w:hAnsi="Century Gothic"/>
          <w:szCs w:val="24"/>
        </w:rPr>
        <w:t>n</w:t>
      </w:r>
      <w:r w:rsidR="00D54351" w:rsidRPr="00E33689">
        <w:rPr>
          <w:rFonts w:ascii="Century Gothic" w:hAnsi="Century Gothic"/>
          <w:szCs w:val="24"/>
        </w:rPr>
        <w:t xml:space="preserve"> a que los recursos embargados pertenecen al </w:t>
      </w:r>
      <w:r w:rsidR="00924390">
        <w:rPr>
          <w:rFonts w:ascii="Century Gothic" w:hAnsi="Century Gothic"/>
          <w:szCs w:val="24"/>
        </w:rPr>
        <w:t>Ministerio de Educación</w:t>
      </w:r>
      <w:r w:rsidR="00D54351" w:rsidRPr="00E33689">
        <w:rPr>
          <w:rFonts w:ascii="Century Gothic" w:hAnsi="Century Gothic"/>
          <w:szCs w:val="24"/>
        </w:rPr>
        <w:t xml:space="preserve"> (no </w:t>
      </w:r>
      <w:r w:rsidRPr="00E33689">
        <w:rPr>
          <w:rFonts w:ascii="Century Gothic" w:hAnsi="Century Gothic"/>
          <w:szCs w:val="24"/>
        </w:rPr>
        <w:t xml:space="preserve">propiamente </w:t>
      </w:r>
      <w:r w:rsidR="00D54351" w:rsidRPr="00E33689">
        <w:rPr>
          <w:rFonts w:ascii="Century Gothic" w:hAnsi="Century Gothic"/>
          <w:szCs w:val="24"/>
        </w:rPr>
        <w:t>al FOMAG) y cuentan con una destinación específica</w:t>
      </w:r>
      <w:r w:rsidRPr="00E33689">
        <w:rPr>
          <w:rFonts w:ascii="Century Gothic" w:hAnsi="Century Gothic"/>
          <w:szCs w:val="24"/>
        </w:rPr>
        <w:t xml:space="preserve">, relacionada con el </w:t>
      </w:r>
      <w:r w:rsidR="008F16A8" w:rsidRPr="00E33689">
        <w:rPr>
          <w:rFonts w:ascii="Century Gothic" w:hAnsi="Century Gothic" w:cs="Arial"/>
          <w:szCs w:val="24"/>
        </w:rPr>
        <w:t>Plan Nacional de Infraestructura Educativa (PNIE), debido a que provienen de la contribución prevista en la Ley 21 de 1982</w:t>
      </w:r>
      <w:r w:rsidR="00286DD7" w:rsidRPr="00E33689">
        <w:rPr>
          <w:rFonts w:ascii="Century Gothic" w:hAnsi="Century Gothic" w:cs="Arial"/>
          <w:szCs w:val="24"/>
        </w:rPr>
        <w:t xml:space="preserve"> (no se emplean para el pago de las prestaciones sociales de los docentes)</w:t>
      </w:r>
      <w:r w:rsidR="008F16A8" w:rsidRPr="00E33689">
        <w:rPr>
          <w:rFonts w:ascii="Century Gothic" w:hAnsi="Century Gothic" w:cs="Arial"/>
          <w:szCs w:val="24"/>
        </w:rPr>
        <w:t>.</w:t>
      </w:r>
      <w:r w:rsidR="00286DD7" w:rsidRPr="00E33689">
        <w:rPr>
          <w:rFonts w:ascii="Century Gothic" w:hAnsi="Century Gothic" w:cs="Arial"/>
          <w:szCs w:val="24"/>
        </w:rPr>
        <w:t xml:space="preserve"> </w:t>
      </w:r>
      <w:r w:rsidR="004F5AA4" w:rsidRPr="00E33689">
        <w:rPr>
          <w:rFonts w:ascii="Century Gothic" w:hAnsi="Century Gothic" w:cs="Arial"/>
          <w:szCs w:val="24"/>
        </w:rPr>
        <w:t>Igualmente</w:t>
      </w:r>
      <w:r w:rsidR="00286DD7" w:rsidRPr="00E33689">
        <w:rPr>
          <w:rFonts w:ascii="Century Gothic" w:hAnsi="Century Gothic" w:cs="Arial"/>
          <w:szCs w:val="24"/>
        </w:rPr>
        <w:t>, la entidad alega que los recursos son inembargables ya sea por la destinación en mención, su incorporación al Presupuesto General de la Nación o las condiciones del contrato de fiducia a partir del cual se administra el patrimonio autónomo.</w:t>
      </w:r>
    </w:p>
    <w:p w14:paraId="3826F81D" w14:textId="4A0937F1" w:rsidR="009F179F" w:rsidRPr="00E33689" w:rsidRDefault="009F179F" w:rsidP="00F027E4">
      <w:pPr>
        <w:rPr>
          <w:rFonts w:ascii="Century Gothic" w:hAnsi="Century Gothic" w:cs="Arial"/>
          <w:szCs w:val="24"/>
        </w:rPr>
      </w:pPr>
    </w:p>
    <w:p w14:paraId="7C7B6D89" w14:textId="1AA9CA1E" w:rsidR="008F16A8" w:rsidRPr="00E33689" w:rsidRDefault="009F179F" w:rsidP="00F027E4">
      <w:pPr>
        <w:rPr>
          <w:rFonts w:ascii="Century Gothic" w:hAnsi="Century Gothic" w:cs="Arial"/>
          <w:szCs w:val="24"/>
        </w:rPr>
      </w:pPr>
      <w:r w:rsidRPr="00E33689">
        <w:rPr>
          <w:rFonts w:ascii="Century Gothic" w:hAnsi="Century Gothic" w:cs="Arial"/>
          <w:szCs w:val="24"/>
        </w:rPr>
        <w:t xml:space="preserve">Al respecto, el artículo 3.º de la Ley </w:t>
      </w:r>
      <w:r w:rsidR="004F447E" w:rsidRPr="00E33689">
        <w:rPr>
          <w:rFonts w:ascii="Century Gothic" w:hAnsi="Century Gothic" w:cs="Arial"/>
          <w:szCs w:val="24"/>
        </w:rPr>
        <w:t xml:space="preserve">91 de 1989 creó el </w:t>
      </w:r>
      <w:r w:rsidR="00924390">
        <w:rPr>
          <w:rFonts w:ascii="Century Gothic" w:hAnsi="Century Gothic" w:cs="Arial"/>
          <w:szCs w:val="24"/>
        </w:rPr>
        <w:t>Fondo Nacional de Prestaciones Sociales del Magisterio</w:t>
      </w:r>
      <w:r w:rsidR="004F447E" w:rsidRPr="00E33689">
        <w:rPr>
          <w:rFonts w:ascii="Century Gothic" w:hAnsi="Century Gothic" w:cs="Arial"/>
          <w:szCs w:val="24"/>
        </w:rPr>
        <w:t xml:space="preserve"> </w:t>
      </w:r>
      <w:r w:rsidR="00E24874">
        <w:rPr>
          <w:rFonts w:ascii="Century Gothic" w:hAnsi="Century Gothic" w:cs="Arial"/>
          <w:szCs w:val="24"/>
        </w:rPr>
        <w:t xml:space="preserve">–FOMAG– </w:t>
      </w:r>
      <w:r w:rsidR="004F447E" w:rsidRPr="00E33689">
        <w:rPr>
          <w:rFonts w:ascii="Century Gothic" w:hAnsi="Century Gothic" w:cs="Arial"/>
          <w:szCs w:val="24"/>
        </w:rPr>
        <w:t>de la siguiente forma:</w:t>
      </w:r>
    </w:p>
    <w:p w14:paraId="1F952497" w14:textId="33696826" w:rsidR="008F16A8" w:rsidRPr="00E33689" w:rsidRDefault="008F16A8" w:rsidP="00F027E4">
      <w:pPr>
        <w:rPr>
          <w:rFonts w:ascii="Century Gothic" w:hAnsi="Century Gothic" w:cs="Arial"/>
          <w:szCs w:val="24"/>
        </w:rPr>
      </w:pPr>
    </w:p>
    <w:p w14:paraId="260C88E8" w14:textId="385D4FAA" w:rsidR="006523F1" w:rsidRPr="00E33689" w:rsidRDefault="006523F1" w:rsidP="006523F1">
      <w:pPr>
        <w:pStyle w:val="Cita"/>
      </w:pPr>
      <w:r w:rsidRPr="00E33689">
        <w:t xml:space="preserve">“(…) </w:t>
      </w:r>
      <w:r w:rsidRPr="00E33689">
        <w:rPr>
          <w:b/>
          <w:bCs/>
        </w:rPr>
        <w:t>ARTÍCULO 3º.</w:t>
      </w:r>
      <w:r w:rsidRPr="00E33689">
        <w:t xml:space="preserve"> Créase el Fondo Nacional de Prestaciones Sociales del Magisterio, como una </w:t>
      </w:r>
      <w:r w:rsidRPr="00E33689">
        <w:rPr>
          <w:b/>
          <w:bCs/>
        </w:rPr>
        <w:t xml:space="preserve">cuenta especial de la Nación, </w:t>
      </w:r>
      <w:r w:rsidRPr="00E33689">
        <w:rPr>
          <w:b/>
          <w:bCs/>
          <w:u w:val="single"/>
        </w:rPr>
        <w:t>con independencia patrimonial</w:t>
      </w:r>
      <w:r w:rsidRPr="00E33689">
        <w:rPr>
          <w:b/>
          <w:bCs/>
        </w:rPr>
        <w:t>, contable y estadística, sin personaría jurídica, cuyos recursos serán manejados por una entidad fiduciaria estatal o de economía mixta, en la cual el Estado tenga más del 90% del capital</w:t>
      </w:r>
      <w:r w:rsidRPr="00E33689">
        <w:t xml:space="preserve">. Para tal efecto, el Gobierno Nacional suscribirá el correspondiente </w:t>
      </w:r>
      <w:r w:rsidRPr="00E33689">
        <w:rPr>
          <w:u w:val="single"/>
        </w:rPr>
        <w:t>contrato de fiducia mercantil</w:t>
      </w:r>
      <w:r w:rsidRPr="00E33689">
        <w:t xml:space="preserve">, que contendrá las estipulaciones necesarias para el debido cumplimiento de la presente Ley y fijará la Comisión que, en desarrollo del mismo deberá cancelarse a la sociedad fiduciaria, la cual será una suma fija, o variable determinada con base en los costos administrativos que se generen. La celebración del contrato podrá ser delegada en el Ministerio de Educación Nacional. </w:t>
      </w:r>
    </w:p>
    <w:p w14:paraId="49ECE30E" w14:textId="77777777" w:rsidR="006523F1" w:rsidRPr="00E33689" w:rsidRDefault="006523F1" w:rsidP="006523F1">
      <w:pPr>
        <w:pStyle w:val="Cita"/>
      </w:pPr>
    </w:p>
    <w:p w14:paraId="6CA0F34F" w14:textId="66D09083" w:rsidR="006523F1" w:rsidRPr="00E33689" w:rsidRDefault="006523F1" w:rsidP="006523F1">
      <w:pPr>
        <w:pStyle w:val="Cita"/>
      </w:pPr>
      <w:r w:rsidRPr="00E33689">
        <w:t>El Fondo será dotado de mecanismos regionales que garanticen la prestación descentralizada de los servicios en cada entidad territorial sin afectar el principio de unidad. (…)”</w:t>
      </w:r>
      <w:r w:rsidR="00111560" w:rsidRPr="00E33689">
        <w:t xml:space="preserve"> </w:t>
      </w:r>
      <w:r w:rsidR="00111560" w:rsidRPr="00E33689">
        <w:rPr>
          <w:i w:val="0"/>
          <w:iCs/>
        </w:rPr>
        <w:t>(</w:t>
      </w:r>
      <w:r w:rsidR="00B21AED" w:rsidRPr="00E33689">
        <w:rPr>
          <w:i w:val="0"/>
          <w:iCs/>
        </w:rPr>
        <w:t xml:space="preserve">Subraya </w:t>
      </w:r>
      <w:r w:rsidR="00111560" w:rsidRPr="00E33689">
        <w:rPr>
          <w:i w:val="0"/>
          <w:iCs/>
        </w:rPr>
        <w:t>y negrilla fuera del texto original)</w:t>
      </w:r>
    </w:p>
    <w:p w14:paraId="6DCD41BC" w14:textId="77777777" w:rsidR="006523F1" w:rsidRPr="00E33689" w:rsidRDefault="006523F1" w:rsidP="00F027E4">
      <w:pPr>
        <w:rPr>
          <w:rFonts w:ascii="Century Gothic" w:hAnsi="Century Gothic" w:cs="Arial"/>
          <w:szCs w:val="24"/>
        </w:rPr>
      </w:pPr>
    </w:p>
    <w:p w14:paraId="226F7860" w14:textId="2C6270E2" w:rsidR="00D63D93" w:rsidRPr="00E33689" w:rsidRDefault="00111560" w:rsidP="00F027E4">
      <w:pPr>
        <w:rPr>
          <w:rFonts w:ascii="Century Gothic" w:hAnsi="Century Gothic" w:cs="Arial"/>
          <w:szCs w:val="24"/>
        </w:rPr>
      </w:pPr>
      <w:r w:rsidRPr="00E33689">
        <w:rPr>
          <w:rFonts w:ascii="Century Gothic" w:hAnsi="Century Gothic" w:cs="Arial"/>
          <w:szCs w:val="24"/>
        </w:rPr>
        <w:t xml:space="preserve">En este orden de ideas, </w:t>
      </w:r>
      <w:r w:rsidR="00260ACF" w:rsidRPr="00E33689">
        <w:rPr>
          <w:rFonts w:ascii="Century Gothic" w:hAnsi="Century Gothic" w:cs="Arial"/>
          <w:szCs w:val="24"/>
        </w:rPr>
        <w:t xml:space="preserve">el FOMAG es una cuenta especial sin personería jurídica, pero con </w:t>
      </w:r>
      <w:r w:rsidR="00260ACF" w:rsidRPr="004D7BC1">
        <w:rPr>
          <w:rFonts w:ascii="Century Gothic" w:hAnsi="Century Gothic" w:cs="Arial"/>
          <w:b/>
          <w:bCs/>
          <w:szCs w:val="24"/>
        </w:rPr>
        <w:t>independencia patrimonial</w:t>
      </w:r>
      <w:r w:rsidR="00D63D93" w:rsidRPr="00E33689">
        <w:rPr>
          <w:rFonts w:ascii="Century Gothic" w:hAnsi="Century Gothic" w:cs="Arial"/>
          <w:szCs w:val="24"/>
        </w:rPr>
        <w:t xml:space="preserve">, que tiene dentro de sus funciones </w:t>
      </w:r>
      <w:r w:rsidR="00D63D93" w:rsidRPr="00E33689">
        <w:rPr>
          <w:rFonts w:ascii="Century Gothic" w:hAnsi="Century Gothic" w:cs="Arial"/>
          <w:i/>
          <w:iCs/>
          <w:sz w:val="22"/>
        </w:rPr>
        <w:t>“</w:t>
      </w:r>
      <w:r w:rsidR="00D63D93" w:rsidRPr="00E33689">
        <w:rPr>
          <w:rFonts w:ascii="Century Gothic" w:hAnsi="Century Gothic" w:cs="Arial"/>
          <w:sz w:val="22"/>
        </w:rPr>
        <w:t>[e]</w:t>
      </w:r>
      <w:proofErr w:type="spellStart"/>
      <w:r w:rsidR="00D63D93" w:rsidRPr="00E33689">
        <w:rPr>
          <w:rFonts w:ascii="Century Gothic" w:hAnsi="Century Gothic" w:cs="Arial"/>
          <w:i/>
          <w:iCs/>
          <w:sz w:val="22"/>
        </w:rPr>
        <w:t>fectuar</w:t>
      </w:r>
      <w:proofErr w:type="spellEnd"/>
      <w:r w:rsidR="00D63D93" w:rsidRPr="00E33689">
        <w:rPr>
          <w:rFonts w:ascii="Century Gothic" w:hAnsi="Century Gothic" w:cs="Arial"/>
          <w:i/>
          <w:iCs/>
          <w:sz w:val="22"/>
        </w:rPr>
        <w:t xml:space="preserve"> el pago de las prestaciones sociales del personal afiliado”</w:t>
      </w:r>
      <w:r w:rsidR="00D63D93" w:rsidRPr="00E33689">
        <w:rPr>
          <w:rFonts w:ascii="Century Gothic" w:hAnsi="Century Gothic" w:cs="Arial"/>
          <w:szCs w:val="24"/>
        </w:rPr>
        <w:t xml:space="preserve"> (art. 5-1). Incluso, la norma recalca que </w:t>
      </w:r>
      <w:r w:rsidR="00D63D93" w:rsidRPr="00E33689">
        <w:rPr>
          <w:rFonts w:ascii="Century Gothic" w:hAnsi="Century Gothic" w:cs="Arial"/>
          <w:i/>
          <w:iCs/>
          <w:sz w:val="22"/>
        </w:rPr>
        <w:t>“</w:t>
      </w:r>
      <w:r w:rsidR="00D63D93" w:rsidRPr="00E33689">
        <w:rPr>
          <w:rFonts w:ascii="Century Gothic" w:hAnsi="Century Gothic" w:cs="Arial"/>
          <w:sz w:val="22"/>
        </w:rPr>
        <w:t>[e]</w:t>
      </w:r>
      <w:r w:rsidR="00D63D93" w:rsidRPr="00E33689">
        <w:rPr>
          <w:rFonts w:ascii="Century Gothic" w:hAnsi="Century Gothic" w:cs="Arial"/>
          <w:i/>
          <w:iCs/>
          <w:sz w:val="22"/>
        </w:rPr>
        <w:t>n ningún caso podrán destinarse los recursos del Fondo al pago de prestaciones sociales para personal diferente”</w:t>
      </w:r>
      <w:r w:rsidR="00D63D93" w:rsidRPr="00E33689">
        <w:rPr>
          <w:rFonts w:ascii="Century Gothic" w:hAnsi="Century Gothic" w:cs="Arial"/>
          <w:szCs w:val="24"/>
        </w:rPr>
        <w:t xml:space="preserve"> (art. 8.º par.).</w:t>
      </w:r>
    </w:p>
    <w:p w14:paraId="7C092D95" w14:textId="77777777" w:rsidR="00D63D93" w:rsidRPr="00E33689" w:rsidRDefault="00D63D93" w:rsidP="00F027E4">
      <w:pPr>
        <w:rPr>
          <w:rFonts w:ascii="Century Gothic" w:hAnsi="Century Gothic" w:cs="Arial"/>
          <w:szCs w:val="24"/>
        </w:rPr>
      </w:pPr>
    </w:p>
    <w:p w14:paraId="2BFB98C9" w14:textId="77777777" w:rsidR="005F1575" w:rsidRPr="00E33689" w:rsidRDefault="00260ACF" w:rsidP="00F027E4">
      <w:pPr>
        <w:rPr>
          <w:rFonts w:ascii="Century Gothic" w:hAnsi="Century Gothic" w:cs="Arial"/>
          <w:szCs w:val="24"/>
        </w:rPr>
      </w:pPr>
      <w:r w:rsidRPr="00E33689">
        <w:rPr>
          <w:rFonts w:ascii="Century Gothic" w:hAnsi="Century Gothic" w:cs="Arial"/>
          <w:szCs w:val="24"/>
        </w:rPr>
        <w:t xml:space="preserve">Por ende, </w:t>
      </w:r>
      <w:r w:rsidR="00111560" w:rsidRPr="00E33689">
        <w:rPr>
          <w:rFonts w:ascii="Century Gothic" w:hAnsi="Century Gothic" w:cs="Arial"/>
          <w:szCs w:val="24"/>
        </w:rPr>
        <w:t xml:space="preserve">aun cuando la persona jurídica que tiene capacidad para ser parte </w:t>
      </w:r>
      <w:r w:rsidR="00D63D93" w:rsidRPr="00E33689">
        <w:rPr>
          <w:rFonts w:ascii="Century Gothic" w:hAnsi="Century Gothic" w:cs="Arial"/>
          <w:szCs w:val="24"/>
        </w:rPr>
        <w:t xml:space="preserve">en estos litigios </w:t>
      </w:r>
      <w:r w:rsidR="00111560" w:rsidRPr="00E33689">
        <w:rPr>
          <w:rFonts w:ascii="Century Gothic" w:hAnsi="Century Gothic" w:cs="Arial"/>
          <w:szCs w:val="24"/>
        </w:rPr>
        <w:t xml:space="preserve">es </w:t>
      </w:r>
      <w:r w:rsidRPr="00E33689">
        <w:rPr>
          <w:rFonts w:ascii="Century Gothic" w:hAnsi="Century Gothic" w:cs="Arial"/>
          <w:szCs w:val="24"/>
        </w:rPr>
        <w:t xml:space="preserve">la Nación y </w:t>
      </w:r>
      <w:r w:rsidR="007E24B0" w:rsidRPr="00E33689">
        <w:rPr>
          <w:rFonts w:ascii="Century Gothic" w:hAnsi="Century Gothic" w:cs="Arial"/>
          <w:szCs w:val="24"/>
        </w:rPr>
        <w:t>comparece al proceso a través de</w:t>
      </w:r>
      <w:r w:rsidR="00111560" w:rsidRPr="00E33689">
        <w:rPr>
          <w:rFonts w:ascii="Century Gothic" w:hAnsi="Century Gothic" w:cs="Arial"/>
          <w:szCs w:val="24"/>
        </w:rPr>
        <w:t xml:space="preserve">l </w:t>
      </w:r>
      <w:r w:rsidRPr="00E33689">
        <w:rPr>
          <w:rFonts w:ascii="Century Gothic" w:hAnsi="Century Gothic" w:cs="Arial"/>
          <w:szCs w:val="24"/>
        </w:rPr>
        <w:t xml:space="preserve">Ministro de Educación </w:t>
      </w:r>
      <w:r w:rsidR="00FE3499" w:rsidRPr="00E33689">
        <w:rPr>
          <w:rFonts w:ascii="Century Gothic" w:hAnsi="Century Gothic" w:cs="Arial"/>
          <w:szCs w:val="24"/>
        </w:rPr>
        <w:t>(</w:t>
      </w:r>
      <w:r w:rsidRPr="00E33689">
        <w:rPr>
          <w:rFonts w:ascii="Century Gothic" w:hAnsi="Century Gothic" w:cs="Arial"/>
          <w:szCs w:val="24"/>
        </w:rPr>
        <w:t>art. 159 CPACA</w:t>
      </w:r>
      <w:r w:rsidR="007E24B0" w:rsidRPr="00E33689">
        <w:rPr>
          <w:rFonts w:ascii="Century Gothic" w:hAnsi="Century Gothic" w:cs="Arial"/>
          <w:szCs w:val="24"/>
        </w:rPr>
        <w:t xml:space="preserve">), lo cierto es que el legislador </w:t>
      </w:r>
      <w:r w:rsidR="00D63D93" w:rsidRPr="00E33689">
        <w:rPr>
          <w:rFonts w:ascii="Century Gothic" w:hAnsi="Century Gothic" w:cs="Arial"/>
          <w:szCs w:val="24"/>
        </w:rPr>
        <w:lastRenderedPageBreak/>
        <w:t>reguló de forma especial y particular el manejo presupuestal de los recursos destinados al pago de las prestaciones sociales de los docentes oficiales</w:t>
      </w:r>
      <w:r w:rsidR="00FE3499" w:rsidRPr="00E33689">
        <w:rPr>
          <w:rFonts w:ascii="Century Gothic" w:hAnsi="Century Gothic" w:cs="Arial"/>
          <w:szCs w:val="24"/>
        </w:rPr>
        <w:t>, diferenciándolos de los demás que administra la entidad.</w:t>
      </w:r>
      <w:r w:rsidR="005F1575" w:rsidRPr="00E33689">
        <w:rPr>
          <w:rFonts w:ascii="Century Gothic" w:hAnsi="Century Gothic" w:cs="Arial"/>
          <w:szCs w:val="24"/>
        </w:rPr>
        <w:t xml:space="preserve"> </w:t>
      </w:r>
    </w:p>
    <w:p w14:paraId="09EC1EA4" w14:textId="77777777" w:rsidR="005F1575" w:rsidRPr="00E33689" w:rsidRDefault="005F1575" w:rsidP="00F027E4">
      <w:pPr>
        <w:rPr>
          <w:rFonts w:ascii="Century Gothic" w:hAnsi="Century Gothic" w:cs="Arial"/>
          <w:szCs w:val="24"/>
        </w:rPr>
      </w:pPr>
    </w:p>
    <w:p w14:paraId="6ED5936A" w14:textId="7E34DF91" w:rsidR="00FE3499" w:rsidRPr="00E33689" w:rsidRDefault="005F1575" w:rsidP="00F027E4">
      <w:pPr>
        <w:rPr>
          <w:rFonts w:ascii="Century Gothic" w:hAnsi="Century Gothic" w:cs="Arial"/>
          <w:szCs w:val="24"/>
        </w:rPr>
      </w:pPr>
      <w:r w:rsidRPr="00E33689">
        <w:rPr>
          <w:rFonts w:ascii="Century Gothic" w:hAnsi="Century Gothic" w:cs="Arial"/>
          <w:szCs w:val="24"/>
        </w:rPr>
        <w:t xml:space="preserve">Una muestra de esta autonomía consiste en que el presupuesto del fondo es aprobado y puede ser modificado solo por su Consejo Directivo (art. 2.4.4.2.3.1.1 </w:t>
      </w:r>
      <w:proofErr w:type="spellStart"/>
      <w:r w:rsidRPr="00E33689">
        <w:rPr>
          <w:rFonts w:ascii="Century Gothic" w:hAnsi="Century Gothic" w:cs="Arial"/>
          <w:szCs w:val="24"/>
        </w:rPr>
        <w:t>num</w:t>
      </w:r>
      <w:proofErr w:type="spellEnd"/>
      <w:r w:rsidRPr="00E33689">
        <w:rPr>
          <w:rFonts w:ascii="Century Gothic" w:hAnsi="Century Gothic" w:cs="Arial"/>
          <w:szCs w:val="24"/>
        </w:rPr>
        <w:t xml:space="preserve">. 1.º DUR. 1075/2015), el cual está integrado por los Ministros de Educación (o el </w:t>
      </w:r>
      <w:r w:rsidR="006F2556" w:rsidRPr="00E33689">
        <w:rPr>
          <w:rFonts w:ascii="Century Gothic" w:hAnsi="Century Gothic" w:cs="Arial"/>
          <w:szCs w:val="24"/>
        </w:rPr>
        <w:t>viceministro</w:t>
      </w:r>
      <w:r w:rsidRPr="00E33689">
        <w:rPr>
          <w:rFonts w:ascii="Century Gothic" w:hAnsi="Century Gothic" w:cs="Arial"/>
          <w:szCs w:val="24"/>
        </w:rPr>
        <w:t xml:space="preserve">), Hacienda </w:t>
      </w:r>
      <w:r w:rsidR="006F2556" w:rsidRPr="00E33689">
        <w:rPr>
          <w:rFonts w:ascii="Century Gothic" w:hAnsi="Century Gothic" w:cs="Arial"/>
          <w:szCs w:val="24"/>
        </w:rPr>
        <w:t>y Trabajo, así como dos representantes del magisterio y el gerente de la entidad fiduciaria</w:t>
      </w:r>
      <w:r w:rsidR="004D7BC1">
        <w:rPr>
          <w:rFonts w:ascii="Century Gothic" w:hAnsi="Century Gothic" w:cs="Arial"/>
          <w:szCs w:val="24"/>
        </w:rPr>
        <w:t xml:space="preserve"> (art. 6.º L. 91/1989)</w:t>
      </w:r>
      <w:r w:rsidR="006F2556" w:rsidRPr="00E33689">
        <w:rPr>
          <w:rFonts w:ascii="Century Gothic" w:hAnsi="Century Gothic" w:cs="Arial"/>
          <w:szCs w:val="24"/>
        </w:rPr>
        <w:t>, no solo por el primero</w:t>
      </w:r>
      <w:r w:rsidR="00D44BEB">
        <w:rPr>
          <w:rFonts w:ascii="Century Gothic" w:hAnsi="Century Gothic" w:cs="Arial"/>
          <w:szCs w:val="24"/>
        </w:rPr>
        <w:t xml:space="preserve"> de los mencionados</w:t>
      </w:r>
      <w:r w:rsidR="006F2556" w:rsidRPr="00E33689">
        <w:rPr>
          <w:rFonts w:ascii="Century Gothic" w:hAnsi="Century Gothic" w:cs="Arial"/>
          <w:szCs w:val="24"/>
        </w:rPr>
        <w:t>.</w:t>
      </w:r>
    </w:p>
    <w:p w14:paraId="49354D71" w14:textId="112E3908" w:rsidR="00A41D99" w:rsidRPr="00E33689" w:rsidRDefault="00A41D99" w:rsidP="00F027E4">
      <w:pPr>
        <w:rPr>
          <w:rFonts w:ascii="Century Gothic" w:hAnsi="Century Gothic" w:cs="Arial"/>
          <w:szCs w:val="24"/>
        </w:rPr>
      </w:pPr>
    </w:p>
    <w:p w14:paraId="2643D1F2" w14:textId="770A4DAE" w:rsidR="00A41D99" w:rsidRPr="00E33689" w:rsidRDefault="00C84164" w:rsidP="00F027E4">
      <w:pPr>
        <w:rPr>
          <w:rFonts w:ascii="Century Gothic" w:hAnsi="Century Gothic" w:cs="Arial"/>
          <w:szCs w:val="24"/>
        </w:rPr>
      </w:pPr>
      <w:r w:rsidRPr="00E33689">
        <w:rPr>
          <w:rFonts w:ascii="Century Gothic" w:hAnsi="Century Gothic" w:cs="Arial"/>
          <w:szCs w:val="24"/>
        </w:rPr>
        <w:t xml:space="preserve">En criterio del despacho, esta regulación debe tener efectos </w:t>
      </w:r>
      <w:r w:rsidR="00A3339D" w:rsidRPr="00E33689">
        <w:rPr>
          <w:rFonts w:ascii="Century Gothic" w:hAnsi="Century Gothic" w:cs="Arial"/>
          <w:szCs w:val="24"/>
        </w:rPr>
        <w:t xml:space="preserve">prácticos </w:t>
      </w:r>
      <w:r w:rsidRPr="00E33689">
        <w:rPr>
          <w:rFonts w:ascii="Century Gothic" w:hAnsi="Century Gothic" w:cs="Arial"/>
          <w:szCs w:val="24"/>
        </w:rPr>
        <w:t xml:space="preserve">de cara al proceso ejecutivo. Si los </w:t>
      </w:r>
      <w:r w:rsidR="00FE3499" w:rsidRPr="00E33689">
        <w:rPr>
          <w:rFonts w:ascii="Century Gothic" w:hAnsi="Century Gothic" w:cs="Arial"/>
          <w:szCs w:val="24"/>
        </w:rPr>
        <w:t xml:space="preserve">dineros </w:t>
      </w:r>
      <w:r w:rsidRPr="00E33689">
        <w:rPr>
          <w:rFonts w:ascii="Century Gothic" w:hAnsi="Century Gothic" w:cs="Arial"/>
          <w:szCs w:val="24"/>
        </w:rPr>
        <w:t xml:space="preserve">con los que se pagan las prestaciones sociales de los educadores son independientes a los </w:t>
      </w:r>
      <w:r w:rsidR="00FE3499" w:rsidRPr="00E33689">
        <w:rPr>
          <w:rFonts w:ascii="Century Gothic" w:hAnsi="Century Gothic" w:cs="Arial"/>
          <w:szCs w:val="24"/>
        </w:rPr>
        <w:t xml:space="preserve">dirigidos al financiamiento de </w:t>
      </w:r>
      <w:r w:rsidRPr="00E33689">
        <w:rPr>
          <w:rFonts w:ascii="Century Gothic" w:hAnsi="Century Gothic" w:cs="Arial"/>
          <w:szCs w:val="24"/>
        </w:rPr>
        <w:t xml:space="preserve">otros gastos e inversiones del sector educación </w:t>
      </w:r>
      <w:r w:rsidR="00F344D6" w:rsidRPr="00E33689">
        <w:rPr>
          <w:rFonts w:ascii="Century Gothic" w:hAnsi="Century Gothic" w:cs="Arial"/>
          <w:szCs w:val="24"/>
        </w:rPr>
        <w:t xml:space="preserve">y con ese fin </w:t>
      </w:r>
      <w:r w:rsidR="00FE3499" w:rsidRPr="00E33689">
        <w:rPr>
          <w:rFonts w:ascii="Century Gothic" w:hAnsi="Century Gothic" w:cs="Arial"/>
          <w:szCs w:val="24"/>
        </w:rPr>
        <w:t xml:space="preserve">se creó un </w:t>
      </w:r>
      <w:r w:rsidR="00F344D6" w:rsidRPr="00E33689">
        <w:rPr>
          <w:rFonts w:ascii="Century Gothic" w:hAnsi="Century Gothic" w:cs="Arial"/>
          <w:szCs w:val="24"/>
        </w:rPr>
        <w:t xml:space="preserve">patrimonio autónomo administrado a través de </w:t>
      </w:r>
      <w:r w:rsidR="00A3339D" w:rsidRPr="00E33689">
        <w:rPr>
          <w:rFonts w:ascii="Century Gothic" w:hAnsi="Century Gothic" w:cs="Arial"/>
          <w:szCs w:val="24"/>
        </w:rPr>
        <w:t>un contrato de fiducia mercantil</w:t>
      </w:r>
      <w:r w:rsidR="00FE3499" w:rsidRPr="00E33689">
        <w:rPr>
          <w:rFonts w:ascii="Century Gothic" w:hAnsi="Century Gothic" w:cs="Arial"/>
          <w:szCs w:val="24"/>
        </w:rPr>
        <w:t xml:space="preserve">, no puede </w:t>
      </w:r>
      <w:r w:rsidR="00BA4F3D" w:rsidRPr="00E33689">
        <w:rPr>
          <w:rFonts w:ascii="Century Gothic" w:hAnsi="Century Gothic" w:cs="Arial"/>
          <w:szCs w:val="24"/>
        </w:rPr>
        <w:t>asumirse</w:t>
      </w:r>
      <w:r w:rsidR="00FE3499" w:rsidRPr="00E33689">
        <w:rPr>
          <w:rFonts w:ascii="Century Gothic" w:hAnsi="Century Gothic" w:cs="Arial"/>
          <w:szCs w:val="24"/>
        </w:rPr>
        <w:t xml:space="preserve"> </w:t>
      </w:r>
      <w:r w:rsidR="00A3339D" w:rsidRPr="00E33689">
        <w:rPr>
          <w:rFonts w:ascii="Century Gothic" w:hAnsi="Century Gothic" w:cs="Arial"/>
          <w:szCs w:val="24"/>
        </w:rPr>
        <w:t xml:space="preserve">que esta distinción </w:t>
      </w:r>
      <w:r w:rsidR="005F1575" w:rsidRPr="00E33689">
        <w:rPr>
          <w:rFonts w:ascii="Century Gothic" w:hAnsi="Century Gothic" w:cs="Arial"/>
          <w:szCs w:val="24"/>
        </w:rPr>
        <w:t xml:space="preserve">solo </w:t>
      </w:r>
      <w:r w:rsidR="00A3339D" w:rsidRPr="00E33689">
        <w:rPr>
          <w:rFonts w:ascii="Century Gothic" w:hAnsi="Century Gothic" w:cs="Arial"/>
          <w:szCs w:val="24"/>
        </w:rPr>
        <w:t xml:space="preserve">es aplicable para </w:t>
      </w:r>
      <w:r w:rsidR="005E74E2">
        <w:rPr>
          <w:rFonts w:ascii="Century Gothic" w:hAnsi="Century Gothic" w:cs="Arial"/>
          <w:szCs w:val="24"/>
        </w:rPr>
        <w:t>los desembolsos que deben llevarse a cabo</w:t>
      </w:r>
      <w:r w:rsidR="00A3339D" w:rsidRPr="00E33689">
        <w:rPr>
          <w:rFonts w:ascii="Century Gothic" w:hAnsi="Century Gothic" w:cs="Arial"/>
          <w:szCs w:val="24"/>
        </w:rPr>
        <w:t xml:space="preserve"> por vía administrativa y no </w:t>
      </w:r>
      <w:r w:rsidR="005E74E2">
        <w:rPr>
          <w:rFonts w:ascii="Century Gothic" w:hAnsi="Century Gothic" w:cs="Arial"/>
          <w:szCs w:val="24"/>
        </w:rPr>
        <w:t>por los</w:t>
      </w:r>
      <w:r w:rsidR="00A3339D" w:rsidRPr="00E33689">
        <w:rPr>
          <w:rFonts w:ascii="Century Gothic" w:hAnsi="Century Gothic" w:cs="Arial"/>
          <w:szCs w:val="24"/>
        </w:rPr>
        <w:t xml:space="preserve"> que se </w:t>
      </w:r>
      <w:r w:rsidR="008279BD" w:rsidRPr="00E33689">
        <w:rPr>
          <w:rFonts w:ascii="Century Gothic" w:hAnsi="Century Gothic" w:cs="Arial"/>
          <w:szCs w:val="24"/>
        </w:rPr>
        <w:t>deriva</w:t>
      </w:r>
      <w:r w:rsidR="005E74E2">
        <w:rPr>
          <w:rFonts w:ascii="Century Gothic" w:hAnsi="Century Gothic" w:cs="Arial"/>
          <w:szCs w:val="24"/>
        </w:rPr>
        <w:t>n</w:t>
      </w:r>
      <w:r w:rsidR="008279BD" w:rsidRPr="00E33689">
        <w:rPr>
          <w:rFonts w:ascii="Century Gothic" w:hAnsi="Century Gothic" w:cs="Arial"/>
          <w:szCs w:val="24"/>
        </w:rPr>
        <w:t xml:space="preserve"> de</w:t>
      </w:r>
      <w:r w:rsidR="00A3339D" w:rsidRPr="00E33689">
        <w:rPr>
          <w:rFonts w:ascii="Century Gothic" w:hAnsi="Century Gothic" w:cs="Arial"/>
          <w:szCs w:val="24"/>
        </w:rPr>
        <w:t xml:space="preserve"> la acción ejecutiva.</w:t>
      </w:r>
    </w:p>
    <w:p w14:paraId="6DA32E8F" w14:textId="283E0715" w:rsidR="00A3339D" w:rsidRPr="00E33689" w:rsidRDefault="00A3339D" w:rsidP="00F027E4">
      <w:pPr>
        <w:rPr>
          <w:rFonts w:ascii="Century Gothic" w:hAnsi="Century Gothic" w:cs="Arial"/>
          <w:szCs w:val="24"/>
        </w:rPr>
      </w:pPr>
    </w:p>
    <w:p w14:paraId="6EA27017" w14:textId="450D6E94" w:rsidR="00A3339D" w:rsidRPr="00E33689" w:rsidRDefault="006F2556" w:rsidP="00F027E4">
      <w:pPr>
        <w:rPr>
          <w:rFonts w:ascii="Century Gothic" w:hAnsi="Century Gothic" w:cs="Arial"/>
          <w:szCs w:val="24"/>
        </w:rPr>
      </w:pPr>
      <w:r w:rsidRPr="00E33689">
        <w:rPr>
          <w:rFonts w:ascii="Century Gothic" w:hAnsi="Century Gothic" w:cs="Arial"/>
          <w:szCs w:val="24"/>
        </w:rPr>
        <w:t xml:space="preserve">Entonces, así como los recursos del FOMAG no pueden emplearse para el pago de otros compromisos contraídos por el </w:t>
      </w:r>
      <w:r w:rsidR="00924390">
        <w:rPr>
          <w:rFonts w:ascii="Century Gothic" w:hAnsi="Century Gothic" w:cs="Arial"/>
          <w:szCs w:val="24"/>
        </w:rPr>
        <w:t>Ministerio de Educación</w:t>
      </w:r>
      <w:r w:rsidRPr="00E33689">
        <w:rPr>
          <w:rFonts w:ascii="Century Gothic" w:hAnsi="Century Gothic" w:cs="Arial"/>
          <w:szCs w:val="24"/>
        </w:rPr>
        <w:t xml:space="preserve">, tampoco los recursos del presupuesto general de esta cartera pueden destinarse para satisfacer obligaciones propias del fondo, como el pago de prestaciones </w:t>
      </w:r>
      <w:r w:rsidR="000C6C8D" w:rsidRPr="00E33689">
        <w:rPr>
          <w:rFonts w:ascii="Century Gothic" w:hAnsi="Century Gothic" w:cs="Arial"/>
          <w:szCs w:val="24"/>
        </w:rPr>
        <w:t xml:space="preserve">a favor de </w:t>
      </w:r>
      <w:r w:rsidRPr="00E33689">
        <w:rPr>
          <w:rFonts w:ascii="Century Gothic" w:hAnsi="Century Gothic" w:cs="Arial"/>
          <w:szCs w:val="24"/>
        </w:rPr>
        <w:t>docentes.</w:t>
      </w:r>
    </w:p>
    <w:p w14:paraId="7216DABF" w14:textId="71D2BB8F" w:rsidR="006F2556" w:rsidRPr="00E33689" w:rsidRDefault="006F2556" w:rsidP="00F027E4">
      <w:pPr>
        <w:rPr>
          <w:rFonts w:ascii="Century Gothic" w:hAnsi="Century Gothic" w:cs="Arial"/>
          <w:szCs w:val="24"/>
        </w:rPr>
      </w:pPr>
    </w:p>
    <w:p w14:paraId="3C7245A0" w14:textId="4EA46C3B" w:rsidR="006F2556" w:rsidRPr="00E33689" w:rsidRDefault="006F2556" w:rsidP="00F027E4">
      <w:pPr>
        <w:rPr>
          <w:rFonts w:ascii="Century Gothic" w:hAnsi="Century Gothic" w:cs="Arial"/>
          <w:szCs w:val="24"/>
        </w:rPr>
      </w:pPr>
      <w:r w:rsidRPr="00E33689">
        <w:rPr>
          <w:rFonts w:ascii="Century Gothic" w:hAnsi="Century Gothic" w:cs="Arial"/>
          <w:szCs w:val="24"/>
        </w:rPr>
        <w:t xml:space="preserve">En otras palabras, el hecho consistente en que </w:t>
      </w:r>
      <w:r w:rsidR="00056E49" w:rsidRPr="00E33689">
        <w:rPr>
          <w:rFonts w:ascii="Century Gothic" w:hAnsi="Century Gothic" w:cs="Arial"/>
          <w:szCs w:val="24"/>
        </w:rPr>
        <w:t xml:space="preserve">el </w:t>
      </w:r>
      <w:r w:rsidR="00924390">
        <w:rPr>
          <w:rFonts w:ascii="Century Gothic" w:hAnsi="Century Gothic" w:cs="Arial"/>
          <w:szCs w:val="24"/>
        </w:rPr>
        <w:t>Ministerio de Educación</w:t>
      </w:r>
      <w:r w:rsidR="00056E49" w:rsidRPr="00E33689">
        <w:rPr>
          <w:rFonts w:ascii="Century Gothic" w:hAnsi="Century Gothic" w:cs="Arial"/>
          <w:szCs w:val="24"/>
        </w:rPr>
        <w:t xml:space="preserve"> </w:t>
      </w:r>
      <w:r w:rsidR="00E5306F" w:rsidRPr="00E33689">
        <w:rPr>
          <w:rFonts w:ascii="Century Gothic" w:hAnsi="Century Gothic" w:cs="Arial"/>
          <w:szCs w:val="24"/>
        </w:rPr>
        <w:t>sea</w:t>
      </w:r>
      <w:r w:rsidR="00056E49" w:rsidRPr="00E33689">
        <w:rPr>
          <w:rFonts w:ascii="Century Gothic" w:hAnsi="Century Gothic" w:cs="Arial"/>
          <w:szCs w:val="24"/>
        </w:rPr>
        <w:t xml:space="preserve"> el centro de imputación por pasiva de </w:t>
      </w:r>
      <w:r w:rsidRPr="00E33689">
        <w:rPr>
          <w:rFonts w:ascii="Century Gothic" w:hAnsi="Century Gothic" w:cs="Arial"/>
          <w:szCs w:val="24"/>
        </w:rPr>
        <w:t xml:space="preserve">las demandas </w:t>
      </w:r>
      <w:r w:rsidR="00056E49" w:rsidRPr="00E33689">
        <w:rPr>
          <w:rFonts w:ascii="Century Gothic" w:hAnsi="Century Gothic" w:cs="Arial"/>
          <w:szCs w:val="24"/>
        </w:rPr>
        <w:t xml:space="preserve">relativas al pago de </w:t>
      </w:r>
      <w:r w:rsidRPr="00E33689">
        <w:rPr>
          <w:rFonts w:ascii="Century Gothic" w:hAnsi="Century Gothic" w:cs="Arial"/>
          <w:szCs w:val="24"/>
        </w:rPr>
        <w:t xml:space="preserve">prestaciones a cargo del FOMAG </w:t>
      </w:r>
      <w:r w:rsidR="008279BD" w:rsidRPr="00E33689">
        <w:rPr>
          <w:rFonts w:ascii="Century Gothic" w:hAnsi="Century Gothic" w:cs="Arial"/>
          <w:szCs w:val="24"/>
        </w:rPr>
        <w:t>(fondo</w:t>
      </w:r>
      <w:r w:rsidR="003E3499">
        <w:rPr>
          <w:rFonts w:ascii="Century Gothic" w:hAnsi="Century Gothic" w:cs="Arial"/>
          <w:szCs w:val="24"/>
        </w:rPr>
        <w:t>–</w:t>
      </w:r>
      <w:r w:rsidR="008279BD" w:rsidRPr="00E33689">
        <w:rPr>
          <w:rFonts w:ascii="Century Gothic" w:hAnsi="Century Gothic" w:cs="Arial"/>
          <w:szCs w:val="24"/>
        </w:rPr>
        <w:t>cuenta</w:t>
      </w:r>
      <w:r w:rsidR="003E3499">
        <w:rPr>
          <w:rFonts w:ascii="Century Gothic" w:hAnsi="Century Gothic" w:cs="Arial"/>
          <w:szCs w:val="24"/>
        </w:rPr>
        <w:t xml:space="preserve"> </w:t>
      </w:r>
      <w:r w:rsidR="008279BD" w:rsidRPr="00E33689">
        <w:rPr>
          <w:rFonts w:ascii="Century Gothic" w:hAnsi="Century Gothic" w:cs="Arial"/>
          <w:szCs w:val="24"/>
        </w:rPr>
        <w:t xml:space="preserve">sin personería jurídica) </w:t>
      </w:r>
      <w:r w:rsidR="00056E49" w:rsidRPr="00E33689">
        <w:rPr>
          <w:rFonts w:ascii="Century Gothic" w:hAnsi="Century Gothic" w:cs="Arial"/>
          <w:szCs w:val="24"/>
        </w:rPr>
        <w:t xml:space="preserve">no desdibuja la independencia patrimonial que </w:t>
      </w:r>
      <w:r w:rsidR="00E5306F" w:rsidRPr="00E33689">
        <w:rPr>
          <w:rFonts w:ascii="Century Gothic" w:hAnsi="Century Gothic" w:cs="Arial"/>
          <w:szCs w:val="24"/>
        </w:rPr>
        <w:t>est</w:t>
      </w:r>
      <w:r w:rsidR="00EA2F4A" w:rsidRPr="00E33689">
        <w:rPr>
          <w:rFonts w:ascii="Century Gothic" w:hAnsi="Century Gothic" w:cs="Arial"/>
          <w:szCs w:val="24"/>
        </w:rPr>
        <w:t>e</w:t>
      </w:r>
      <w:r w:rsidR="00E5306F" w:rsidRPr="00E33689">
        <w:rPr>
          <w:rFonts w:ascii="Century Gothic" w:hAnsi="Century Gothic" w:cs="Arial"/>
          <w:szCs w:val="24"/>
        </w:rPr>
        <w:t xml:space="preserve"> últim</w:t>
      </w:r>
      <w:r w:rsidR="00EA2F4A" w:rsidRPr="00E33689">
        <w:rPr>
          <w:rFonts w:ascii="Century Gothic" w:hAnsi="Century Gothic" w:cs="Arial"/>
          <w:szCs w:val="24"/>
        </w:rPr>
        <w:t>o</w:t>
      </w:r>
      <w:r w:rsidR="00E5306F" w:rsidRPr="00E33689">
        <w:rPr>
          <w:rFonts w:ascii="Century Gothic" w:hAnsi="Century Gothic" w:cs="Arial"/>
          <w:szCs w:val="24"/>
        </w:rPr>
        <w:t xml:space="preserve"> ostenta </w:t>
      </w:r>
      <w:r w:rsidR="00056E49" w:rsidRPr="00E33689">
        <w:rPr>
          <w:rFonts w:ascii="Century Gothic" w:hAnsi="Century Gothic" w:cs="Arial"/>
          <w:szCs w:val="24"/>
        </w:rPr>
        <w:t xml:space="preserve">por ley ni hace que sus presupuestos </w:t>
      </w:r>
      <w:r w:rsidR="00EA2F4A" w:rsidRPr="00E33689">
        <w:rPr>
          <w:rFonts w:ascii="Century Gothic" w:hAnsi="Century Gothic" w:cs="Arial"/>
          <w:szCs w:val="24"/>
        </w:rPr>
        <w:t xml:space="preserve">se </w:t>
      </w:r>
      <w:r w:rsidR="00056E49" w:rsidRPr="00E33689">
        <w:rPr>
          <w:rFonts w:ascii="Century Gothic" w:hAnsi="Century Gothic" w:cs="Arial"/>
          <w:szCs w:val="24"/>
        </w:rPr>
        <w:t>confund</w:t>
      </w:r>
      <w:r w:rsidR="00EA2F4A" w:rsidRPr="00E33689">
        <w:rPr>
          <w:rFonts w:ascii="Century Gothic" w:hAnsi="Century Gothic" w:cs="Arial"/>
          <w:szCs w:val="24"/>
        </w:rPr>
        <w:t>an</w:t>
      </w:r>
      <w:r w:rsidR="00056E49" w:rsidRPr="00E33689">
        <w:rPr>
          <w:rFonts w:ascii="Century Gothic" w:hAnsi="Century Gothic" w:cs="Arial"/>
          <w:szCs w:val="24"/>
        </w:rPr>
        <w:t xml:space="preserve"> </w:t>
      </w:r>
      <w:r w:rsidR="003D1717" w:rsidRPr="00E33689">
        <w:rPr>
          <w:rFonts w:ascii="Century Gothic" w:hAnsi="Century Gothic" w:cs="Arial"/>
          <w:szCs w:val="24"/>
        </w:rPr>
        <w:t>par</w:t>
      </w:r>
      <w:r w:rsidR="00056E49" w:rsidRPr="00E33689">
        <w:rPr>
          <w:rFonts w:ascii="Century Gothic" w:hAnsi="Century Gothic" w:cs="Arial"/>
          <w:szCs w:val="24"/>
        </w:rPr>
        <w:t xml:space="preserve">a efectos de la satisfacción de las </w:t>
      </w:r>
      <w:r w:rsidR="003D1717" w:rsidRPr="00E33689">
        <w:rPr>
          <w:rFonts w:ascii="Century Gothic" w:hAnsi="Century Gothic" w:cs="Arial"/>
          <w:szCs w:val="24"/>
        </w:rPr>
        <w:t>acreencias</w:t>
      </w:r>
      <w:r w:rsidR="00056E49" w:rsidRPr="00E33689">
        <w:rPr>
          <w:rFonts w:ascii="Century Gothic" w:hAnsi="Century Gothic" w:cs="Arial"/>
          <w:szCs w:val="24"/>
        </w:rPr>
        <w:t xml:space="preserve"> reclamadas. La comparecencia al proceso es un asunto procesal que no modifica las normas presupuestales </w:t>
      </w:r>
      <w:r w:rsidR="00BA4F3D" w:rsidRPr="00E33689">
        <w:rPr>
          <w:rFonts w:ascii="Century Gothic" w:hAnsi="Century Gothic" w:cs="Arial"/>
          <w:szCs w:val="24"/>
        </w:rPr>
        <w:t>ni puede entenderse en menoscabo de la independencia de los recursos</w:t>
      </w:r>
      <w:r w:rsidR="00E1684C">
        <w:rPr>
          <w:rFonts w:ascii="Century Gothic" w:hAnsi="Century Gothic" w:cs="Arial"/>
          <w:szCs w:val="24"/>
        </w:rPr>
        <w:t xml:space="preserve"> dispuestos</w:t>
      </w:r>
      <w:r w:rsidR="00BA4F3D" w:rsidRPr="00E33689">
        <w:rPr>
          <w:rFonts w:ascii="Century Gothic" w:hAnsi="Century Gothic" w:cs="Arial"/>
          <w:szCs w:val="24"/>
        </w:rPr>
        <w:t xml:space="preserve"> para el pago de las prestaciones sociales de los docentes oficiales y su teleología.</w:t>
      </w:r>
    </w:p>
    <w:p w14:paraId="0785DDFD" w14:textId="77777777" w:rsidR="00260ACF" w:rsidRPr="00E33689" w:rsidRDefault="00260ACF" w:rsidP="00F027E4">
      <w:pPr>
        <w:rPr>
          <w:rFonts w:ascii="Century Gothic" w:hAnsi="Century Gothic" w:cs="Arial"/>
          <w:szCs w:val="24"/>
        </w:rPr>
      </w:pPr>
    </w:p>
    <w:p w14:paraId="793F749C" w14:textId="2D2EFD08" w:rsidR="008F16A8" w:rsidRPr="00E33689" w:rsidRDefault="00FC3D45" w:rsidP="00F027E4">
      <w:pPr>
        <w:rPr>
          <w:rFonts w:ascii="Century Gothic" w:hAnsi="Century Gothic" w:cs="Arial"/>
          <w:szCs w:val="24"/>
        </w:rPr>
      </w:pPr>
      <w:r w:rsidRPr="00E33689">
        <w:rPr>
          <w:rFonts w:ascii="Century Gothic" w:hAnsi="Century Gothic" w:cs="Arial"/>
          <w:szCs w:val="24"/>
        </w:rPr>
        <w:t>Teniendo en cuenta lo anterior, en este ca</w:t>
      </w:r>
      <w:r w:rsidR="00E945FA" w:rsidRPr="00E33689">
        <w:rPr>
          <w:rFonts w:ascii="Century Gothic" w:hAnsi="Century Gothic" w:cs="Arial"/>
          <w:szCs w:val="24"/>
        </w:rPr>
        <w:t xml:space="preserve">so el ejecutante pidió el embargo de 4 cuentas, frente a las cuales el juez no indagó en su titularidad ni </w:t>
      </w:r>
      <w:r w:rsidR="00430D96">
        <w:rPr>
          <w:rFonts w:ascii="Century Gothic" w:hAnsi="Century Gothic" w:cs="Arial"/>
          <w:szCs w:val="24"/>
        </w:rPr>
        <w:t xml:space="preserve">en </w:t>
      </w:r>
      <w:r w:rsidR="00E945FA" w:rsidRPr="00E33689">
        <w:rPr>
          <w:rFonts w:ascii="Century Gothic" w:hAnsi="Century Gothic" w:cs="Arial"/>
          <w:szCs w:val="24"/>
        </w:rPr>
        <w:t xml:space="preserve">la destinación de los recursos depositados en ellas. </w:t>
      </w:r>
      <w:r w:rsidR="006840CC" w:rsidRPr="00E33689">
        <w:rPr>
          <w:rFonts w:ascii="Century Gothic" w:hAnsi="Century Gothic" w:cs="Arial"/>
          <w:szCs w:val="24"/>
        </w:rPr>
        <w:t xml:space="preserve">La </w:t>
      </w:r>
      <w:r w:rsidR="00E945FA" w:rsidRPr="00E33689">
        <w:rPr>
          <w:rFonts w:ascii="Century Gothic" w:hAnsi="Century Gothic" w:cs="Arial"/>
          <w:szCs w:val="24"/>
        </w:rPr>
        <w:t xml:space="preserve">entidad ejecutada </w:t>
      </w:r>
      <w:r w:rsidR="00430D96">
        <w:rPr>
          <w:rFonts w:ascii="Century Gothic" w:hAnsi="Century Gothic" w:cs="Arial"/>
          <w:szCs w:val="24"/>
        </w:rPr>
        <w:t>informó</w:t>
      </w:r>
      <w:r w:rsidR="00E945FA" w:rsidRPr="00E33689">
        <w:rPr>
          <w:rFonts w:ascii="Century Gothic" w:hAnsi="Century Gothic" w:cs="Arial"/>
          <w:szCs w:val="24"/>
        </w:rPr>
        <w:t xml:space="preserve"> que los dineros objeto de la cautela están destinados al Plan Nacional de Infraestructura Educativa, lo que significa que no corresponden al FOMAG</w:t>
      </w:r>
      <w:r w:rsidR="004B200C">
        <w:rPr>
          <w:rFonts w:ascii="Century Gothic" w:hAnsi="Century Gothic" w:cs="Arial"/>
          <w:szCs w:val="24"/>
        </w:rPr>
        <w:t>,</w:t>
      </w:r>
      <w:r w:rsidR="003626F6">
        <w:rPr>
          <w:rFonts w:ascii="Century Gothic" w:hAnsi="Century Gothic" w:cs="Arial"/>
          <w:szCs w:val="24"/>
        </w:rPr>
        <w:t xml:space="preserve"> según se infiere de lo previsto en el </w:t>
      </w:r>
      <w:r w:rsidR="003626F6">
        <w:rPr>
          <w:rFonts w:ascii="Century Gothic" w:hAnsi="Century Gothic" w:cs="Arial"/>
          <w:szCs w:val="24"/>
        </w:rPr>
        <w:lastRenderedPageBreak/>
        <w:t xml:space="preserve">artículo 143 de la Ley del </w:t>
      </w:r>
      <w:r w:rsidR="003626F6" w:rsidRPr="003626F6">
        <w:rPr>
          <w:rFonts w:ascii="Century Gothic" w:hAnsi="Century Gothic" w:cs="Arial"/>
          <w:szCs w:val="24"/>
        </w:rPr>
        <w:t>Plan Nacional de Desarrollo 2010</w:t>
      </w:r>
      <w:r w:rsidR="003626F6">
        <w:rPr>
          <w:rFonts w:ascii="Century Gothic" w:hAnsi="Century Gothic" w:cs="Arial"/>
          <w:szCs w:val="24"/>
        </w:rPr>
        <w:t>–</w:t>
      </w:r>
      <w:r w:rsidR="003626F6" w:rsidRPr="003626F6">
        <w:rPr>
          <w:rFonts w:ascii="Century Gothic" w:hAnsi="Century Gothic" w:cs="Arial"/>
          <w:szCs w:val="24"/>
        </w:rPr>
        <w:t>2014</w:t>
      </w:r>
      <w:r w:rsidR="003626F6">
        <w:rPr>
          <w:rFonts w:ascii="Century Gothic" w:hAnsi="Century Gothic" w:cs="Arial"/>
          <w:szCs w:val="24"/>
        </w:rPr>
        <w:t xml:space="preserve"> (L. 1450/2011)</w:t>
      </w:r>
      <w:r w:rsidR="003626F6">
        <w:rPr>
          <w:rStyle w:val="Refdenotaalpie"/>
          <w:rFonts w:ascii="Century Gothic" w:hAnsi="Century Gothic" w:cs="Arial"/>
          <w:szCs w:val="24"/>
        </w:rPr>
        <w:footnoteReference w:id="9"/>
      </w:r>
      <w:r w:rsidR="003626F6">
        <w:rPr>
          <w:rFonts w:ascii="Century Gothic" w:hAnsi="Century Gothic" w:cs="Arial"/>
          <w:szCs w:val="24"/>
        </w:rPr>
        <w:t>.</w:t>
      </w:r>
    </w:p>
    <w:p w14:paraId="672F56BD" w14:textId="1E1F778A" w:rsidR="00E945FA" w:rsidRPr="00E33689" w:rsidRDefault="00E945FA" w:rsidP="00F027E4">
      <w:pPr>
        <w:rPr>
          <w:rFonts w:ascii="Century Gothic" w:hAnsi="Century Gothic" w:cs="Arial"/>
          <w:szCs w:val="24"/>
        </w:rPr>
      </w:pPr>
    </w:p>
    <w:p w14:paraId="3839ABAC" w14:textId="187F7FB8" w:rsidR="00E945FA" w:rsidRPr="00E33689" w:rsidRDefault="00EC71E8" w:rsidP="00F027E4">
      <w:pPr>
        <w:rPr>
          <w:rFonts w:ascii="Century Gothic" w:hAnsi="Century Gothic" w:cs="Arial"/>
          <w:szCs w:val="24"/>
        </w:rPr>
      </w:pPr>
      <w:r>
        <w:rPr>
          <w:rFonts w:ascii="Century Gothic" w:hAnsi="Century Gothic" w:cs="Arial"/>
          <w:szCs w:val="24"/>
        </w:rPr>
        <w:t>Asimismo</w:t>
      </w:r>
      <w:r w:rsidR="00E945FA" w:rsidRPr="00E33689">
        <w:rPr>
          <w:rFonts w:ascii="Century Gothic" w:hAnsi="Century Gothic" w:cs="Arial"/>
          <w:szCs w:val="24"/>
        </w:rPr>
        <w:t>, la entidad señaló lo que sigue:</w:t>
      </w:r>
    </w:p>
    <w:p w14:paraId="62DDB972" w14:textId="6F2042D2" w:rsidR="00E945FA" w:rsidRPr="00E33689" w:rsidRDefault="00E945FA" w:rsidP="00F027E4">
      <w:pPr>
        <w:rPr>
          <w:rFonts w:ascii="Century Gothic" w:hAnsi="Century Gothic" w:cs="Arial"/>
          <w:szCs w:val="24"/>
        </w:rPr>
      </w:pPr>
    </w:p>
    <w:p w14:paraId="24AE6E2E" w14:textId="5B383884" w:rsidR="005523B1" w:rsidRPr="00E33689" w:rsidRDefault="00E945FA" w:rsidP="005523B1">
      <w:pPr>
        <w:pStyle w:val="Cita"/>
      </w:pPr>
      <w:r w:rsidRPr="00E33689">
        <w:t>“(…)</w:t>
      </w:r>
      <w:r w:rsidR="005523B1" w:rsidRPr="00E33689">
        <w:t xml:space="preserve"> Por otra parte, en lo que respecta a los recursos para el pago de las prestaciones sociales de los docentes afiliados al Fondo Nacional de Prestaciones Sociales del Magisterio</w:t>
      </w:r>
      <w:r w:rsidR="00DE6A12">
        <w:t xml:space="preserve"> </w:t>
      </w:r>
      <w:r w:rsidR="005523B1" w:rsidRPr="00E33689">
        <w:t xml:space="preserve">-en adelante </w:t>
      </w:r>
      <w:r w:rsidR="005523B1" w:rsidRPr="00E33689">
        <w:rPr>
          <w:b/>
        </w:rPr>
        <w:t xml:space="preserve">FOMAG-, </w:t>
      </w:r>
      <w:r w:rsidR="005523B1" w:rsidRPr="00E33689">
        <w:t xml:space="preserve">se informa que el </w:t>
      </w:r>
      <w:r w:rsidR="005523B1" w:rsidRPr="00E33689">
        <w:rPr>
          <w:b/>
        </w:rPr>
        <w:t xml:space="preserve">FOMAG, </w:t>
      </w:r>
      <w:r w:rsidR="005523B1" w:rsidRPr="00E33689">
        <w:t xml:space="preserve">como patrimonio autónomo sin personería jurídica y en virtud de lo dispuesto en el contrato de Fiducia mercantil No. 0083 del 21 de junio de 1990, obra a través de la sociedad fiduciaria denominada </w:t>
      </w:r>
      <w:proofErr w:type="spellStart"/>
      <w:r w:rsidR="00924390">
        <w:rPr>
          <w:b/>
        </w:rPr>
        <w:t>Fiduprevisora</w:t>
      </w:r>
      <w:proofErr w:type="spellEnd"/>
      <w:r w:rsidR="005523B1" w:rsidRPr="00E33689">
        <w:rPr>
          <w:b/>
        </w:rPr>
        <w:t xml:space="preserve"> S.A</w:t>
      </w:r>
      <w:r w:rsidR="00DE6A12">
        <w:rPr>
          <w:b/>
        </w:rPr>
        <w:t xml:space="preserve"> </w:t>
      </w:r>
      <w:r w:rsidR="00DE6A12" w:rsidRPr="00DE6A12">
        <w:rPr>
          <w:bCs/>
          <w:i w:val="0"/>
          <w:iCs/>
        </w:rPr>
        <w:t>(</w:t>
      </w:r>
      <w:r w:rsidR="00DE6A12">
        <w:rPr>
          <w:bCs/>
          <w:i w:val="0"/>
          <w:iCs/>
        </w:rPr>
        <w:t>sic</w:t>
      </w:r>
      <w:r w:rsidR="00DE6A12" w:rsidRPr="00DE6A12">
        <w:rPr>
          <w:bCs/>
          <w:i w:val="0"/>
          <w:iCs/>
        </w:rPr>
        <w:t>)</w:t>
      </w:r>
      <w:r w:rsidR="005523B1" w:rsidRPr="00E33689">
        <w:rPr>
          <w:b/>
        </w:rPr>
        <w:t xml:space="preserve">, </w:t>
      </w:r>
      <w:r w:rsidR="005523B1" w:rsidRPr="00E33689">
        <w:t xml:space="preserve">quien tiene su vocería y administración. Por lo anterior, es la Fiduciaria quien, como gestor profesional, se encarga de pagar con los recursos del fondo, las prestaciones reconocidas por los empleadores de los docentes afiliados al magisterio, así como las sentencias judiciales que se fallen en contra del mencionado Fondo. Dicha entidad administra los recursos a través de las cuentas </w:t>
      </w:r>
      <w:r w:rsidR="005523B1" w:rsidRPr="00E33689">
        <w:rPr>
          <w:b/>
        </w:rPr>
        <w:t xml:space="preserve">311-00222 -4 y 309- 01291-2 </w:t>
      </w:r>
      <w:r w:rsidR="005523B1" w:rsidRPr="00E33689">
        <w:t xml:space="preserve">del Banco BBVA a nombre del Patrimonio Autónomo Fondo de Prestaciones Sociales del Magisterio </w:t>
      </w:r>
      <w:proofErr w:type="spellStart"/>
      <w:r w:rsidR="005523B1" w:rsidRPr="00E33689">
        <w:t>Fomag</w:t>
      </w:r>
      <w:proofErr w:type="spellEnd"/>
      <w:r w:rsidR="005523B1" w:rsidRPr="00E33689">
        <w:t>.</w:t>
      </w:r>
    </w:p>
    <w:p w14:paraId="52C592FB" w14:textId="77777777" w:rsidR="005523B1" w:rsidRPr="005523B1" w:rsidRDefault="005523B1" w:rsidP="005523B1">
      <w:pPr>
        <w:pStyle w:val="Cita"/>
      </w:pPr>
    </w:p>
    <w:p w14:paraId="43B06E85" w14:textId="73723480" w:rsidR="00E945FA" w:rsidRPr="00E33689" w:rsidRDefault="005523B1" w:rsidP="005523B1">
      <w:pPr>
        <w:pStyle w:val="Cita"/>
      </w:pPr>
      <w:r w:rsidRPr="005523B1">
        <w:t xml:space="preserve">Por lo anterior, en virtud de lo dispuesto en el mencionado contrato y de conformidad con lo estipulado en el Decreto 1075 de 2015, esta cartera ministerial no tiene injerencia alguna en los asuntos del Fondo Nacional de Prestaciones Sociales del Magisterio, por lo cual se advierte desde ahora que </w:t>
      </w:r>
      <w:bookmarkStart w:id="4" w:name="_Hlk70589798"/>
      <w:r w:rsidRPr="005523B1">
        <w:t xml:space="preserve">los asuntos referidos al pago de las prestaciones sociales de los docentes afiliados al </w:t>
      </w:r>
      <w:r w:rsidRPr="005523B1">
        <w:rPr>
          <w:b/>
        </w:rPr>
        <w:t xml:space="preserve">FOMAG, </w:t>
      </w:r>
      <w:r w:rsidRPr="005523B1">
        <w:t xml:space="preserve">deben ser dirigidos a la </w:t>
      </w:r>
      <w:r w:rsidRPr="005523B1">
        <w:rPr>
          <w:b/>
        </w:rPr>
        <w:t>Fiduprevisora S.A</w:t>
      </w:r>
      <w:r w:rsidRPr="00E33689">
        <w:rPr>
          <w:b/>
        </w:rPr>
        <w:t>.</w:t>
      </w:r>
      <w:bookmarkEnd w:id="4"/>
      <w:r w:rsidRPr="00E33689">
        <w:rPr>
          <w:b/>
        </w:rPr>
        <w:t xml:space="preserve"> </w:t>
      </w:r>
      <w:r w:rsidRPr="00E33689">
        <w:rPr>
          <w:bCs/>
        </w:rPr>
        <w:t>(…)”</w:t>
      </w:r>
      <w:r w:rsidR="0091240F">
        <w:rPr>
          <w:rStyle w:val="Refdenotaalpie"/>
          <w:bCs/>
        </w:rPr>
        <w:footnoteReference w:id="10"/>
      </w:r>
      <w:r w:rsidR="00E945FA" w:rsidRPr="00E33689">
        <w:t xml:space="preserve"> </w:t>
      </w:r>
      <w:r w:rsidR="00E33689" w:rsidRPr="00E33689">
        <w:rPr>
          <w:i w:val="0"/>
          <w:iCs/>
        </w:rPr>
        <w:t>(</w:t>
      </w:r>
      <w:r w:rsidR="00E33689">
        <w:rPr>
          <w:i w:val="0"/>
          <w:iCs/>
        </w:rPr>
        <w:t>Resaltado del texto original</w:t>
      </w:r>
      <w:r w:rsidR="00E33689" w:rsidRPr="00E33689">
        <w:rPr>
          <w:i w:val="0"/>
          <w:iCs/>
        </w:rPr>
        <w:t>)</w:t>
      </w:r>
    </w:p>
    <w:p w14:paraId="7186604D" w14:textId="4B294DA0" w:rsidR="008F16A8" w:rsidRPr="00E33689" w:rsidRDefault="008F16A8" w:rsidP="00F027E4">
      <w:pPr>
        <w:rPr>
          <w:rFonts w:ascii="Century Gothic" w:hAnsi="Century Gothic" w:cs="Arial"/>
          <w:szCs w:val="24"/>
        </w:rPr>
      </w:pPr>
    </w:p>
    <w:p w14:paraId="0A93E372" w14:textId="77286C09" w:rsidR="008F16A8" w:rsidRDefault="003A3B9D" w:rsidP="00F027E4">
      <w:pPr>
        <w:rPr>
          <w:rFonts w:ascii="Century Gothic" w:hAnsi="Century Gothic" w:cs="Arial"/>
          <w:szCs w:val="24"/>
        </w:rPr>
      </w:pPr>
      <w:r>
        <w:rPr>
          <w:rFonts w:ascii="Century Gothic" w:hAnsi="Century Gothic" w:cs="Arial"/>
          <w:szCs w:val="24"/>
        </w:rPr>
        <w:t xml:space="preserve">Pese a que el despacho </w:t>
      </w:r>
      <w:r w:rsidR="00B3778C">
        <w:rPr>
          <w:rFonts w:ascii="Century Gothic" w:hAnsi="Century Gothic" w:cs="Arial"/>
          <w:szCs w:val="24"/>
        </w:rPr>
        <w:t xml:space="preserve">no </w:t>
      </w:r>
      <w:r>
        <w:rPr>
          <w:rFonts w:ascii="Century Gothic" w:hAnsi="Century Gothic" w:cs="Arial"/>
          <w:szCs w:val="24"/>
        </w:rPr>
        <w:t xml:space="preserve">comparte el criterio según el cual </w:t>
      </w:r>
      <w:r>
        <w:rPr>
          <w:rFonts w:ascii="Century Gothic" w:hAnsi="Century Gothic" w:cs="Arial"/>
          <w:i/>
          <w:iCs/>
          <w:sz w:val="22"/>
        </w:rPr>
        <w:t>“</w:t>
      </w:r>
      <w:r w:rsidRPr="003A3B9D">
        <w:rPr>
          <w:rFonts w:ascii="Century Gothic" w:hAnsi="Century Gothic" w:cs="Arial"/>
          <w:i/>
          <w:iCs/>
          <w:sz w:val="22"/>
        </w:rPr>
        <w:t>los asuntos referidos al pago de las prestaciones sociales de los docentes afiliados al FOMAG, deben ser dirigidos a la Fiduprevisora S.A.</w:t>
      </w:r>
      <w:r>
        <w:rPr>
          <w:rFonts w:ascii="Century Gothic" w:hAnsi="Century Gothic" w:cs="Arial"/>
          <w:i/>
          <w:iCs/>
          <w:sz w:val="22"/>
        </w:rPr>
        <w:t>”</w:t>
      </w:r>
      <w:r w:rsidR="00141744">
        <w:rPr>
          <w:rFonts w:ascii="Century Gothic" w:hAnsi="Century Gothic" w:cs="Arial"/>
          <w:szCs w:val="24"/>
        </w:rPr>
        <w:t xml:space="preserve">, </w:t>
      </w:r>
      <w:r>
        <w:rPr>
          <w:rFonts w:ascii="Century Gothic" w:hAnsi="Century Gothic" w:cs="Arial"/>
          <w:szCs w:val="24"/>
        </w:rPr>
        <w:t xml:space="preserve">precisamente por la falta de personería jurídica del fondo, que hace que –como se dijo– su representación judicial deba ser </w:t>
      </w:r>
      <w:r w:rsidR="00B3778C">
        <w:rPr>
          <w:rFonts w:ascii="Century Gothic" w:hAnsi="Century Gothic" w:cs="Arial"/>
          <w:szCs w:val="24"/>
        </w:rPr>
        <w:t>ejercida</w:t>
      </w:r>
      <w:r>
        <w:rPr>
          <w:rFonts w:ascii="Century Gothic" w:hAnsi="Century Gothic" w:cs="Arial"/>
          <w:szCs w:val="24"/>
        </w:rPr>
        <w:t xml:space="preserve"> por el </w:t>
      </w:r>
      <w:r w:rsidR="00924390">
        <w:rPr>
          <w:rFonts w:ascii="Century Gothic" w:hAnsi="Century Gothic" w:cs="Arial"/>
          <w:szCs w:val="24"/>
        </w:rPr>
        <w:t>Ministerio de Educación</w:t>
      </w:r>
      <w:r w:rsidR="004F5AA4">
        <w:rPr>
          <w:rFonts w:ascii="Century Gothic" w:hAnsi="Century Gothic" w:cs="Arial"/>
          <w:szCs w:val="24"/>
        </w:rPr>
        <w:t xml:space="preserve">, sí considera válido el argumento alusivo a </w:t>
      </w:r>
      <w:r w:rsidR="00075712">
        <w:rPr>
          <w:rFonts w:ascii="Century Gothic" w:hAnsi="Century Gothic" w:cs="Arial"/>
          <w:szCs w:val="24"/>
        </w:rPr>
        <w:t xml:space="preserve">que </w:t>
      </w:r>
      <w:r w:rsidR="004B200C">
        <w:rPr>
          <w:rFonts w:ascii="Century Gothic" w:hAnsi="Century Gothic" w:cs="Arial"/>
          <w:szCs w:val="24"/>
        </w:rPr>
        <w:t>la administración de</w:t>
      </w:r>
      <w:r w:rsidR="00075712">
        <w:rPr>
          <w:rFonts w:ascii="Century Gothic" w:hAnsi="Century Gothic" w:cs="Arial"/>
          <w:szCs w:val="24"/>
        </w:rPr>
        <w:t xml:space="preserve"> </w:t>
      </w:r>
      <w:r w:rsidR="004F5AA4">
        <w:rPr>
          <w:rFonts w:ascii="Century Gothic" w:hAnsi="Century Gothic" w:cs="Arial"/>
          <w:szCs w:val="24"/>
        </w:rPr>
        <w:t>los recursos para el pago de prestaciones sociales a favor de los educadores oficiales</w:t>
      </w:r>
      <w:r w:rsidR="004B200C">
        <w:rPr>
          <w:rFonts w:ascii="Century Gothic" w:hAnsi="Century Gothic" w:cs="Arial"/>
          <w:szCs w:val="24"/>
        </w:rPr>
        <w:t xml:space="preserve"> es autónoma</w:t>
      </w:r>
      <w:r w:rsidR="004F5AA4">
        <w:rPr>
          <w:rFonts w:ascii="Century Gothic" w:hAnsi="Century Gothic" w:cs="Arial"/>
          <w:szCs w:val="24"/>
        </w:rPr>
        <w:t xml:space="preserve">. </w:t>
      </w:r>
      <w:r w:rsidR="00141744">
        <w:rPr>
          <w:rFonts w:ascii="Century Gothic" w:hAnsi="Century Gothic" w:cs="Arial"/>
          <w:szCs w:val="24"/>
        </w:rPr>
        <w:t>Del mismo modo</w:t>
      </w:r>
      <w:r w:rsidR="004F5AA4">
        <w:rPr>
          <w:rFonts w:ascii="Century Gothic" w:hAnsi="Century Gothic" w:cs="Arial"/>
          <w:szCs w:val="24"/>
        </w:rPr>
        <w:t xml:space="preserve">, </w:t>
      </w:r>
      <w:r w:rsidR="0091240F">
        <w:rPr>
          <w:rFonts w:ascii="Century Gothic" w:hAnsi="Century Gothic" w:cs="Arial"/>
          <w:szCs w:val="24"/>
        </w:rPr>
        <w:t xml:space="preserve">la entidad señaló las cuentas bancarias abiertas a nombre del FOMAG, </w:t>
      </w:r>
      <w:r w:rsidR="00141CF2">
        <w:rPr>
          <w:rFonts w:ascii="Century Gothic" w:hAnsi="Century Gothic" w:cs="Arial"/>
          <w:szCs w:val="24"/>
        </w:rPr>
        <w:t>sin que</w:t>
      </w:r>
      <w:r w:rsidR="0091240F">
        <w:rPr>
          <w:rFonts w:ascii="Century Gothic" w:hAnsi="Century Gothic" w:cs="Arial"/>
          <w:szCs w:val="24"/>
        </w:rPr>
        <w:t xml:space="preserve"> coincid</w:t>
      </w:r>
      <w:r w:rsidR="00141CF2">
        <w:rPr>
          <w:rFonts w:ascii="Century Gothic" w:hAnsi="Century Gothic" w:cs="Arial"/>
          <w:szCs w:val="24"/>
        </w:rPr>
        <w:t>a</w:t>
      </w:r>
      <w:r w:rsidR="0091240F">
        <w:rPr>
          <w:rFonts w:ascii="Century Gothic" w:hAnsi="Century Gothic" w:cs="Arial"/>
          <w:szCs w:val="24"/>
        </w:rPr>
        <w:t xml:space="preserve">n con las que fueron cobijadas </w:t>
      </w:r>
      <w:r w:rsidR="00141CF2">
        <w:rPr>
          <w:rFonts w:ascii="Century Gothic" w:hAnsi="Century Gothic" w:cs="Arial"/>
          <w:szCs w:val="24"/>
        </w:rPr>
        <w:t xml:space="preserve">por </w:t>
      </w:r>
      <w:r w:rsidR="0091240F">
        <w:rPr>
          <w:rFonts w:ascii="Century Gothic" w:hAnsi="Century Gothic" w:cs="Arial"/>
          <w:szCs w:val="24"/>
        </w:rPr>
        <w:t>la medida cautelar.</w:t>
      </w:r>
    </w:p>
    <w:p w14:paraId="57F4FC6F" w14:textId="264C2067" w:rsidR="0091240F" w:rsidRDefault="0091240F" w:rsidP="00F027E4">
      <w:pPr>
        <w:rPr>
          <w:rFonts w:ascii="Century Gothic" w:hAnsi="Century Gothic" w:cs="Arial"/>
          <w:szCs w:val="24"/>
        </w:rPr>
      </w:pPr>
    </w:p>
    <w:p w14:paraId="5183D181" w14:textId="1A5F7E94" w:rsidR="00D85AA8" w:rsidRPr="00D85AA8" w:rsidRDefault="00D85AA8" w:rsidP="00F027E4">
      <w:pPr>
        <w:rPr>
          <w:rFonts w:ascii="Century Gothic" w:hAnsi="Century Gothic" w:cs="Arial"/>
          <w:iCs/>
          <w:szCs w:val="24"/>
        </w:rPr>
      </w:pPr>
      <w:r>
        <w:rPr>
          <w:rFonts w:ascii="Century Gothic" w:hAnsi="Century Gothic" w:cs="Arial"/>
          <w:szCs w:val="24"/>
        </w:rPr>
        <w:t xml:space="preserve">Incluso, los recursos depositados en la cuenta </w:t>
      </w:r>
      <w:r w:rsidR="00652F75" w:rsidRPr="00E33689">
        <w:rPr>
          <w:rFonts w:ascii="Century Gothic" w:hAnsi="Century Gothic"/>
          <w:szCs w:val="24"/>
        </w:rPr>
        <w:t>310-000161</w:t>
      </w:r>
      <w:r w:rsidR="00652F75">
        <w:rPr>
          <w:rFonts w:ascii="Century Gothic" w:hAnsi="Century Gothic"/>
          <w:szCs w:val="24"/>
        </w:rPr>
        <w:t xml:space="preserve"> (DTN – Fondos Especiales Educación Superior) pueden </w:t>
      </w:r>
      <w:r>
        <w:rPr>
          <w:rFonts w:ascii="Century Gothic" w:hAnsi="Century Gothic"/>
          <w:szCs w:val="24"/>
        </w:rPr>
        <w:t>corresponde</w:t>
      </w:r>
      <w:r w:rsidR="00652F75">
        <w:rPr>
          <w:rFonts w:ascii="Century Gothic" w:hAnsi="Century Gothic"/>
          <w:szCs w:val="24"/>
        </w:rPr>
        <w:t>r</w:t>
      </w:r>
      <w:r>
        <w:rPr>
          <w:rFonts w:ascii="Century Gothic" w:hAnsi="Century Gothic"/>
          <w:szCs w:val="24"/>
        </w:rPr>
        <w:t xml:space="preserve"> al </w:t>
      </w:r>
      <w:r w:rsidRPr="00D85AA8">
        <w:rPr>
          <w:rFonts w:ascii="Century Gothic" w:hAnsi="Century Gothic"/>
          <w:szCs w:val="24"/>
        </w:rPr>
        <w:t>Fondo Nacional de las Universidades Estatales de Colombia</w:t>
      </w:r>
      <w:r>
        <w:rPr>
          <w:rFonts w:ascii="Century Gothic" w:hAnsi="Century Gothic"/>
          <w:szCs w:val="24"/>
        </w:rPr>
        <w:t xml:space="preserve">, que es </w:t>
      </w:r>
      <w:r>
        <w:rPr>
          <w:rFonts w:ascii="Century Gothic" w:hAnsi="Century Gothic"/>
          <w:i/>
          <w:iCs/>
          <w:sz w:val="22"/>
        </w:rPr>
        <w:t>“</w:t>
      </w:r>
      <w:r w:rsidRPr="00D85AA8">
        <w:rPr>
          <w:rFonts w:ascii="Century Gothic" w:hAnsi="Century Gothic"/>
          <w:i/>
          <w:iCs/>
          <w:sz w:val="22"/>
        </w:rPr>
        <w:t xml:space="preserve">una cuenta especial sin personería jurídica y con destinación específica, manejada por el Ministerio </w:t>
      </w:r>
      <w:r w:rsidRPr="00D85AA8">
        <w:rPr>
          <w:rFonts w:ascii="Century Gothic" w:hAnsi="Century Gothic"/>
          <w:i/>
          <w:iCs/>
          <w:sz w:val="22"/>
        </w:rPr>
        <w:lastRenderedPageBreak/>
        <w:t>de Educación Nacional, con independencia patrimonial, administrativa, contable y estadística con fines de interés público y asistencia social para recaudar y administrar los recursos provenientes de la Estampilla Pro Universidad Nacional de Colombia y demás universidades estatales de Colombia</w:t>
      </w:r>
      <w:r>
        <w:rPr>
          <w:rFonts w:ascii="Century Gothic" w:hAnsi="Century Gothic"/>
          <w:i/>
          <w:iCs/>
          <w:sz w:val="22"/>
        </w:rPr>
        <w:t>”</w:t>
      </w:r>
      <w:r w:rsidR="004B75BD">
        <w:rPr>
          <w:rFonts w:ascii="Century Gothic" w:hAnsi="Century Gothic"/>
          <w:i/>
          <w:iCs/>
          <w:sz w:val="22"/>
        </w:rPr>
        <w:t xml:space="preserve"> </w:t>
      </w:r>
      <w:r w:rsidR="004B75BD">
        <w:rPr>
          <w:rFonts w:ascii="Century Gothic" w:hAnsi="Century Gothic"/>
          <w:iCs/>
          <w:szCs w:val="24"/>
        </w:rPr>
        <w:t xml:space="preserve">(art. 10 L. 1697/2013). </w:t>
      </w:r>
      <w:r>
        <w:rPr>
          <w:rFonts w:ascii="Century Gothic" w:hAnsi="Century Gothic"/>
          <w:iCs/>
          <w:szCs w:val="24"/>
        </w:rPr>
        <w:t xml:space="preserve">Es decir, el embargo </w:t>
      </w:r>
      <w:r w:rsidR="00652F75">
        <w:rPr>
          <w:rFonts w:ascii="Century Gothic" w:hAnsi="Century Gothic"/>
          <w:iCs/>
          <w:szCs w:val="24"/>
        </w:rPr>
        <w:t xml:space="preserve">posiblemente </w:t>
      </w:r>
      <w:r>
        <w:rPr>
          <w:rFonts w:ascii="Century Gothic" w:hAnsi="Century Gothic"/>
          <w:iCs/>
          <w:szCs w:val="24"/>
        </w:rPr>
        <w:t xml:space="preserve">cubrió un fondo–cuenta que </w:t>
      </w:r>
      <w:r w:rsidR="00A847A8">
        <w:rPr>
          <w:rFonts w:ascii="Century Gothic" w:hAnsi="Century Gothic"/>
          <w:iCs/>
          <w:szCs w:val="24"/>
        </w:rPr>
        <w:t>ostenta</w:t>
      </w:r>
      <w:r>
        <w:rPr>
          <w:rFonts w:ascii="Century Gothic" w:hAnsi="Century Gothic"/>
          <w:iCs/>
          <w:szCs w:val="24"/>
        </w:rPr>
        <w:t xml:space="preserve"> independencia patrimonial respecto del presupuesto del </w:t>
      </w:r>
      <w:r w:rsidR="00924390">
        <w:rPr>
          <w:rFonts w:ascii="Century Gothic" w:hAnsi="Century Gothic"/>
          <w:iCs/>
          <w:szCs w:val="24"/>
        </w:rPr>
        <w:t>Ministerio de Educación</w:t>
      </w:r>
      <w:r w:rsidR="00236A94">
        <w:rPr>
          <w:rFonts w:ascii="Century Gothic" w:hAnsi="Century Gothic"/>
          <w:iCs/>
          <w:szCs w:val="24"/>
        </w:rPr>
        <w:t xml:space="preserve"> y del FOMAG</w:t>
      </w:r>
      <w:r w:rsidR="00652F75">
        <w:rPr>
          <w:rFonts w:ascii="Century Gothic" w:hAnsi="Century Gothic"/>
          <w:iCs/>
          <w:szCs w:val="24"/>
        </w:rPr>
        <w:t>.</w:t>
      </w:r>
      <w:r w:rsidR="00D35563">
        <w:rPr>
          <w:rFonts w:ascii="Century Gothic" w:hAnsi="Century Gothic"/>
          <w:iCs/>
          <w:szCs w:val="24"/>
        </w:rPr>
        <w:t xml:space="preserve"> </w:t>
      </w:r>
    </w:p>
    <w:p w14:paraId="7EA94C5A" w14:textId="77777777" w:rsidR="00D85AA8" w:rsidRDefault="00D85AA8" w:rsidP="00F027E4">
      <w:pPr>
        <w:rPr>
          <w:rFonts w:ascii="Century Gothic" w:hAnsi="Century Gothic" w:cs="Arial"/>
          <w:szCs w:val="24"/>
        </w:rPr>
      </w:pPr>
    </w:p>
    <w:p w14:paraId="6E28F967" w14:textId="39223E75" w:rsidR="007622F6" w:rsidRDefault="00BD1846" w:rsidP="00F027E4">
      <w:pPr>
        <w:rPr>
          <w:rFonts w:ascii="Century Gothic" w:hAnsi="Century Gothic" w:cs="Arial"/>
          <w:szCs w:val="24"/>
        </w:rPr>
      </w:pPr>
      <w:r>
        <w:rPr>
          <w:rFonts w:ascii="Century Gothic" w:hAnsi="Century Gothic" w:cs="Arial"/>
          <w:szCs w:val="24"/>
        </w:rPr>
        <w:t>Por lo tanto, el despacho concluye que la orden de embargo recayó sobre cuentas que no pertenecen al FOMAG</w:t>
      </w:r>
      <w:r w:rsidR="00807EEE">
        <w:rPr>
          <w:rFonts w:ascii="Century Gothic" w:hAnsi="Century Gothic" w:cs="Arial"/>
          <w:szCs w:val="24"/>
        </w:rPr>
        <w:t xml:space="preserve">. </w:t>
      </w:r>
      <w:r w:rsidR="007622F6">
        <w:rPr>
          <w:rFonts w:ascii="Century Gothic" w:hAnsi="Century Gothic" w:cs="Arial"/>
          <w:szCs w:val="24"/>
        </w:rPr>
        <w:t>Es más, su redacción refleja una contradicción entre el patrimonio que se pretende embargar (el del FOMAG</w:t>
      </w:r>
      <w:r w:rsidR="006F63DB">
        <w:rPr>
          <w:rFonts w:ascii="Century Gothic" w:hAnsi="Century Gothic" w:cs="Arial"/>
          <w:szCs w:val="24"/>
        </w:rPr>
        <w:t xml:space="preserve">, administrado por la </w:t>
      </w:r>
      <w:r w:rsidR="00924390">
        <w:rPr>
          <w:rFonts w:ascii="Century Gothic" w:hAnsi="Century Gothic" w:cs="Arial"/>
          <w:szCs w:val="24"/>
        </w:rPr>
        <w:t>Fiduprevisora</w:t>
      </w:r>
      <w:r w:rsidR="006F63DB">
        <w:rPr>
          <w:rFonts w:ascii="Century Gothic" w:hAnsi="Century Gothic" w:cs="Arial"/>
          <w:szCs w:val="24"/>
        </w:rPr>
        <w:t xml:space="preserve"> S.A.</w:t>
      </w:r>
      <w:r w:rsidR="007622F6">
        <w:rPr>
          <w:rFonts w:ascii="Century Gothic" w:hAnsi="Century Gothic" w:cs="Arial"/>
          <w:szCs w:val="24"/>
        </w:rPr>
        <w:t xml:space="preserve">) y la titularidad de las cuentas </w:t>
      </w:r>
      <w:r w:rsidR="00754729">
        <w:rPr>
          <w:rFonts w:ascii="Century Gothic" w:hAnsi="Century Gothic" w:cs="Arial"/>
          <w:szCs w:val="24"/>
        </w:rPr>
        <w:t xml:space="preserve">comprendidas en la cautela </w:t>
      </w:r>
      <w:r w:rsidR="007622F6">
        <w:rPr>
          <w:rFonts w:ascii="Century Gothic" w:hAnsi="Century Gothic" w:cs="Arial"/>
          <w:szCs w:val="24"/>
        </w:rPr>
        <w:t xml:space="preserve">(del </w:t>
      </w:r>
      <w:r w:rsidR="00924390">
        <w:rPr>
          <w:rFonts w:ascii="Century Gothic" w:hAnsi="Century Gothic" w:cs="Arial"/>
          <w:szCs w:val="24"/>
        </w:rPr>
        <w:t>Ministerio de Educación</w:t>
      </w:r>
      <w:r w:rsidR="007622F6">
        <w:rPr>
          <w:rFonts w:ascii="Century Gothic" w:hAnsi="Century Gothic" w:cs="Arial"/>
          <w:szCs w:val="24"/>
        </w:rPr>
        <w:t>):</w:t>
      </w:r>
    </w:p>
    <w:p w14:paraId="2D3C2FD4" w14:textId="77777777" w:rsidR="007622F6" w:rsidRDefault="007622F6" w:rsidP="00F027E4">
      <w:pPr>
        <w:rPr>
          <w:rFonts w:ascii="Century Gothic" w:hAnsi="Century Gothic" w:cs="Arial"/>
          <w:szCs w:val="24"/>
        </w:rPr>
      </w:pPr>
    </w:p>
    <w:p w14:paraId="19B1BF70" w14:textId="5B7B1F1B" w:rsidR="007622F6" w:rsidRDefault="007622F6" w:rsidP="00B21AED">
      <w:pPr>
        <w:pStyle w:val="Cita"/>
      </w:pPr>
      <w:r>
        <w:t xml:space="preserve">“(…) </w:t>
      </w:r>
      <w:r w:rsidRPr="007622F6">
        <w:t xml:space="preserve">Segundo. - Decretar el EMBARGO Y RETENCIÓN </w:t>
      </w:r>
      <w:r w:rsidRPr="007622F6">
        <w:rPr>
          <w:b/>
          <w:bCs/>
          <w:u w:val="single"/>
        </w:rPr>
        <w:t xml:space="preserve">de los dineros que posea el </w:t>
      </w:r>
      <w:r w:rsidR="00924390">
        <w:rPr>
          <w:b/>
          <w:bCs/>
          <w:u w:val="single"/>
        </w:rPr>
        <w:t>Fondo Nacional de Prestaciones Sociales del Magisterio</w:t>
      </w:r>
      <w:r w:rsidRPr="007622F6">
        <w:rPr>
          <w:b/>
          <w:bCs/>
          <w:u w:val="single"/>
        </w:rPr>
        <w:t xml:space="preserve"> -FOMAG- identificado con NIT. 860525148-5 y que son administrados por la </w:t>
      </w:r>
      <w:proofErr w:type="spellStart"/>
      <w:r w:rsidR="00924390">
        <w:rPr>
          <w:b/>
          <w:bCs/>
          <w:u w:val="single"/>
        </w:rPr>
        <w:t>Fiduprevisora</w:t>
      </w:r>
      <w:proofErr w:type="spellEnd"/>
      <w:r w:rsidRPr="007622F6">
        <w:rPr>
          <w:b/>
          <w:bCs/>
          <w:u w:val="single"/>
        </w:rPr>
        <w:t xml:space="preserve"> S.A identificada con NIT 830.053.105-3</w:t>
      </w:r>
      <w:r w:rsidRPr="007622F6">
        <w:rPr>
          <w:b/>
          <w:bCs/>
        </w:rPr>
        <w:t xml:space="preserve"> en la entidad financiera BANCO BBVA, específicamente en las cuentas corrientes: (i) No. 310-000161 –DNT Fondos Especiales Educación Superior-; (ii) No. 310-002571 –Contribución Parafiscal Ley 21-; (iii) No. 310-001763 –DTN Gastos Generales-; (iv) 310-002563 –Ley 21-,</w:t>
      </w:r>
      <w:r w:rsidRPr="007622F6">
        <w:t xml:space="preserve"> que no correspondan (i) al rubro destinado para el pago de sentencias y conciliaciones ni los del Fondo de Contingencias (ii) ni del Sistema General de Participaciones, ni (iii) del Sistema General de Regalías, como se señaló en precedencia.</w:t>
      </w:r>
      <w:r w:rsidR="00B21AED">
        <w:t xml:space="preserve"> (…)” </w:t>
      </w:r>
      <w:r w:rsidR="00B21AED" w:rsidRPr="00B21AED">
        <w:rPr>
          <w:i w:val="0"/>
          <w:iCs/>
        </w:rPr>
        <w:t>(</w:t>
      </w:r>
      <w:r w:rsidR="00B21AED" w:rsidRPr="00E33689">
        <w:rPr>
          <w:i w:val="0"/>
          <w:iCs/>
        </w:rPr>
        <w:t>Subraya y negrilla fuera del texto original</w:t>
      </w:r>
      <w:r w:rsidR="00B21AED" w:rsidRPr="00B21AED">
        <w:rPr>
          <w:i w:val="0"/>
          <w:iCs/>
        </w:rPr>
        <w:t>)</w:t>
      </w:r>
    </w:p>
    <w:p w14:paraId="3DE852BD" w14:textId="77777777" w:rsidR="007622F6" w:rsidRDefault="007622F6" w:rsidP="00F027E4">
      <w:pPr>
        <w:rPr>
          <w:rFonts w:ascii="Century Gothic" w:hAnsi="Century Gothic" w:cs="Arial"/>
          <w:szCs w:val="24"/>
        </w:rPr>
      </w:pPr>
    </w:p>
    <w:p w14:paraId="387E1A07" w14:textId="1811A53F" w:rsidR="00807EEE" w:rsidRDefault="00807EEE" w:rsidP="00F027E4">
      <w:pPr>
        <w:rPr>
          <w:rFonts w:ascii="Century Gothic" w:hAnsi="Century Gothic" w:cs="Arial"/>
          <w:szCs w:val="24"/>
        </w:rPr>
      </w:pPr>
      <w:r>
        <w:rPr>
          <w:rFonts w:ascii="Century Gothic" w:hAnsi="Century Gothic" w:cs="Arial"/>
          <w:szCs w:val="24"/>
        </w:rPr>
        <w:t xml:space="preserve">En consecuencia, </w:t>
      </w:r>
      <w:r w:rsidR="007622F6">
        <w:rPr>
          <w:rFonts w:ascii="Century Gothic" w:hAnsi="Century Gothic" w:cs="Arial"/>
          <w:szCs w:val="24"/>
        </w:rPr>
        <w:t xml:space="preserve">el auto apelado </w:t>
      </w:r>
      <w:r>
        <w:rPr>
          <w:rFonts w:ascii="Century Gothic" w:hAnsi="Century Gothic" w:cs="Arial"/>
          <w:szCs w:val="24"/>
        </w:rPr>
        <w:t xml:space="preserve">se revocará. </w:t>
      </w:r>
    </w:p>
    <w:p w14:paraId="595DFAD3" w14:textId="77777777" w:rsidR="00807EEE" w:rsidRDefault="00807EEE" w:rsidP="00F027E4">
      <w:pPr>
        <w:rPr>
          <w:rFonts w:ascii="Century Gothic" w:hAnsi="Century Gothic" w:cs="Arial"/>
          <w:szCs w:val="24"/>
        </w:rPr>
      </w:pPr>
    </w:p>
    <w:p w14:paraId="46F300CB" w14:textId="0E0EE6B5" w:rsidR="0091240F" w:rsidRDefault="00807EEE" w:rsidP="00F027E4">
      <w:pPr>
        <w:rPr>
          <w:rFonts w:ascii="Century Gothic" w:hAnsi="Century Gothic" w:cs="Arial"/>
          <w:szCs w:val="24"/>
        </w:rPr>
      </w:pPr>
      <w:r>
        <w:rPr>
          <w:rFonts w:ascii="Century Gothic" w:hAnsi="Century Gothic" w:cs="Arial"/>
          <w:szCs w:val="24"/>
        </w:rPr>
        <w:t xml:space="preserve">Finalmente, para evitar confusiones </w:t>
      </w:r>
      <w:r w:rsidR="00EF31CE">
        <w:rPr>
          <w:rFonts w:ascii="Century Gothic" w:hAnsi="Century Gothic" w:cs="Arial"/>
          <w:szCs w:val="24"/>
        </w:rPr>
        <w:t>respecto de</w:t>
      </w:r>
      <w:r>
        <w:rPr>
          <w:rFonts w:ascii="Century Gothic" w:hAnsi="Century Gothic" w:cs="Arial"/>
          <w:szCs w:val="24"/>
        </w:rPr>
        <w:t xml:space="preserve"> las razones de la presente decisión, el despacho aclara que esta providencia no afirma el carácter absolutamente inembargable de los recursos del FOMAG. Este aspecto sigue las reglas jurisprudenciales </w:t>
      </w:r>
      <w:r w:rsidR="00854826">
        <w:rPr>
          <w:rFonts w:ascii="Century Gothic" w:hAnsi="Century Gothic" w:cs="Arial"/>
          <w:szCs w:val="24"/>
        </w:rPr>
        <w:t>referentes a las</w:t>
      </w:r>
      <w:r>
        <w:rPr>
          <w:rFonts w:ascii="Century Gothic" w:hAnsi="Century Gothic" w:cs="Arial"/>
          <w:szCs w:val="24"/>
        </w:rPr>
        <w:t xml:space="preserve"> </w:t>
      </w:r>
      <w:r w:rsidR="00854826">
        <w:rPr>
          <w:rFonts w:ascii="Century Gothic" w:hAnsi="Century Gothic" w:cs="Arial"/>
          <w:szCs w:val="24"/>
        </w:rPr>
        <w:t>excepciones</w:t>
      </w:r>
      <w:r>
        <w:rPr>
          <w:rFonts w:ascii="Century Gothic" w:hAnsi="Century Gothic" w:cs="Arial"/>
          <w:szCs w:val="24"/>
        </w:rPr>
        <w:t xml:space="preserve"> al principio inembargabilidad de los recursos públicos</w:t>
      </w:r>
      <w:r w:rsidR="00EF31CE">
        <w:rPr>
          <w:rFonts w:ascii="Century Gothic" w:hAnsi="Century Gothic" w:cs="Arial"/>
          <w:szCs w:val="24"/>
        </w:rPr>
        <w:t>,</w:t>
      </w:r>
      <w:r>
        <w:rPr>
          <w:rFonts w:ascii="Century Gothic" w:hAnsi="Century Gothic" w:cs="Arial"/>
          <w:szCs w:val="24"/>
        </w:rPr>
        <w:t xml:space="preserve"> que han sido reiteradas en múltiples ocasiones tanto por las altas cortes como por esta Corporación</w:t>
      </w:r>
      <w:r w:rsidR="007F56DC">
        <w:rPr>
          <w:rStyle w:val="Refdenotaalpie"/>
          <w:rFonts w:ascii="Century Gothic" w:hAnsi="Century Gothic" w:cs="Arial"/>
          <w:szCs w:val="24"/>
        </w:rPr>
        <w:footnoteReference w:id="11"/>
      </w:r>
      <w:r>
        <w:rPr>
          <w:rFonts w:ascii="Century Gothic" w:hAnsi="Century Gothic" w:cs="Arial"/>
          <w:szCs w:val="24"/>
        </w:rPr>
        <w:t xml:space="preserve">. </w:t>
      </w:r>
    </w:p>
    <w:p w14:paraId="03D96ECB" w14:textId="477C07BC" w:rsidR="00807EEE" w:rsidRDefault="00807EEE" w:rsidP="00F027E4">
      <w:pPr>
        <w:rPr>
          <w:rFonts w:ascii="Century Gothic" w:hAnsi="Century Gothic" w:cs="Arial"/>
          <w:szCs w:val="24"/>
        </w:rPr>
      </w:pPr>
    </w:p>
    <w:p w14:paraId="7C4194A7" w14:textId="3B2344EB" w:rsidR="00807EEE" w:rsidRPr="003A3B9D" w:rsidRDefault="004872F4" w:rsidP="00F027E4">
      <w:pPr>
        <w:rPr>
          <w:rFonts w:ascii="Century Gothic" w:hAnsi="Century Gothic" w:cs="Arial"/>
          <w:szCs w:val="24"/>
        </w:rPr>
      </w:pPr>
      <w:r>
        <w:rPr>
          <w:rFonts w:ascii="Century Gothic" w:hAnsi="Century Gothic" w:cs="Arial"/>
          <w:szCs w:val="24"/>
        </w:rPr>
        <w:t xml:space="preserve">El </w:t>
      </w:r>
      <w:r w:rsidR="00807EEE">
        <w:rPr>
          <w:rFonts w:ascii="Century Gothic" w:hAnsi="Century Gothic" w:cs="Arial"/>
          <w:szCs w:val="24"/>
        </w:rPr>
        <w:t>motivo de la revocatoria de</w:t>
      </w:r>
      <w:r w:rsidR="007F56DC">
        <w:rPr>
          <w:rFonts w:ascii="Century Gothic" w:hAnsi="Century Gothic" w:cs="Arial"/>
          <w:szCs w:val="24"/>
        </w:rPr>
        <w:t>l auto apelado</w:t>
      </w:r>
      <w:r w:rsidR="00807EEE">
        <w:rPr>
          <w:rFonts w:ascii="Century Gothic" w:hAnsi="Century Gothic" w:cs="Arial"/>
          <w:szCs w:val="24"/>
        </w:rPr>
        <w:t xml:space="preserve"> no es </w:t>
      </w:r>
      <w:r w:rsidR="00224402">
        <w:rPr>
          <w:rFonts w:ascii="Century Gothic" w:hAnsi="Century Gothic" w:cs="Arial"/>
          <w:szCs w:val="24"/>
        </w:rPr>
        <w:t>ese,</w:t>
      </w:r>
      <w:r w:rsidR="00807EEE">
        <w:rPr>
          <w:rFonts w:ascii="Century Gothic" w:hAnsi="Century Gothic" w:cs="Arial"/>
          <w:szCs w:val="24"/>
        </w:rPr>
        <w:t xml:space="preserve"> sino </w:t>
      </w:r>
      <w:r w:rsidR="00224402">
        <w:rPr>
          <w:rFonts w:ascii="Century Gothic" w:hAnsi="Century Gothic" w:cs="Arial"/>
          <w:szCs w:val="24"/>
        </w:rPr>
        <w:t xml:space="preserve">que el titular de las cuentas embargadas no es el FOMAG, que debe atender sus deudas con su propio patrimonio, el cual es independiente al del </w:t>
      </w:r>
      <w:r w:rsidR="00924390">
        <w:rPr>
          <w:rFonts w:ascii="Century Gothic" w:hAnsi="Century Gothic" w:cs="Arial"/>
          <w:szCs w:val="24"/>
        </w:rPr>
        <w:t>Ministerio de Educación</w:t>
      </w:r>
      <w:r w:rsidR="00224402">
        <w:rPr>
          <w:rFonts w:ascii="Century Gothic" w:hAnsi="Century Gothic" w:cs="Arial"/>
          <w:szCs w:val="24"/>
        </w:rPr>
        <w:t xml:space="preserve"> pese a su falta de personería jurídica.</w:t>
      </w:r>
    </w:p>
    <w:p w14:paraId="3BFFED02" w14:textId="6942DDED" w:rsidR="008F16A8" w:rsidRDefault="008F16A8" w:rsidP="00F027E4">
      <w:pPr>
        <w:rPr>
          <w:rFonts w:ascii="Century Gothic" w:hAnsi="Century Gothic" w:cs="Arial"/>
          <w:szCs w:val="24"/>
        </w:rPr>
      </w:pPr>
    </w:p>
    <w:p w14:paraId="77B644A4" w14:textId="77777777" w:rsidR="000B5403" w:rsidRPr="00E33689" w:rsidRDefault="000B5403" w:rsidP="00F027E4">
      <w:pPr>
        <w:rPr>
          <w:rFonts w:ascii="Century Gothic" w:hAnsi="Century Gothic"/>
          <w:szCs w:val="24"/>
        </w:rPr>
      </w:pPr>
      <w:r w:rsidRPr="00E33689">
        <w:rPr>
          <w:rFonts w:ascii="Century Gothic" w:hAnsi="Century Gothic"/>
          <w:szCs w:val="24"/>
        </w:rPr>
        <w:t>En mérito de lo expuesto, el despacho</w:t>
      </w:r>
    </w:p>
    <w:p w14:paraId="26742D1C" w14:textId="29742CEE" w:rsidR="000B5403" w:rsidRDefault="000B5403" w:rsidP="00F027E4">
      <w:pPr>
        <w:rPr>
          <w:rFonts w:ascii="Century Gothic" w:hAnsi="Century Gothic"/>
          <w:b/>
          <w:szCs w:val="24"/>
        </w:rPr>
      </w:pPr>
    </w:p>
    <w:p w14:paraId="68EC634D" w14:textId="77777777" w:rsidR="004B200C" w:rsidRPr="00E33689" w:rsidRDefault="004B200C" w:rsidP="00F027E4">
      <w:pPr>
        <w:rPr>
          <w:rFonts w:ascii="Century Gothic" w:hAnsi="Century Gothic"/>
          <w:b/>
          <w:szCs w:val="24"/>
        </w:rPr>
      </w:pPr>
    </w:p>
    <w:p w14:paraId="51F34371" w14:textId="77777777" w:rsidR="000B5403" w:rsidRPr="00E33689" w:rsidRDefault="000B5403" w:rsidP="00F027E4">
      <w:pPr>
        <w:jc w:val="center"/>
        <w:rPr>
          <w:rFonts w:ascii="Century Gothic" w:hAnsi="Century Gothic"/>
          <w:b/>
          <w:szCs w:val="24"/>
        </w:rPr>
      </w:pPr>
      <w:r w:rsidRPr="00E33689">
        <w:rPr>
          <w:rFonts w:ascii="Century Gothic" w:hAnsi="Century Gothic"/>
          <w:b/>
          <w:szCs w:val="24"/>
        </w:rPr>
        <w:lastRenderedPageBreak/>
        <w:t>RESUELVE:</w:t>
      </w:r>
    </w:p>
    <w:p w14:paraId="7C6F2FB2" w14:textId="77777777" w:rsidR="000B5403" w:rsidRPr="00E33689" w:rsidRDefault="000B5403" w:rsidP="00F027E4">
      <w:pPr>
        <w:rPr>
          <w:rFonts w:ascii="Century Gothic" w:hAnsi="Century Gothic"/>
          <w:bCs/>
          <w:szCs w:val="24"/>
        </w:rPr>
      </w:pPr>
    </w:p>
    <w:p w14:paraId="5085C436" w14:textId="44B2C1D4" w:rsidR="000B5403" w:rsidRPr="00E33689" w:rsidRDefault="000B5403" w:rsidP="00F027E4">
      <w:pPr>
        <w:rPr>
          <w:rFonts w:ascii="Century Gothic" w:hAnsi="Century Gothic" w:cs="Arial"/>
          <w:szCs w:val="24"/>
        </w:rPr>
      </w:pPr>
      <w:r w:rsidRPr="00E33689">
        <w:rPr>
          <w:rFonts w:ascii="Century Gothic" w:hAnsi="Century Gothic" w:cs="Arial"/>
          <w:b/>
          <w:szCs w:val="24"/>
        </w:rPr>
        <w:t xml:space="preserve">PRIMERO: </w:t>
      </w:r>
      <w:r w:rsidR="00F44DAF">
        <w:rPr>
          <w:rFonts w:ascii="Century Gothic" w:hAnsi="Century Gothic" w:cs="Arial"/>
          <w:b/>
          <w:szCs w:val="24"/>
        </w:rPr>
        <w:t xml:space="preserve">REVOCAR </w:t>
      </w:r>
      <w:r w:rsidRPr="00E33689">
        <w:rPr>
          <w:rFonts w:ascii="Century Gothic" w:hAnsi="Century Gothic" w:cs="Arial"/>
          <w:szCs w:val="24"/>
        </w:rPr>
        <w:t>el</w:t>
      </w:r>
      <w:r w:rsidRPr="00E33689">
        <w:rPr>
          <w:rFonts w:ascii="Century Gothic" w:hAnsi="Century Gothic" w:cs="Arial"/>
          <w:b/>
          <w:szCs w:val="24"/>
        </w:rPr>
        <w:t xml:space="preserve"> </w:t>
      </w:r>
      <w:r w:rsidRPr="00E33689">
        <w:rPr>
          <w:rFonts w:ascii="Century Gothic" w:hAnsi="Century Gothic" w:cs="Arial"/>
          <w:szCs w:val="24"/>
        </w:rPr>
        <w:t>auto de fecha</w:t>
      </w:r>
      <w:r w:rsidR="00CE539F" w:rsidRPr="00E33689">
        <w:rPr>
          <w:rFonts w:ascii="Century Gothic" w:hAnsi="Century Gothic" w:cs="Arial"/>
          <w:szCs w:val="24"/>
        </w:rPr>
        <w:t xml:space="preserve"> 27 de noviembre de 2020</w:t>
      </w:r>
      <w:r w:rsidRPr="00E33689">
        <w:rPr>
          <w:rFonts w:ascii="Century Gothic" w:hAnsi="Century Gothic" w:cs="Arial"/>
          <w:szCs w:val="24"/>
        </w:rPr>
        <w:t xml:space="preserve">, proferido por el </w:t>
      </w:r>
      <w:r w:rsidR="00CE539F" w:rsidRPr="00E33689">
        <w:rPr>
          <w:rFonts w:ascii="Century Gothic" w:hAnsi="Century Gothic" w:cs="Arial"/>
          <w:szCs w:val="24"/>
        </w:rPr>
        <w:t>Juzgado Sexto Administrativo Oral del Circuito Judicial de Tunja</w:t>
      </w:r>
      <w:r w:rsidRPr="00E33689">
        <w:rPr>
          <w:rFonts w:ascii="Century Gothic" w:hAnsi="Century Gothic" w:cs="Arial"/>
          <w:szCs w:val="24"/>
        </w:rPr>
        <w:t>, a través del cual se decretó la medida cautelar de embargo pedida por la parte ejecutante, por las razones expuestas en precedencia.</w:t>
      </w:r>
    </w:p>
    <w:p w14:paraId="36C531E5" w14:textId="77777777" w:rsidR="000B5403" w:rsidRPr="00E33689" w:rsidRDefault="000B5403" w:rsidP="00F027E4">
      <w:pPr>
        <w:rPr>
          <w:rFonts w:ascii="Century Gothic" w:hAnsi="Century Gothic" w:cs="Arial"/>
          <w:szCs w:val="24"/>
        </w:rPr>
      </w:pPr>
    </w:p>
    <w:p w14:paraId="409BE621" w14:textId="52AD3505" w:rsidR="000B5403" w:rsidRPr="00E33689" w:rsidRDefault="00F44DAF" w:rsidP="00F027E4">
      <w:pPr>
        <w:tabs>
          <w:tab w:val="left" w:pos="1980"/>
        </w:tabs>
        <w:rPr>
          <w:rFonts w:ascii="Century Gothic" w:hAnsi="Century Gothic"/>
          <w:szCs w:val="24"/>
        </w:rPr>
      </w:pPr>
      <w:r>
        <w:rPr>
          <w:rFonts w:ascii="Century Gothic" w:hAnsi="Century Gothic"/>
          <w:b/>
          <w:bCs/>
          <w:szCs w:val="24"/>
        </w:rPr>
        <w:t>SEGUNDO</w:t>
      </w:r>
      <w:r w:rsidR="000B5403" w:rsidRPr="00E33689">
        <w:rPr>
          <w:rFonts w:ascii="Century Gothic" w:hAnsi="Century Gothic"/>
          <w:b/>
          <w:bCs/>
          <w:szCs w:val="24"/>
        </w:rPr>
        <w:t>:</w:t>
      </w:r>
      <w:r w:rsidR="000B5403" w:rsidRPr="00E33689">
        <w:rPr>
          <w:rFonts w:ascii="Century Gothic" w:hAnsi="Century Gothic"/>
          <w:szCs w:val="24"/>
        </w:rPr>
        <w:t> Comuníquese inmediatamente esta decisión al juzgado de primera instancia, de acuerdo con lo señalado en el artículo 326 del CGP.</w:t>
      </w:r>
    </w:p>
    <w:p w14:paraId="37D85DA6" w14:textId="24704410" w:rsidR="000B5403" w:rsidRDefault="000B5403" w:rsidP="00F027E4">
      <w:pPr>
        <w:tabs>
          <w:tab w:val="left" w:pos="1980"/>
        </w:tabs>
        <w:rPr>
          <w:rFonts w:ascii="Century Gothic" w:hAnsi="Century Gothic"/>
          <w:szCs w:val="24"/>
        </w:rPr>
      </w:pPr>
    </w:p>
    <w:p w14:paraId="6C3DEC87" w14:textId="77777777" w:rsidR="00F44DAF" w:rsidRDefault="00F44DAF" w:rsidP="00F027E4">
      <w:pPr>
        <w:tabs>
          <w:tab w:val="left" w:pos="1980"/>
        </w:tabs>
        <w:rPr>
          <w:rFonts w:ascii="Century Gothic" w:hAnsi="Century Gothic"/>
        </w:rPr>
      </w:pPr>
      <w:r w:rsidRPr="00CE2644">
        <w:rPr>
          <w:b/>
          <w:szCs w:val="24"/>
          <w:lang w:val="es-MX"/>
        </w:rPr>
        <w:t>TERCERO</w:t>
      </w:r>
      <w:r>
        <w:rPr>
          <w:rFonts w:ascii="Century Gothic" w:hAnsi="Century Gothic"/>
          <w:b/>
          <w:bCs/>
        </w:rPr>
        <w:t xml:space="preserve">: </w:t>
      </w:r>
      <w:r>
        <w:rPr>
          <w:rFonts w:ascii="Century Gothic" w:hAnsi="Century Gothic"/>
        </w:rPr>
        <w:t xml:space="preserve">Notifíquese esta providencia en los términos del artículo 201 del CPACA, modificado por el artículo 50 de la Ley 2080 de 2021, esto es, por medio de </w:t>
      </w:r>
      <w:r>
        <w:rPr>
          <w:rFonts w:ascii="Century Gothic" w:hAnsi="Century Gothic"/>
          <w:b/>
          <w:bCs/>
        </w:rPr>
        <w:t>anotación en el estado electrónico y envío de mensaje de datos al canal digital de la parte ejecutante y su apoderado</w:t>
      </w:r>
      <w:r>
        <w:rPr>
          <w:rFonts w:ascii="Century Gothic" w:hAnsi="Century Gothic"/>
        </w:rPr>
        <w:t>.</w:t>
      </w:r>
    </w:p>
    <w:p w14:paraId="01EFEC03" w14:textId="77777777" w:rsidR="00F44DAF" w:rsidRPr="00E33689" w:rsidRDefault="00F44DAF" w:rsidP="00F027E4">
      <w:pPr>
        <w:tabs>
          <w:tab w:val="left" w:pos="1980"/>
        </w:tabs>
        <w:rPr>
          <w:rFonts w:ascii="Century Gothic" w:hAnsi="Century Gothic"/>
          <w:szCs w:val="24"/>
        </w:rPr>
      </w:pPr>
    </w:p>
    <w:p w14:paraId="15849716" w14:textId="5DD4A819" w:rsidR="000B5403" w:rsidRPr="00E33689" w:rsidRDefault="00F44DAF" w:rsidP="00F027E4">
      <w:pPr>
        <w:rPr>
          <w:rFonts w:ascii="Century Gothic" w:hAnsi="Century Gothic" w:cs="Arial"/>
          <w:szCs w:val="24"/>
        </w:rPr>
      </w:pPr>
      <w:r>
        <w:rPr>
          <w:rFonts w:ascii="Century Gothic" w:hAnsi="Century Gothic" w:cs="Arial"/>
          <w:b/>
          <w:szCs w:val="24"/>
        </w:rPr>
        <w:t>CUARTO</w:t>
      </w:r>
      <w:r w:rsidR="000B5403" w:rsidRPr="00E33689">
        <w:rPr>
          <w:rFonts w:ascii="Century Gothic" w:hAnsi="Century Gothic" w:cs="Arial"/>
          <w:b/>
          <w:szCs w:val="24"/>
        </w:rPr>
        <w:t xml:space="preserve">: </w:t>
      </w:r>
      <w:r w:rsidR="000B5403" w:rsidRPr="00E33689">
        <w:rPr>
          <w:rFonts w:ascii="Century Gothic" w:hAnsi="Century Gothic" w:cs="Arial"/>
          <w:szCs w:val="24"/>
        </w:rPr>
        <w:t>En firme esta providencia, devuélvase el expediente al despacho de origen, para lo de su cargo.</w:t>
      </w:r>
    </w:p>
    <w:p w14:paraId="1AA4EF97" w14:textId="77777777" w:rsidR="000B5403" w:rsidRPr="00E33689" w:rsidRDefault="000B5403" w:rsidP="00F027E4">
      <w:pPr>
        <w:rPr>
          <w:rFonts w:ascii="Century Gothic" w:hAnsi="Century Gothic"/>
          <w:b/>
          <w:szCs w:val="24"/>
        </w:rPr>
      </w:pPr>
    </w:p>
    <w:p w14:paraId="44883ED2" w14:textId="77777777" w:rsidR="000B5403" w:rsidRPr="00E33689" w:rsidRDefault="000B5403" w:rsidP="00F027E4">
      <w:pPr>
        <w:spacing w:line="240" w:lineRule="auto"/>
        <w:rPr>
          <w:b/>
          <w:bCs/>
        </w:rPr>
      </w:pPr>
      <w:r w:rsidRPr="00E33689">
        <w:rPr>
          <w:b/>
          <w:bCs/>
        </w:rPr>
        <w:t>NOTIFÍQUESE Y CÚMPLASE,</w:t>
      </w:r>
    </w:p>
    <w:p w14:paraId="39DEE102" w14:textId="77777777" w:rsidR="000B5403" w:rsidRPr="00E33689" w:rsidRDefault="000B5403" w:rsidP="00F027E4">
      <w:pPr>
        <w:spacing w:line="240" w:lineRule="auto"/>
        <w:rPr>
          <w:rFonts w:ascii="Century Gothic" w:hAnsi="Century Gothic"/>
          <w:b/>
          <w:szCs w:val="24"/>
        </w:rPr>
      </w:pPr>
    </w:p>
    <w:p w14:paraId="366ADC4C" w14:textId="77777777" w:rsidR="000B5403" w:rsidRPr="00E33689" w:rsidRDefault="000B5403" w:rsidP="00F027E4">
      <w:pPr>
        <w:spacing w:line="240" w:lineRule="auto"/>
        <w:rPr>
          <w:rFonts w:ascii="Century Gothic" w:hAnsi="Century Gothic"/>
          <w:b/>
          <w:szCs w:val="24"/>
        </w:rPr>
      </w:pPr>
    </w:p>
    <w:p w14:paraId="3C922FE5" w14:textId="77777777" w:rsidR="000B5403" w:rsidRPr="00E33689" w:rsidRDefault="000B5403" w:rsidP="00F027E4">
      <w:pPr>
        <w:spacing w:line="240" w:lineRule="auto"/>
        <w:rPr>
          <w:rFonts w:ascii="Century Gothic" w:hAnsi="Century Gothic"/>
          <w:b/>
          <w:szCs w:val="24"/>
        </w:rPr>
      </w:pPr>
    </w:p>
    <w:p w14:paraId="4F442754" w14:textId="77777777" w:rsidR="000B5403" w:rsidRPr="00E33689" w:rsidRDefault="000B5403" w:rsidP="00F027E4">
      <w:pPr>
        <w:spacing w:line="240" w:lineRule="auto"/>
        <w:jc w:val="center"/>
        <w:rPr>
          <w:rFonts w:ascii="Century Gothic" w:hAnsi="Century Gothic"/>
          <w:bCs/>
          <w:i/>
          <w:iCs/>
          <w:szCs w:val="24"/>
        </w:rPr>
      </w:pPr>
      <w:r w:rsidRPr="00E33689">
        <w:rPr>
          <w:rFonts w:ascii="Century Gothic" w:hAnsi="Century Gothic"/>
          <w:bCs/>
          <w:i/>
          <w:iCs/>
          <w:szCs w:val="24"/>
        </w:rPr>
        <w:t>Firmado electrónicamente</w:t>
      </w:r>
    </w:p>
    <w:p w14:paraId="04A591C5" w14:textId="77777777" w:rsidR="000B5403" w:rsidRPr="00E33689" w:rsidRDefault="000B5403" w:rsidP="00F027E4">
      <w:pPr>
        <w:spacing w:line="240" w:lineRule="auto"/>
        <w:jc w:val="center"/>
        <w:rPr>
          <w:rFonts w:ascii="Century Gothic" w:hAnsi="Century Gothic"/>
          <w:b/>
          <w:szCs w:val="24"/>
        </w:rPr>
      </w:pPr>
      <w:r w:rsidRPr="00E33689">
        <w:rPr>
          <w:rFonts w:ascii="Century Gothic" w:hAnsi="Century Gothic"/>
          <w:b/>
          <w:szCs w:val="24"/>
        </w:rPr>
        <w:t>JOSÉ ASCENCIÓN FERNÁNDEZ OSORIO</w:t>
      </w:r>
    </w:p>
    <w:p w14:paraId="5ED5D448" w14:textId="77777777" w:rsidR="000B5403" w:rsidRPr="00E33689" w:rsidRDefault="000B5403" w:rsidP="00F027E4">
      <w:pPr>
        <w:spacing w:line="240" w:lineRule="auto"/>
        <w:jc w:val="center"/>
        <w:rPr>
          <w:rFonts w:ascii="Century Gothic" w:hAnsi="Century Gothic"/>
          <w:szCs w:val="24"/>
        </w:rPr>
      </w:pPr>
      <w:r w:rsidRPr="00E33689">
        <w:rPr>
          <w:rFonts w:ascii="Century Gothic" w:hAnsi="Century Gothic"/>
          <w:b/>
          <w:szCs w:val="24"/>
        </w:rPr>
        <w:t>Magistrado</w:t>
      </w:r>
    </w:p>
    <w:sectPr w:rsidR="000B5403" w:rsidRPr="00E33689" w:rsidSect="000E0967">
      <w:headerReference w:type="default" r:id="rId11"/>
      <w:footerReference w:type="default" r:id="rId12"/>
      <w:headerReference w:type="first" r:id="rId13"/>
      <w:pgSz w:w="12242" w:h="18722"/>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970BC" w14:textId="77777777" w:rsidR="004D17B7" w:rsidRDefault="004D17B7" w:rsidP="00577AD9">
      <w:pPr>
        <w:spacing w:line="240" w:lineRule="auto"/>
      </w:pPr>
      <w:r>
        <w:separator/>
      </w:r>
    </w:p>
  </w:endnote>
  <w:endnote w:type="continuationSeparator" w:id="0">
    <w:p w14:paraId="343DB449" w14:textId="77777777" w:rsidR="004D17B7" w:rsidRDefault="004D17B7" w:rsidP="0057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90363845"/>
      <w:docPartObj>
        <w:docPartGallery w:val="Page Numbers (Bottom of Page)"/>
        <w:docPartUnique/>
      </w:docPartObj>
    </w:sdtPr>
    <w:sdtEndPr/>
    <w:sdtContent>
      <w:p w14:paraId="2BC64414" w14:textId="3BF96D38" w:rsidR="00147FD1" w:rsidRPr="00F428DA" w:rsidRDefault="00147FD1" w:rsidP="00F428DA">
        <w:pPr>
          <w:pStyle w:val="Piedepgina"/>
          <w:jc w:val="right"/>
          <w:rPr>
            <w:sz w:val="20"/>
          </w:rPr>
        </w:pPr>
        <w:r w:rsidRPr="00D650F5">
          <w:rPr>
            <w:sz w:val="20"/>
          </w:rPr>
          <w:fldChar w:fldCharType="begin"/>
        </w:r>
        <w:r w:rsidRPr="00D650F5">
          <w:rPr>
            <w:sz w:val="20"/>
          </w:rPr>
          <w:instrText>PAGE   \* MERGEFORMAT</w:instrText>
        </w:r>
        <w:r w:rsidRPr="00D650F5">
          <w:rPr>
            <w:sz w:val="20"/>
          </w:rPr>
          <w:fldChar w:fldCharType="separate"/>
        </w:r>
        <w:r w:rsidR="00E16155" w:rsidRPr="00E16155">
          <w:rPr>
            <w:noProof/>
            <w:sz w:val="20"/>
            <w:lang w:val="es-ES"/>
          </w:rPr>
          <w:t>9</w:t>
        </w:r>
        <w:r w:rsidRPr="00D650F5">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5EF50" w14:textId="77777777" w:rsidR="004D17B7" w:rsidRDefault="004D17B7" w:rsidP="00577AD9">
      <w:pPr>
        <w:spacing w:line="240" w:lineRule="auto"/>
      </w:pPr>
      <w:r>
        <w:separator/>
      </w:r>
    </w:p>
  </w:footnote>
  <w:footnote w:type="continuationSeparator" w:id="0">
    <w:p w14:paraId="1B9E5655" w14:textId="77777777" w:rsidR="004D17B7" w:rsidRDefault="004D17B7" w:rsidP="00577AD9">
      <w:pPr>
        <w:spacing w:line="240" w:lineRule="auto"/>
      </w:pPr>
      <w:r>
        <w:continuationSeparator/>
      </w:r>
    </w:p>
  </w:footnote>
  <w:footnote w:id="1">
    <w:p w14:paraId="202114FF" w14:textId="0001BF50" w:rsidR="00D82F87" w:rsidRPr="001F528A" w:rsidRDefault="00D82F87" w:rsidP="004B5505">
      <w:pPr>
        <w:pStyle w:val="Textonotapie"/>
      </w:pPr>
      <w:r w:rsidRPr="001F528A">
        <w:rPr>
          <w:rStyle w:val="Refdenotaalpie"/>
        </w:rPr>
        <w:footnoteRef/>
      </w:r>
      <w:r w:rsidRPr="001F528A">
        <w:t xml:space="preserve"> Archivo 13 del expediente electrónico.</w:t>
      </w:r>
    </w:p>
  </w:footnote>
  <w:footnote w:id="2">
    <w:p w14:paraId="6B8CB06E" w14:textId="75BE6F72" w:rsidR="00D82F87" w:rsidRPr="001F528A" w:rsidRDefault="00D82F87" w:rsidP="004B5505">
      <w:pPr>
        <w:pStyle w:val="Textonotapie"/>
      </w:pPr>
      <w:r w:rsidRPr="001F528A">
        <w:rPr>
          <w:rStyle w:val="Refdenotaalpie"/>
        </w:rPr>
        <w:footnoteRef/>
      </w:r>
      <w:r w:rsidRPr="001F528A">
        <w:t xml:space="preserve"> Archivo 5 del expediente electrónico.</w:t>
      </w:r>
    </w:p>
  </w:footnote>
  <w:footnote w:id="3">
    <w:p w14:paraId="0E2C9ED7" w14:textId="7BF732D3" w:rsidR="00D82F87" w:rsidRPr="001F528A" w:rsidRDefault="00D82F87" w:rsidP="004B5505">
      <w:pPr>
        <w:pStyle w:val="Textonotapie"/>
      </w:pPr>
      <w:r w:rsidRPr="001F528A">
        <w:rPr>
          <w:rStyle w:val="Refdenotaalpie"/>
        </w:rPr>
        <w:footnoteRef/>
      </w:r>
      <w:r w:rsidRPr="001F528A">
        <w:t xml:space="preserve"> Archivo 1 del expediente electrónico.</w:t>
      </w:r>
    </w:p>
  </w:footnote>
  <w:footnote w:id="4">
    <w:p w14:paraId="292CC5EF" w14:textId="740C0B98" w:rsidR="004B5505" w:rsidRPr="001F528A" w:rsidRDefault="004B5505" w:rsidP="004B5505">
      <w:pPr>
        <w:pStyle w:val="Textonotapie"/>
      </w:pPr>
      <w:r w:rsidRPr="001F528A">
        <w:rPr>
          <w:rStyle w:val="Refdenotaalpie"/>
        </w:rPr>
        <w:footnoteRef/>
      </w:r>
      <w:r w:rsidRPr="001F528A">
        <w:t xml:space="preserve"> Archivo 3 del expediente electrónico.</w:t>
      </w:r>
    </w:p>
  </w:footnote>
  <w:footnote w:id="5">
    <w:p w14:paraId="4C3DC451" w14:textId="77777777" w:rsidR="000B5403" w:rsidRPr="001F528A" w:rsidRDefault="000B5403" w:rsidP="004B5505">
      <w:pPr>
        <w:pStyle w:val="Textonotapie"/>
        <w:rPr>
          <w:rFonts w:ascii="Century Gothic" w:hAnsi="Century Gothic"/>
        </w:rPr>
      </w:pPr>
      <w:r w:rsidRPr="001F528A">
        <w:rPr>
          <w:rStyle w:val="Refdenotaalpie"/>
          <w:rFonts w:ascii="Century Gothic" w:hAnsi="Century Gothic"/>
        </w:rPr>
        <w:footnoteRef/>
      </w:r>
      <w:r w:rsidRPr="001F528A">
        <w:rPr>
          <w:rFonts w:ascii="Century Gothic" w:hAnsi="Century Gothic"/>
        </w:rPr>
        <w:t xml:space="preserve"> C.E., Sec. Tercera, Auto de Unificación 2019-00075 (63931), ene. 29/2020, M.P. Alberto Montaña Plata.</w:t>
      </w:r>
    </w:p>
  </w:footnote>
  <w:footnote w:id="6">
    <w:p w14:paraId="17017619" w14:textId="4ECA52A7" w:rsidR="00536F14" w:rsidRDefault="00536F14">
      <w:pPr>
        <w:pStyle w:val="Textonotapie"/>
      </w:pPr>
      <w:r>
        <w:rPr>
          <w:rStyle w:val="Refdenotaalpie"/>
        </w:rPr>
        <w:footnoteRef/>
      </w:r>
      <w:r>
        <w:t xml:space="preserve"> Archivo 10 del expediente electrónico.</w:t>
      </w:r>
    </w:p>
  </w:footnote>
  <w:footnote w:id="7">
    <w:p w14:paraId="78A1426C" w14:textId="77777777" w:rsidR="000B5403" w:rsidRPr="001F528A" w:rsidRDefault="000B5403" w:rsidP="004B5505">
      <w:pPr>
        <w:pStyle w:val="Textonotapie"/>
        <w:rPr>
          <w:rFonts w:ascii="Century Gothic" w:hAnsi="Century Gothic"/>
        </w:rPr>
      </w:pPr>
      <w:r w:rsidRPr="001F528A">
        <w:rPr>
          <w:rStyle w:val="Refdenotaalpie"/>
          <w:rFonts w:ascii="Century Gothic" w:hAnsi="Century Gothic"/>
        </w:rPr>
        <w:footnoteRef/>
      </w:r>
      <w:r w:rsidRPr="001F528A">
        <w:rPr>
          <w:rFonts w:ascii="Century Gothic" w:hAnsi="Century Gothic"/>
        </w:rPr>
        <w:t xml:space="preserve"> </w:t>
      </w:r>
      <w:r w:rsidRPr="001F528A">
        <w:rPr>
          <w:rFonts w:ascii="Century Gothic" w:hAnsi="Century Gothic"/>
          <w:i/>
        </w:rPr>
        <w:t>“(…)</w:t>
      </w:r>
      <w:r w:rsidRPr="001F528A">
        <w:rPr>
          <w:rFonts w:ascii="Century Gothic" w:hAnsi="Century Gothic"/>
          <w:i/>
          <w:lang w:val="es-ES_tradnl"/>
        </w:rPr>
        <w:t xml:space="preserve"> </w:t>
      </w:r>
      <w:r w:rsidRPr="001F528A">
        <w:rPr>
          <w:rFonts w:ascii="Century Gothic" w:hAnsi="Century Gothic"/>
          <w:b/>
          <w:bCs/>
          <w:i/>
          <w:lang w:val="es-ES_tradnl"/>
        </w:rPr>
        <w:t xml:space="preserve">ARTÍCULO 322. OPORTUNIDAD Y REQUISITOS. </w:t>
      </w:r>
      <w:r w:rsidRPr="001F528A">
        <w:rPr>
          <w:rFonts w:ascii="Century Gothic" w:hAnsi="Century Gothic"/>
          <w:i/>
          <w:lang w:val="es-ES_tradnl"/>
        </w:rPr>
        <w:t xml:space="preserve">El recurso de apelación se propondrá de acuerdo con las siguientes reglas: // </w:t>
      </w:r>
      <w:r w:rsidRPr="001F528A">
        <w:rPr>
          <w:rFonts w:ascii="Century Gothic" w:hAnsi="Century Gothic"/>
          <w:b/>
          <w:bCs/>
          <w:i/>
          <w:lang w:val="es-ES_tradnl"/>
        </w:rPr>
        <w:t>1.</w:t>
      </w:r>
      <w:r w:rsidRPr="001F528A">
        <w:rPr>
          <w:rFonts w:ascii="Century Gothic" w:hAnsi="Century Gothic"/>
          <w:i/>
          <w:lang w:val="es-ES_tradnl"/>
        </w:rPr>
        <w:t xml:space="preserve"> El recurso de apelación contra cualquier providencia que se emita en el curso de una audiencia o diligencia, deberá interponerse en forma verbal inmediatamente después de pronunciada. (…) // </w:t>
      </w:r>
      <w:r w:rsidRPr="001F528A">
        <w:rPr>
          <w:rFonts w:ascii="Century Gothic" w:hAnsi="Century Gothic"/>
          <w:b/>
          <w:i/>
          <w:lang w:val="es-ES_tradnl"/>
        </w:rPr>
        <w:t xml:space="preserve">La apelación contra la providencia que se dicte fuera de audiencia deberá interponerse ante el juez que la dictó, en el acto de su notificación personal </w:t>
      </w:r>
      <w:r w:rsidRPr="001F528A">
        <w:rPr>
          <w:rFonts w:ascii="Century Gothic" w:hAnsi="Century Gothic"/>
          <w:b/>
          <w:i/>
          <w:u w:val="single"/>
          <w:lang w:val="es-ES_tradnl"/>
        </w:rPr>
        <w:t>o por escrito dentro de los tres (3) días siguientes a su notificación por estado</w:t>
      </w:r>
      <w:r w:rsidRPr="001F528A">
        <w:rPr>
          <w:rFonts w:ascii="Century Gothic" w:hAnsi="Century Gothic"/>
          <w:i/>
          <w:lang w:val="es-ES_tradnl"/>
        </w:rPr>
        <w:t>.</w:t>
      </w:r>
      <w:r w:rsidRPr="001F528A">
        <w:rPr>
          <w:rFonts w:ascii="Century Gothic" w:hAnsi="Century Gothic"/>
          <w:i/>
        </w:rPr>
        <w:t xml:space="preserve"> (…)” </w:t>
      </w:r>
      <w:r w:rsidRPr="001F528A">
        <w:rPr>
          <w:rFonts w:ascii="Century Gothic" w:hAnsi="Century Gothic"/>
        </w:rPr>
        <w:t>(Subraya y negrilla fuera del texto original)</w:t>
      </w:r>
    </w:p>
  </w:footnote>
  <w:footnote w:id="8">
    <w:p w14:paraId="6E0363F5" w14:textId="77777777" w:rsidR="00170868" w:rsidRPr="00C53DAA" w:rsidRDefault="00170868" w:rsidP="00170868">
      <w:pPr>
        <w:pStyle w:val="Textonotapie"/>
        <w:rPr>
          <w:i/>
          <w:iCs/>
        </w:rPr>
      </w:pPr>
      <w:r>
        <w:rPr>
          <w:rStyle w:val="Refdenotaalpie"/>
        </w:rPr>
        <w:footnoteRef/>
      </w:r>
      <w:r>
        <w:t xml:space="preserve"> </w:t>
      </w:r>
      <w:r w:rsidRPr="00C53DAA">
        <w:rPr>
          <w:i/>
          <w:iCs/>
        </w:rPr>
        <w:t xml:space="preserve">“(…) </w:t>
      </w:r>
      <w:r w:rsidRPr="00C53DAA">
        <w:rPr>
          <w:b/>
          <w:bCs/>
          <w:i/>
          <w:iCs/>
        </w:rPr>
        <w:t>ARTÍCULO 86. RÉGIMEN DE VIGENCIA Y TRANSICIÓN NORMATIVA.</w:t>
      </w:r>
      <w:r w:rsidRPr="00C53DAA">
        <w:rPr>
          <w:i/>
          <w:iCs/>
        </w:rPr>
        <w:t xml:space="preserve"> (…)</w:t>
      </w:r>
    </w:p>
    <w:p w14:paraId="131EA5BE" w14:textId="77777777" w:rsidR="00170868" w:rsidRDefault="00170868" w:rsidP="00170868">
      <w:pPr>
        <w:pStyle w:val="Textonotapie"/>
      </w:pPr>
      <w:r w:rsidRPr="00C53DAA">
        <w:rPr>
          <w:i/>
          <w:iCs/>
        </w:rPr>
        <w:t>En estos mismos procesos</w:t>
      </w:r>
      <w:r>
        <w:rPr>
          <w:i/>
          <w:iCs/>
        </w:rPr>
        <w:t xml:space="preserve"> </w:t>
      </w:r>
      <w:r w:rsidRPr="00703BD8">
        <w:t>[</w:t>
      </w:r>
      <w:r>
        <w:t>iniciados en vigencia del CPACA</w:t>
      </w:r>
      <w:r w:rsidRPr="00703BD8">
        <w:t>]</w:t>
      </w:r>
      <w:r w:rsidRPr="00C53DAA">
        <w:rPr>
          <w:i/>
          <w:iCs/>
        </w:rPr>
        <w:t xml:space="preserve">, </w:t>
      </w:r>
      <w:r w:rsidRPr="003E296C">
        <w:rPr>
          <w:i/>
          <w:iCs/>
          <w:u w:val="single"/>
        </w:rPr>
        <w:t>los recursos interpuestos</w:t>
      </w:r>
      <w:r w:rsidRPr="00C53DAA">
        <w:rPr>
          <w:i/>
          <w:iCs/>
        </w:rPr>
        <w:t xml:space="preserve">, la práctica de pruebas decretadas, las audiencias convocadas, las diligencias iniciadas, los términos que hubieren comenzado a correr, los incidentes en curso y las notificaciones que se estén surtiendo, </w:t>
      </w:r>
      <w:r w:rsidRPr="003E296C">
        <w:rPr>
          <w:i/>
          <w:iCs/>
          <w:u w:val="single"/>
        </w:rPr>
        <w:t>se regirán por las leyes vigentes cuando se interpusieron los recursos</w:t>
      </w:r>
      <w:r w:rsidRPr="00C53DAA">
        <w:rPr>
          <w:i/>
          <w:iCs/>
        </w:rPr>
        <w:t>, se decretaron las pruebas, se iniciaron las audiencias o diligencias, empezaron a correr los términos, se promovieron los incidentes o comenzaron a surtirse las notificaciones. (…)”</w:t>
      </w:r>
      <w:r>
        <w:rPr>
          <w:i/>
          <w:iCs/>
        </w:rPr>
        <w:t xml:space="preserve"> </w:t>
      </w:r>
      <w:r w:rsidRPr="003E296C">
        <w:t>(</w:t>
      </w:r>
      <w:r>
        <w:t>Subraya fuera del texto original</w:t>
      </w:r>
      <w:r w:rsidRPr="003E296C">
        <w:t>)</w:t>
      </w:r>
    </w:p>
  </w:footnote>
  <w:footnote w:id="9">
    <w:p w14:paraId="568ED218" w14:textId="6C5DECE7" w:rsidR="003626F6" w:rsidRPr="003626F6" w:rsidRDefault="003626F6">
      <w:pPr>
        <w:pStyle w:val="Textonotapie"/>
        <w:rPr>
          <w:i/>
          <w:iCs/>
        </w:rPr>
      </w:pPr>
      <w:r>
        <w:rPr>
          <w:rStyle w:val="Refdenotaalpie"/>
        </w:rPr>
        <w:footnoteRef/>
      </w:r>
      <w:r>
        <w:t xml:space="preserve"> </w:t>
      </w:r>
      <w:r w:rsidRPr="003626F6">
        <w:rPr>
          <w:i/>
          <w:iCs/>
        </w:rPr>
        <w:t xml:space="preserve">“(…) </w:t>
      </w:r>
      <w:bookmarkStart w:id="3" w:name="143"/>
      <w:r w:rsidRPr="003626F6">
        <w:rPr>
          <w:b/>
          <w:bCs/>
          <w:i/>
          <w:iCs/>
        </w:rPr>
        <w:t>ARTÍCULO 143. CONSTRUCCIÓN DE INFRAESTRUCTURA EDUCATIVA.</w:t>
      </w:r>
      <w:bookmarkEnd w:id="3"/>
      <w:r w:rsidRPr="003626F6">
        <w:rPr>
          <w:i/>
          <w:iCs/>
        </w:rPr>
        <w:t> El Ministerio de Educación Nacional podrá destinar los recursos a que hace referencia el numeral 4 del artículo 11 de la Ley 21 de 1982 a proyectos de construcción, mejoramiento en infraestructura y dotación de establecimientos educativos oficiales urbanos y rurales. Para este efecto el Ministerio de Educación Nacional señalará las prioridades de inversión y, con cargo a estos recursos, realizará el estudio y seguimiento de los proyectos. (…)”</w:t>
      </w:r>
    </w:p>
  </w:footnote>
  <w:footnote w:id="10">
    <w:p w14:paraId="7F54FAA6" w14:textId="4CD70472" w:rsidR="0091240F" w:rsidRDefault="0091240F">
      <w:pPr>
        <w:pStyle w:val="Textonotapie"/>
      </w:pPr>
      <w:r>
        <w:rPr>
          <w:rStyle w:val="Refdenotaalpie"/>
        </w:rPr>
        <w:footnoteRef/>
      </w:r>
      <w:r>
        <w:t xml:space="preserve"> Archivo 9 del expediente electrónico.</w:t>
      </w:r>
    </w:p>
  </w:footnote>
  <w:footnote w:id="11">
    <w:p w14:paraId="027389DF" w14:textId="28EC4134" w:rsidR="007F56DC" w:rsidRDefault="007F56DC">
      <w:pPr>
        <w:pStyle w:val="Textonotapie"/>
      </w:pPr>
      <w:r>
        <w:rPr>
          <w:rStyle w:val="Refdenotaalpie"/>
        </w:rPr>
        <w:footnoteRef/>
      </w:r>
      <w:r>
        <w:t xml:space="preserve"> Ver, por ejemplo: TAB, Auto 2017-00168, nov. 12/2020. M.P. José Fernández Osorio.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86492" w14:textId="18FD354F" w:rsidR="00311F53" w:rsidRPr="00A86C0D" w:rsidRDefault="00311F53" w:rsidP="00311F53">
    <w:pPr>
      <w:pStyle w:val="Encabezado"/>
      <w:jc w:val="right"/>
      <w:rPr>
        <w:rStyle w:val="Nmerodepgina"/>
        <w:rFonts w:ascii="Century Gothic" w:hAnsi="Century Gothic"/>
        <w:i/>
        <w:sz w:val="16"/>
        <w:szCs w:val="16"/>
      </w:rPr>
    </w:pPr>
    <w:r>
      <w:rPr>
        <w:rFonts w:ascii="Century Gothic" w:hAnsi="Century Gothic"/>
        <w:i/>
        <w:noProof/>
        <w:sz w:val="16"/>
        <w:szCs w:val="16"/>
      </w:rPr>
      <w:t>Ejecutivo</w:t>
    </w:r>
  </w:p>
  <w:p w14:paraId="4F572103" w14:textId="0AAF3BED" w:rsidR="00311F53" w:rsidRPr="00A86C0D" w:rsidRDefault="00311F53" w:rsidP="00311F53">
    <w:pPr>
      <w:pStyle w:val="Encabezado"/>
      <w:jc w:val="right"/>
      <w:rPr>
        <w:rStyle w:val="Nmerodepgina"/>
        <w:rFonts w:ascii="Century Gothic" w:hAnsi="Century Gothic"/>
        <w:i/>
        <w:sz w:val="16"/>
        <w:szCs w:val="16"/>
      </w:rPr>
    </w:pPr>
    <w:r>
      <w:rPr>
        <w:rFonts w:ascii="Century Gothic" w:hAnsi="Century Gothic"/>
        <w:i/>
        <w:sz w:val="16"/>
        <w:szCs w:val="16"/>
      </w:rPr>
      <w:t xml:space="preserve">Rad. </w:t>
    </w:r>
    <w:r w:rsidR="00CE539F" w:rsidRPr="00CE539F">
      <w:rPr>
        <w:rFonts w:ascii="Century Gothic" w:hAnsi="Century Gothic"/>
        <w:i/>
        <w:sz w:val="16"/>
        <w:szCs w:val="16"/>
      </w:rPr>
      <w:t>15001-33-33-009-</w:t>
    </w:r>
    <w:r w:rsidR="00CE539F" w:rsidRPr="00CE539F">
      <w:rPr>
        <w:rFonts w:ascii="Century Gothic" w:hAnsi="Century Gothic"/>
        <w:b/>
        <w:bCs/>
        <w:i/>
        <w:sz w:val="16"/>
        <w:szCs w:val="16"/>
      </w:rPr>
      <w:t>2018</w:t>
    </w:r>
    <w:r w:rsidR="00CE539F" w:rsidRPr="00CE539F">
      <w:rPr>
        <w:rFonts w:ascii="Century Gothic" w:hAnsi="Century Gothic"/>
        <w:i/>
        <w:sz w:val="16"/>
        <w:szCs w:val="16"/>
      </w:rPr>
      <w:t>-</w:t>
    </w:r>
    <w:r w:rsidR="00CE539F" w:rsidRPr="00CE539F">
      <w:rPr>
        <w:rFonts w:ascii="Century Gothic" w:hAnsi="Century Gothic"/>
        <w:b/>
        <w:bCs/>
        <w:i/>
        <w:sz w:val="16"/>
        <w:szCs w:val="16"/>
      </w:rPr>
      <w:t>00099</w:t>
    </w:r>
    <w:r w:rsidR="00CE539F" w:rsidRPr="00CE539F">
      <w:rPr>
        <w:rFonts w:ascii="Century Gothic" w:hAnsi="Century Gothic"/>
        <w:i/>
        <w:sz w:val="16"/>
        <w:szCs w:val="16"/>
      </w:rPr>
      <w:t>-01</w:t>
    </w:r>
  </w:p>
  <w:p w14:paraId="5C9A4030" w14:textId="77777777" w:rsidR="00311F53" w:rsidRPr="00A86C0D" w:rsidRDefault="00311F53" w:rsidP="00311F53">
    <w:pPr>
      <w:pStyle w:val="Encabezado"/>
      <w:jc w:val="right"/>
      <w:rPr>
        <w:rStyle w:val="Nmerodepgina"/>
        <w:rFonts w:ascii="Century Gothic" w:hAnsi="Century Gothic"/>
        <w:i/>
        <w:sz w:val="16"/>
        <w:szCs w:val="16"/>
      </w:rPr>
    </w:pPr>
    <w:r w:rsidRPr="00A86C0D">
      <w:rPr>
        <w:rStyle w:val="Nmerodepgina"/>
        <w:rFonts w:ascii="Century Gothic" w:hAnsi="Century Gothic"/>
        <w:i/>
        <w:sz w:val="16"/>
        <w:szCs w:val="16"/>
      </w:rPr>
      <w:t xml:space="preserve">Resuelve apelación </w:t>
    </w:r>
  </w:p>
  <w:p w14:paraId="24273E15" w14:textId="0672DFEE" w:rsidR="00311F53" w:rsidRPr="00311F53" w:rsidRDefault="00311F53" w:rsidP="00311F53">
    <w:pPr>
      <w:pStyle w:val="Encabezado"/>
      <w:pBdr>
        <w:top w:val="thinThickSmallGap" w:sz="24" w:space="2" w:color="auto"/>
      </w:pBdr>
      <w:tabs>
        <w:tab w:val="center" w:pos="-3240"/>
        <w:tab w:val="left" w:pos="7288"/>
        <w:tab w:val="right" w:pos="11160"/>
      </w:tabs>
      <w:rPr>
        <w:rFonts w:ascii="Century Gothic" w:hAnsi="Century Gothic"/>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7D05" w14:textId="77777777" w:rsidR="00147FD1" w:rsidRPr="00577AD9" w:rsidRDefault="00147FD1" w:rsidP="009749F8">
    <w:pPr>
      <w:tabs>
        <w:tab w:val="center" w:pos="4252"/>
        <w:tab w:val="right" w:pos="8504"/>
      </w:tabs>
      <w:spacing w:line="240" w:lineRule="auto"/>
      <w:jc w:val="center"/>
      <w:rPr>
        <w:rFonts w:ascii="Century Gothic" w:eastAsia="Times New Roman" w:hAnsi="Century Gothic" w:cs="Times New Roman"/>
        <w:b/>
        <w:i/>
        <w:szCs w:val="24"/>
        <w:lang w:val="es-MX" w:eastAsia="es-ES"/>
      </w:rPr>
    </w:pPr>
    <w:r>
      <w:rPr>
        <w:noProof/>
        <w:lang w:eastAsia="es-CO"/>
      </w:rPr>
      <w:drawing>
        <wp:inline distT="0" distB="0" distL="0" distR="0" wp14:anchorId="5F7DE3BB" wp14:editId="23ACEE3D">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38BC02A8" w14:textId="77777777" w:rsidR="00147FD1" w:rsidRPr="00577AD9" w:rsidRDefault="00147FD1" w:rsidP="009749F8">
    <w:pPr>
      <w:spacing w:line="240" w:lineRule="auto"/>
      <w:jc w:val="center"/>
      <w:rPr>
        <w:b/>
        <w:i/>
        <w:lang w:val="es-MX" w:eastAsia="es-ES"/>
      </w:rPr>
    </w:pPr>
    <w:r w:rsidRPr="00577AD9">
      <w:rPr>
        <w:b/>
        <w:i/>
        <w:lang w:val="es-MX" w:eastAsia="es-ES"/>
      </w:rPr>
      <w:t>REPÚBLICA DE COLOMBIA</w:t>
    </w:r>
  </w:p>
  <w:p w14:paraId="1FBEB8B5" w14:textId="77777777" w:rsidR="00147FD1" w:rsidRPr="00577AD9" w:rsidRDefault="00147FD1" w:rsidP="009749F8">
    <w:pPr>
      <w:spacing w:line="240" w:lineRule="auto"/>
      <w:jc w:val="center"/>
      <w:rPr>
        <w:b/>
        <w:i/>
        <w:lang w:val="es-MX" w:eastAsia="es-ES"/>
      </w:rPr>
    </w:pPr>
    <w:r w:rsidRPr="00577AD9">
      <w:rPr>
        <w:b/>
        <w:i/>
        <w:lang w:val="es-MX" w:eastAsia="es-ES"/>
      </w:rPr>
      <w:t>TRIBUNAL ADMINISTRATIVO DE BOYACÁ</w:t>
    </w:r>
  </w:p>
  <w:p w14:paraId="72C0AAC7" w14:textId="1461B587" w:rsidR="00147FD1" w:rsidRPr="00577AD9" w:rsidRDefault="00147FD1" w:rsidP="009749F8">
    <w:pPr>
      <w:spacing w:line="240" w:lineRule="auto"/>
      <w:jc w:val="center"/>
      <w:rPr>
        <w:b/>
        <w:i/>
        <w:lang w:val="es-MX" w:eastAsia="es-ES"/>
      </w:rPr>
    </w:pPr>
    <w:r>
      <w:rPr>
        <w:b/>
        <w:i/>
        <w:lang w:val="es-MX" w:eastAsia="es-ES"/>
      </w:rPr>
      <w:t>DESPACHO 1</w:t>
    </w:r>
  </w:p>
  <w:p w14:paraId="646488E1" w14:textId="77777777" w:rsidR="00147FD1" w:rsidRPr="00577AD9" w:rsidRDefault="00147FD1" w:rsidP="009749F8">
    <w:pPr>
      <w:spacing w:line="240" w:lineRule="auto"/>
      <w:jc w:val="center"/>
      <w:rPr>
        <w:rFonts w:cs="Arial"/>
        <w:b/>
        <w:i/>
        <w:lang w:val="es-MX" w:eastAsia="es-ES"/>
      </w:rPr>
    </w:pPr>
  </w:p>
  <w:p w14:paraId="7FE411DA" w14:textId="5C87CEE5" w:rsidR="00147FD1" w:rsidRPr="00577AD9" w:rsidRDefault="00147FD1" w:rsidP="009749F8">
    <w:pPr>
      <w:spacing w:line="240" w:lineRule="auto"/>
      <w:jc w:val="center"/>
      <w:rPr>
        <w:b/>
        <w:i/>
        <w:lang w:val="es-MX" w:eastAsia="es-ES"/>
      </w:rPr>
    </w:pPr>
    <w:r w:rsidRPr="00577AD9">
      <w:rPr>
        <w:rFonts w:cs="Arial"/>
        <w:b/>
        <w:i/>
        <w:lang w:val="es-MX" w:eastAsia="es-ES"/>
      </w:rPr>
      <w:t>MAGISTRADO: JOSÉ ASCENCIÓN FERNÁNDEZ OSORIO</w:t>
    </w:r>
  </w:p>
  <w:p w14:paraId="6B8DCA89" w14:textId="77777777" w:rsidR="00147FD1" w:rsidRPr="000E0967" w:rsidRDefault="00147FD1" w:rsidP="009749F8">
    <w:pPr>
      <w:pStyle w:val="Encabezado"/>
      <w:spacing w:line="276" w:lineRule="aut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0B90"/>
    <w:multiLevelType w:val="multilevel"/>
    <w:tmpl w:val="74B6E2BC"/>
    <w:lvl w:ilvl="0">
      <w:start w:val="1"/>
      <w:numFmt w:val="decimal"/>
      <w:pStyle w:val="Ttulo2"/>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pStyle w:val="Ttulo5"/>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F89"/>
    <w:multiLevelType w:val="hybridMultilevel"/>
    <w:tmpl w:val="DA4AEA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F81F86"/>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C856DD"/>
    <w:multiLevelType w:val="hybridMultilevel"/>
    <w:tmpl w:val="8BA6D374"/>
    <w:lvl w:ilvl="0" w:tplc="08CE031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38363D"/>
    <w:multiLevelType w:val="hybridMultilevel"/>
    <w:tmpl w:val="0360D92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E00176A"/>
    <w:multiLevelType w:val="hybridMultilevel"/>
    <w:tmpl w:val="C8D402EA"/>
    <w:lvl w:ilvl="0" w:tplc="2394626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9F1017"/>
    <w:multiLevelType w:val="hybridMultilevel"/>
    <w:tmpl w:val="191A5C44"/>
    <w:lvl w:ilvl="0" w:tplc="240A0011">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0">
    <w:nsid w:val="6E5D2CD0"/>
    <w:multiLevelType w:val="hybridMultilevel"/>
    <w:tmpl w:val="03449A1E"/>
    <w:lvl w:ilvl="0" w:tplc="B3A07DA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1"/>
  </w:num>
  <w:num w:numId="6">
    <w:abstractNumId w:val="3"/>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9"/>
    <w:rsid w:val="000002C8"/>
    <w:rsid w:val="00000806"/>
    <w:rsid w:val="00000AB1"/>
    <w:rsid w:val="0000297B"/>
    <w:rsid w:val="00003F71"/>
    <w:rsid w:val="0000476F"/>
    <w:rsid w:val="00005C22"/>
    <w:rsid w:val="00010647"/>
    <w:rsid w:val="000118C4"/>
    <w:rsid w:val="00012E6A"/>
    <w:rsid w:val="000144E5"/>
    <w:rsid w:val="00015CFF"/>
    <w:rsid w:val="000204E5"/>
    <w:rsid w:val="00021D05"/>
    <w:rsid w:val="000222DB"/>
    <w:rsid w:val="00022DEE"/>
    <w:rsid w:val="00023530"/>
    <w:rsid w:val="00024EEE"/>
    <w:rsid w:val="0002567D"/>
    <w:rsid w:val="00026FB7"/>
    <w:rsid w:val="0002712E"/>
    <w:rsid w:val="0002779A"/>
    <w:rsid w:val="00031165"/>
    <w:rsid w:val="000314B6"/>
    <w:rsid w:val="00031995"/>
    <w:rsid w:val="000361E2"/>
    <w:rsid w:val="00036886"/>
    <w:rsid w:val="00036D7A"/>
    <w:rsid w:val="00036F6B"/>
    <w:rsid w:val="0004083C"/>
    <w:rsid w:val="00040CD8"/>
    <w:rsid w:val="00040F2D"/>
    <w:rsid w:val="00042BF5"/>
    <w:rsid w:val="00042D71"/>
    <w:rsid w:val="00045239"/>
    <w:rsid w:val="000466EB"/>
    <w:rsid w:val="00046DCE"/>
    <w:rsid w:val="000477AE"/>
    <w:rsid w:val="00050401"/>
    <w:rsid w:val="00053C64"/>
    <w:rsid w:val="00055115"/>
    <w:rsid w:val="00055411"/>
    <w:rsid w:val="0005636F"/>
    <w:rsid w:val="00056E49"/>
    <w:rsid w:val="0006217A"/>
    <w:rsid w:val="000625B7"/>
    <w:rsid w:val="000653D3"/>
    <w:rsid w:val="00067070"/>
    <w:rsid w:val="00067615"/>
    <w:rsid w:val="000700C8"/>
    <w:rsid w:val="00070DE6"/>
    <w:rsid w:val="00074032"/>
    <w:rsid w:val="00075595"/>
    <w:rsid w:val="00075712"/>
    <w:rsid w:val="00075C69"/>
    <w:rsid w:val="00077ADA"/>
    <w:rsid w:val="000805B2"/>
    <w:rsid w:val="00081297"/>
    <w:rsid w:val="00081598"/>
    <w:rsid w:val="0008207D"/>
    <w:rsid w:val="000841A0"/>
    <w:rsid w:val="00084B3B"/>
    <w:rsid w:val="000917EF"/>
    <w:rsid w:val="0009184E"/>
    <w:rsid w:val="00091ED2"/>
    <w:rsid w:val="000927F0"/>
    <w:rsid w:val="0009360F"/>
    <w:rsid w:val="00094A3D"/>
    <w:rsid w:val="0009711B"/>
    <w:rsid w:val="000A20FA"/>
    <w:rsid w:val="000A3284"/>
    <w:rsid w:val="000A5FB0"/>
    <w:rsid w:val="000A74F3"/>
    <w:rsid w:val="000A7997"/>
    <w:rsid w:val="000B095D"/>
    <w:rsid w:val="000B1636"/>
    <w:rsid w:val="000B2DA8"/>
    <w:rsid w:val="000B3502"/>
    <w:rsid w:val="000B3E2F"/>
    <w:rsid w:val="000B421E"/>
    <w:rsid w:val="000B5403"/>
    <w:rsid w:val="000B5E0C"/>
    <w:rsid w:val="000B6786"/>
    <w:rsid w:val="000B703D"/>
    <w:rsid w:val="000B7AB1"/>
    <w:rsid w:val="000B7D89"/>
    <w:rsid w:val="000B7E74"/>
    <w:rsid w:val="000C0B09"/>
    <w:rsid w:val="000C141A"/>
    <w:rsid w:val="000C20FA"/>
    <w:rsid w:val="000C3298"/>
    <w:rsid w:val="000C3C49"/>
    <w:rsid w:val="000C3EDD"/>
    <w:rsid w:val="000C50E4"/>
    <w:rsid w:val="000C5ED3"/>
    <w:rsid w:val="000C601E"/>
    <w:rsid w:val="000C6893"/>
    <w:rsid w:val="000C6C8D"/>
    <w:rsid w:val="000C6CAA"/>
    <w:rsid w:val="000C77F5"/>
    <w:rsid w:val="000C7C89"/>
    <w:rsid w:val="000D041A"/>
    <w:rsid w:val="000D2018"/>
    <w:rsid w:val="000D2A20"/>
    <w:rsid w:val="000D3DB7"/>
    <w:rsid w:val="000D5199"/>
    <w:rsid w:val="000D5885"/>
    <w:rsid w:val="000D5A1D"/>
    <w:rsid w:val="000D697A"/>
    <w:rsid w:val="000D6B85"/>
    <w:rsid w:val="000D7575"/>
    <w:rsid w:val="000D7D74"/>
    <w:rsid w:val="000E086B"/>
    <w:rsid w:val="000E0967"/>
    <w:rsid w:val="000E0A90"/>
    <w:rsid w:val="000E2210"/>
    <w:rsid w:val="000E2745"/>
    <w:rsid w:val="000E4A82"/>
    <w:rsid w:val="000E4C0A"/>
    <w:rsid w:val="000E5070"/>
    <w:rsid w:val="000E50B6"/>
    <w:rsid w:val="000F2722"/>
    <w:rsid w:val="000F28C8"/>
    <w:rsid w:val="000F2DCC"/>
    <w:rsid w:val="000F4E21"/>
    <w:rsid w:val="000F5B3B"/>
    <w:rsid w:val="000F5B4A"/>
    <w:rsid w:val="000F7188"/>
    <w:rsid w:val="000F7BA5"/>
    <w:rsid w:val="001033C0"/>
    <w:rsid w:val="00104A6B"/>
    <w:rsid w:val="00104ED1"/>
    <w:rsid w:val="00104F51"/>
    <w:rsid w:val="001062DC"/>
    <w:rsid w:val="00107345"/>
    <w:rsid w:val="00111560"/>
    <w:rsid w:val="00111A57"/>
    <w:rsid w:val="001140D0"/>
    <w:rsid w:val="00114BC2"/>
    <w:rsid w:val="001157B4"/>
    <w:rsid w:val="0011618C"/>
    <w:rsid w:val="00121755"/>
    <w:rsid w:val="00122BD1"/>
    <w:rsid w:val="001231DE"/>
    <w:rsid w:val="00123C8C"/>
    <w:rsid w:val="0012607D"/>
    <w:rsid w:val="00126871"/>
    <w:rsid w:val="00127D67"/>
    <w:rsid w:val="00130234"/>
    <w:rsid w:val="00130783"/>
    <w:rsid w:val="001320AA"/>
    <w:rsid w:val="00134253"/>
    <w:rsid w:val="00134C0F"/>
    <w:rsid w:val="00134E58"/>
    <w:rsid w:val="00136281"/>
    <w:rsid w:val="0013642D"/>
    <w:rsid w:val="00136A91"/>
    <w:rsid w:val="001375D7"/>
    <w:rsid w:val="00137FA8"/>
    <w:rsid w:val="00140E0B"/>
    <w:rsid w:val="00140E46"/>
    <w:rsid w:val="00141744"/>
    <w:rsid w:val="00141CF2"/>
    <w:rsid w:val="00142EC4"/>
    <w:rsid w:val="00143947"/>
    <w:rsid w:val="00143C76"/>
    <w:rsid w:val="001446FB"/>
    <w:rsid w:val="00144865"/>
    <w:rsid w:val="00145EBF"/>
    <w:rsid w:val="00147EED"/>
    <w:rsid w:val="00147FD1"/>
    <w:rsid w:val="001516E0"/>
    <w:rsid w:val="00152D60"/>
    <w:rsid w:val="00152FFF"/>
    <w:rsid w:val="00153E44"/>
    <w:rsid w:val="00154C58"/>
    <w:rsid w:val="00157953"/>
    <w:rsid w:val="00162119"/>
    <w:rsid w:val="00163094"/>
    <w:rsid w:val="00164355"/>
    <w:rsid w:val="0016508E"/>
    <w:rsid w:val="00166060"/>
    <w:rsid w:val="00167685"/>
    <w:rsid w:val="001676DB"/>
    <w:rsid w:val="00170868"/>
    <w:rsid w:val="00171384"/>
    <w:rsid w:val="00171804"/>
    <w:rsid w:val="00172580"/>
    <w:rsid w:val="00173E30"/>
    <w:rsid w:val="00174980"/>
    <w:rsid w:val="00174AF2"/>
    <w:rsid w:val="00180070"/>
    <w:rsid w:val="00180871"/>
    <w:rsid w:val="00184DD0"/>
    <w:rsid w:val="001856F6"/>
    <w:rsid w:val="00186C39"/>
    <w:rsid w:val="00190103"/>
    <w:rsid w:val="00191EF2"/>
    <w:rsid w:val="00192085"/>
    <w:rsid w:val="00192E20"/>
    <w:rsid w:val="001933B1"/>
    <w:rsid w:val="00194682"/>
    <w:rsid w:val="001969B3"/>
    <w:rsid w:val="001976F5"/>
    <w:rsid w:val="00197C24"/>
    <w:rsid w:val="001A0A73"/>
    <w:rsid w:val="001A0EFE"/>
    <w:rsid w:val="001A1209"/>
    <w:rsid w:val="001A1A64"/>
    <w:rsid w:val="001A24AD"/>
    <w:rsid w:val="001A265F"/>
    <w:rsid w:val="001A2C9E"/>
    <w:rsid w:val="001A4377"/>
    <w:rsid w:val="001A5353"/>
    <w:rsid w:val="001A6F79"/>
    <w:rsid w:val="001B11C3"/>
    <w:rsid w:val="001B2AE0"/>
    <w:rsid w:val="001B3169"/>
    <w:rsid w:val="001B3EBC"/>
    <w:rsid w:val="001B48F4"/>
    <w:rsid w:val="001B4C44"/>
    <w:rsid w:val="001B513E"/>
    <w:rsid w:val="001B6415"/>
    <w:rsid w:val="001B701D"/>
    <w:rsid w:val="001B7063"/>
    <w:rsid w:val="001C0F8D"/>
    <w:rsid w:val="001C42F0"/>
    <w:rsid w:val="001C43B5"/>
    <w:rsid w:val="001C4647"/>
    <w:rsid w:val="001C7714"/>
    <w:rsid w:val="001D0944"/>
    <w:rsid w:val="001D0A93"/>
    <w:rsid w:val="001D18BC"/>
    <w:rsid w:val="001D1FB9"/>
    <w:rsid w:val="001D25BC"/>
    <w:rsid w:val="001D4EE6"/>
    <w:rsid w:val="001D5A97"/>
    <w:rsid w:val="001D781F"/>
    <w:rsid w:val="001E4851"/>
    <w:rsid w:val="001E5126"/>
    <w:rsid w:val="001E5A3E"/>
    <w:rsid w:val="001E75D8"/>
    <w:rsid w:val="001E7C84"/>
    <w:rsid w:val="001F38DF"/>
    <w:rsid w:val="001F44F5"/>
    <w:rsid w:val="001F4718"/>
    <w:rsid w:val="001F528A"/>
    <w:rsid w:val="001F706F"/>
    <w:rsid w:val="001F7174"/>
    <w:rsid w:val="001F7A00"/>
    <w:rsid w:val="00200981"/>
    <w:rsid w:val="00200AF1"/>
    <w:rsid w:val="00200EB1"/>
    <w:rsid w:val="00201186"/>
    <w:rsid w:val="0020229D"/>
    <w:rsid w:val="002024C6"/>
    <w:rsid w:val="0020315C"/>
    <w:rsid w:val="002032D2"/>
    <w:rsid w:val="00203AC8"/>
    <w:rsid w:val="00203F94"/>
    <w:rsid w:val="00204129"/>
    <w:rsid w:val="0020532F"/>
    <w:rsid w:val="0020630F"/>
    <w:rsid w:val="00206434"/>
    <w:rsid w:val="00207F8A"/>
    <w:rsid w:val="002106F4"/>
    <w:rsid w:val="00210DBA"/>
    <w:rsid w:val="00211F02"/>
    <w:rsid w:val="00212FBD"/>
    <w:rsid w:val="002147C4"/>
    <w:rsid w:val="00215483"/>
    <w:rsid w:val="00215753"/>
    <w:rsid w:val="00215CD7"/>
    <w:rsid w:val="00216786"/>
    <w:rsid w:val="00217822"/>
    <w:rsid w:val="00220D8B"/>
    <w:rsid w:val="002236A6"/>
    <w:rsid w:val="00224402"/>
    <w:rsid w:val="00226563"/>
    <w:rsid w:val="00227010"/>
    <w:rsid w:val="002319B3"/>
    <w:rsid w:val="002323E6"/>
    <w:rsid w:val="00232B19"/>
    <w:rsid w:val="0023498B"/>
    <w:rsid w:val="00236A94"/>
    <w:rsid w:val="00237A57"/>
    <w:rsid w:val="00240E13"/>
    <w:rsid w:val="00241E12"/>
    <w:rsid w:val="002423F1"/>
    <w:rsid w:val="002428CE"/>
    <w:rsid w:val="00242942"/>
    <w:rsid w:val="00244F0A"/>
    <w:rsid w:val="00244F25"/>
    <w:rsid w:val="00245761"/>
    <w:rsid w:val="00247BCE"/>
    <w:rsid w:val="00251810"/>
    <w:rsid w:val="00252472"/>
    <w:rsid w:val="00255569"/>
    <w:rsid w:val="002559D7"/>
    <w:rsid w:val="002562AA"/>
    <w:rsid w:val="00260ACF"/>
    <w:rsid w:val="00261651"/>
    <w:rsid w:val="002618BF"/>
    <w:rsid w:val="00261AC9"/>
    <w:rsid w:val="00262CD1"/>
    <w:rsid w:val="0026329C"/>
    <w:rsid w:val="0026454E"/>
    <w:rsid w:val="00265525"/>
    <w:rsid w:val="002656DF"/>
    <w:rsid w:val="00270C2C"/>
    <w:rsid w:val="00275BBA"/>
    <w:rsid w:val="00275BC2"/>
    <w:rsid w:val="00277C9E"/>
    <w:rsid w:val="0028122F"/>
    <w:rsid w:val="002818AC"/>
    <w:rsid w:val="00282751"/>
    <w:rsid w:val="002848FA"/>
    <w:rsid w:val="00284B05"/>
    <w:rsid w:val="00285192"/>
    <w:rsid w:val="00285778"/>
    <w:rsid w:val="00285C01"/>
    <w:rsid w:val="002866D1"/>
    <w:rsid w:val="00286DD7"/>
    <w:rsid w:val="002875ED"/>
    <w:rsid w:val="00290146"/>
    <w:rsid w:val="002908D2"/>
    <w:rsid w:val="002911AA"/>
    <w:rsid w:val="002924E7"/>
    <w:rsid w:val="002929E9"/>
    <w:rsid w:val="00294F75"/>
    <w:rsid w:val="00297757"/>
    <w:rsid w:val="002A0364"/>
    <w:rsid w:val="002A1F6E"/>
    <w:rsid w:val="002A2056"/>
    <w:rsid w:val="002A40E8"/>
    <w:rsid w:val="002A51E5"/>
    <w:rsid w:val="002A59DA"/>
    <w:rsid w:val="002A6555"/>
    <w:rsid w:val="002B0107"/>
    <w:rsid w:val="002B1BBD"/>
    <w:rsid w:val="002B1FF8"/>
    <w:rsid w:val="002B218F"/>
    <w:rsid w:val="002B22F8"/>
    <w:rsid w:val="002B2453"/>
    <w:rsid w:val="002B4F31"/>
    <w:rsid w:val="002B5180"/>
    <w:rsid w:val="002B6755"/>
    <w:rsid w:val="002B6CFC"/>
    <w:rsid w:val="002B7029"/>
    <w:rsid w:val="002B744A"/>
    <w:rsid w:val="002C086D"/>
    <w:rsid w:val="002C4058"/>
    <w:rsid w:val="002C56FC"/>
    <w:rsid w:val="002C6BC2"/>
    <w:rsid w:val="002C7F69"/>
    <w:rsid w:val="002D3B5F"/>
    <w:rsid w:val="002D53E4"/>
    <w:rsid w:val="002D72F4"/>
    <w:rsid w:val="002E01A2"/>
    <w:rsid w:val="002E2CC3"/>
    <w:rsid w:val="002E31D0"/>
    <w:rsid w:val="002E37FC"/>
    <w:rsid w:val="002E444D"/>
    <w:rsid w:val="002E5AF2"/>
    <w:rsid w:val="002E6ACE"/>
    <w:rsid w:val="002F0602"/>
    <w:rsid w:val="002F08BE"/>
    <w:rsid w:val="002F0E42"/>
    <w:rsid w:val="002F103C"/>
    <w:rsid w:val="002F2177"/>
    <w:rsid w:val="002F2179"/>
    <w:rsid w:val="002F57FE"/>
    <w:rsid w:val="002F7C16"/>
    <w:rsid w:val="0030165D"/>
    <w:rsid w:val="003022AE"/>
    <w:rsid w:val="00304A90"/>
    <w:rsid w:val="00310458"/>
    <w:rsid w:val="003111DE"/>
    <w:rsid w:val="00311F53"/>
    <w:rsid w:val="003121D2"/>
    <w:rsid w:val="003124EC"/>
    <w:rsid w:val="00314C22"/>
    <w:rsid w:val="003160AE"/>
    <w:rsid w:val="00316F9A"/>
    <w:rsid w:val="00317EF4"/>
    <w:rsid w:val="0032008F"/>
    <w:rsid w:val="00322FE1"/>
    <w:rsid w:val="003233F7"/>
    <w:rsid w:val="00325682"/>
    <w:rsid w:val="00326491"/>
    <w:rsid w:val="00327496"/>
    <w:rsid w:val="00327655"/>
    <w:rsid w:val="0033047D"/>
    <w:rsid w:val="00332911"/>
    <w:rsid w:val="00332B7D"/>
    <w:rsid w:val="00333DD5"/>
    <w:rsid w:val="0033489C"/>
    <w:rsid w:val="00335704"/>
    <w:rsid w:val="00335A0D"/>
    <w:rsid w:val="00337EFB"/>
    <w:rsid w:val="00340B97"/>
    <w:rsid w:val="00343A10"/>
    <w:rsid w:val="00344939"/>
    <w:rsid w:val="00344F57"/>
    <w:rsid w:val="003466A7"/>
    <w:rsid w:val="0034749C"/>
    <w:rsid w:val="00350546"/>
    <w:rsid w:val="00351859"/>
    <w:rsid w:val="00353738"/>
    <w:rsid w:val="00354AD7"/>
    <w:rsid w:val="00355359"/>
    <w:rsid w:val="0035580D"/>
    <w:rsid w:val="00357378"/>
    <w:rsid w:val="00357B9C"/>
    <w:rsid w:val="00360446"/>
    <w:rsid w:val="003626F6"/>
    <w:rsid w:val="0036338E"/>
    <w:rsid w:val="00363B86"/>
    <w:rsid w:val="00364FA1"/>
    <w:rsid w:val="00365994"/>
    <w:rsid w:val="00365E4A"/>
    <w:rsid w:val="00372710"/>
    <w:rsid w:val="003729AF"/>
    <w:rsid w:val="00376644"/>
    <w:rsid w:val="00376E40"/>
    <w:rsid w:val="00380FCC"/>
    <w:rsid w:val="00381047"/>
    <w:rsid w:val="00381300"/>
    <w:rsid w:val="00381AB7"/>
    <w:rsid w:val="00381C5A"/>
    <w:rsid w:val="00382ED0"/>
    <w:rsid w:val="0038361A"/>
    <w:rsid w:val="0038607D"/>
    <w:rsid w:val="00387085"/>
    <w:rsid w:val="003876E1"/>
    <w:rsid w:val="003915AB"/>
    <w:rsid w:val="00391F6C"/>
    <w:rsid w:val="00392795"/>
    <w:rsid w:val="0039330E"/>
    <w:rsid w:val="00393311"/>
    <w:rsid w:val="0039417E"/>
    <w:rsid w:val="0039496D"/>
    <w:rsid w:val="003958BD"/>
    <w:rsid w:val="00396CF1"/>
    <w:rsid w:val="003A3B9D"/>
    <w:rsid w:val="003A50CB"/>
    <w:rsid w:val="003A5E22"/>
    <w:rsid w:val="003A6C31"/>
    <w:rsid w:val="003A701E"/>
    <w:rsid w:val="003B0A23"/>
    <w:rsid w:val="003B2B76"/>
    <w:rsid w:val="003B68F4"/>
    <w:rsid w:val="003C04F7"/>
    <w:rsid w:val="003C2D48"/>
    <w:rsid w:val="003C399E"/>
    <w:rsid w:val="003C5183"/>
    <w:rsid w:val="003D1075"/>
    <w:rsid w:val="003D1717"/>
    <w:rsid w:val="003D38B5"/>
    <w:rsid w:val="003D531D"/>
    <w:rsid w:val="003D5E61"/>
    <w:rsid w:val="003D7571"/>
    <w:rsid w:val="003D76D7"/>
    <w:rsid w:val="003E14E4"/>
    <w:rsid w:val="003E22C1"/>
    <w:rsid w:val="003E29DC"/>
    <w:rsid w:val="003E3499"/>
    <w:rsid w:val="003E3F79"/>
    <w:rsid w:val="003E502C"/>
    <w:rsid w:val="003E5334"/>
    <w:rsid w:val="003E5BD2"/>
    <w:rsid w:val="003E5BD6"/>
    <w:rsid w:val="003E5D72"/>
    <w:rsid w:val="003E64B3"/>
    <w:rsid w:val="003E7277"/>
    <w:rsid w:val="003E773D"/>
    <w:rsid w:val="003F02C2"/>
    <w:rsid w:val="003F0989"/>
    <w:rsid w:val="003F0C76"/>
    <w:rsid w:val="003F25A5"/>
    <w:rsid w:val="003F3835"/>
    <w:rsid w:val="003F3DC0"/>
    <w:rsid w:val="003F45BF"/>
    <w:rsid w:val="003F74BF"/>
    <w:rsid w:val="004007A2"/>
    <w:rsid w:val="0040234B"/>
    <w:rsid w:val="00402878"/>
    <w:rsid w:val="00402E63"/>
    <w:rsid w:val="00403488"/>
    <w:rsid w:val="00403F3B"/>
    <w:rsid w:val="004045AE"/>
    <w:rsid w:val="00407804"/>
    <w:rsid w:val="00414007"/>
    <w:rsid w:val="004153AE"/>
    <w:rsid w:val="00415D0E"/>
    <w:rsid w:val="004169FC"/>
    <w:rsid w:val="004172C7"/>
    <w:rsid w:val="00422387"/>
    <w:rsid w:val="004225E8"/>
    <w:rsid w:val="00422B58"/>
    <w:rsid w:val="0042473C"/>
    <w:rsid w:val="00427C3B"/>
    <w:rsid w:val="00430D96"/>
    <w:rsid w:val="00431B32"/>
    <w:rsid w:val="00431DB3"/>
    <w:rsid w:val="004320F9"/>
    <w:rsid w:val="004333A8"/>
    <w:rsid w:val="00435CBB"/>
    <w:rsid w:val="004367B6"/>
    <w:rsid w:val="004405B4"/>
    <w:rsid w:val="004408A7"/>
    <w:rsid w:val="00440DD5"/>
    <w:rsid w:val="004419F1"/>
    <w:rsid w:val="00442ADF"/>
    <w:rsid w:val="004431EC"/>
    <w:rsid w:val="00444D30"/>
    <w:rsid w:val="0044677D"/>
    <w:rsid w:val="004467A6"/>
    <w:rsid w:val="004506CC"/>
    <w:rsid w:val="00450B2D"/>
    <w:rsid w:val="00452580"/>
    <w:rsid w:val="004528B5"/>
    <w:rsid w:val="004531E5"/>
    <w:rsid w:val="00454C2F"/>
    <w:rsid w:val="00456171"/>
    <w:rsid w:val="00457FE5"/>
    <w:rsid w:val="004609AD"/>
    <w:rsid w:val="004612AE"/>
    <w:rsid w:val="00464BC5"/>
    <w:rsid w:val="00470076"/>
    <w:rsid w:val="0047259D"/>
    <w:rsid w:val="0047403C"/>
    <w:rsid w:val="0047538A"/>
    <w:rsid w:val="00477505"/>
    <w:rsid w:val="00477C4E"/>
    <w:rsid w:val="00477EC4"/>
    <w:rsid w:val="00480EFB"/>
    <w:rsid w:val="0048301C"/>
    <w:rsid w:val="00483B38"/>
    <w:rsid w:val="00484385"/>
    <w:rsid w:val="0048576B"/>
    <w:rsid w:val="004861A0"/>
    <w:rsid w:val="0048680E"/>
    <w:rsid w:val="004872F4"/>
    <w:rsid w:val="00487319"/>
    <w:rsid w:val="00491E1E"/>
    <w:rsid w:val="004963D0"/>
    <w:rsid w:val="00496640"/>
    <w:rsid w:val="004967A8"/>
    <w:rsid w:val="004978F8"/>
    <w:rsid w:val="004A0D30"/>
    <w:rsid w:val="004A1829"/>
    <w:rsid w:val="004A1CD0"/>
    <w:rsid w:val="004A2E7C"/>
    <w:rsid w:val="004A5F05"/>
    <w:rsid w:val="004A6876"/>
    <w:rsid w:val="004A75A7"/>
    <w:rsid w:val="004B0E3F"/>
    <w:rsid w:val="004B200C"/>
    <w:rsid w:val="004B2ACC"/>
    <w:rsid w:val="004B341B"/>
    <w:rsid w:val="004B362F"/>
    <w:rsid w:val="004B5505"/>
    <w:rsid w:val="004B5CB7"/>
    <w:rsid w:val="004B7291"/>
    <w:rsid w:val="004B75BD"/>
    <w:rsid w:val="004B7B58"/>
    <w:rsid w:val="004C2405"/>
    <w:rsid w:val="004C2838"/>
    <w:rsid w:val="004C3185"/>
    <w:rsid w:val="004C43C0"/>
    <w:rsid w:val="004C499C"/>
    <w:rsid w:val="004C5991"/>
    <w:rsid w:val="004C614A"/>
    <w:rsid w:val="004C6D78"/>
    <w:rsid w:val="004C73CC"/>
    <w:rsid w:val="004D0C02"/>
    <w:rsid w:val="004D146A"/>
    <w:rsid w:val="004D1651"/>
    <w:rsid w:val="004D17B7"/>
    <w:rsid w:val="004D4021"/>
    <w:rsid w:val="004D4F48"/>
    <w:rsid w:val="004D5141"/>
    <w:rsid w:val="004D598C"/>
    <w:rsid w:val="004D5F89"/>
    <w:rsid w:val="004D766B"/>
    <w:rsid w:val="004D7946"/>
    <w:rsid w:val="004D7BC1"/>
    <w:rsid w:val="004D7E72"/>
    <w:rsid w:val="004E0F96"/>
    <w:rsid w:val="004E1E00"/>
    <w:rsid w:val="004E332C"/>
    <w:rsid w:val="004E36B3"/>
    <w:rsid w:val="004E4859"/>
    <w:rsid w:val="004E792E"/>
    <w:rsid w:val="004F0248"/>
    <w:rsid w:val="004F1134"/>
    <w:rsid w:val="004F447E"/>
    <w:rsid w:val="004F4749"/>
    <w:rsid w:val="004F4AE4"/>
    <w:rsid w:val="004F5AA4"/>
    <w:rsid w:val="004F5F1A"/>
    <w:rsid w:val="0050220D"/>
    <w:rsid w:val="00502482"/>
    <w:rsid w:val="00503227"/>
    <w:rsid w:val="005035A6"/>
    <w:rsid w:val="005059AF"/>
    <w:rsid w:val="00506CE1"/>
    <w:rsid w:val="00512E74"/>
    <w:rsid w:val="00512FCE"/>
    <w:rsid w:val="00513F0C"/>
    <w:rsid w:val="00514B2E"/>
    <w:rsid w:val="005153F3"/>
    <w:rsid w:val="0051717A"/>
    <w:rsid w:val="00520623"/>
    <w:rsid w:val="00520D0F"/>
    <w:rsid w:val="00521759"/>
    <w:rsid w:val="00521D57"/>
    <w:rsid w:val="0052401A"/>
    <w:rsid w:val="005256F4"/>
    <w:rsid w:val="00526A63"/>
    <w:rsid w:val="00526C99"/>
    <w:rsid w:val="0053678A"/>
    <w:rsid w:val="00536F14"/>
    <w:rsid w:val="0053723F"/>
    <w:rsid w:val="0054021F"/>
    <w:rsid w:val="005402E8"/>
    <w:rsid w:val="00541D14"/>
    <w:rsid w:val="0054271C"/>
    <w:rsid w:val="0054333D"/>
    <w:rsid w:val="00543F0A"/>
    <w:rsid w:val="00544515"/>
    <w:rsid w:val="00544D89"/>
    <w:rsid w:val="005454B9"/>
    <w:rsid w:val="005523B1"/>
    <w:rsid w:val="005543FD"/>
    <w:rsid w:val="0055445D"/>
    <w:rsid w:val="00555588"/>
    <w:rsid w:val="005555EB"/>
    <w:rsid w:val="00555760"/>
    <w:rsid w:val="0055593D"/>
    <w:rsid w:val="00556ADB"/>
    <w:rsid w:val="00556D2F"/>
    <w:rsid w:val="00557278"/>
    <w:rsid w:val="00561B38"/>
    <w:rsid w:val="00562272"/>
    <w:rsid w:val="00562BF0"/>
    <w:rsid w:val="00564112"/>
    <w:rsid w:val="00566720"/>
    <w:rsid w:val="00567590"/>
    <w:rsid w:val="0057075F"/>
    <w:rsid w:val="0057140A"/>
    <w:rsid w:val="00572ED7"/>
    <w:rsid w:val="0057480F"/>
    <w:rsid w:val="0057507B"/>
    <w:rsid w:val="00577AD9"/>
    <w:rsid w:val="005810D7"/>
    <w:rsid w:val="00582667"/>
    <w:rsid w:val="00584BFE"/>
    <w:rsid w:val="00585F5E"/>
    <w:rsid w:val="005878C2"/>
    <w:rsid w:val="005914CE"/>
    <w:rsid w:val="005915C5"/>
    <w:rsid w:val="0059581A"/>
    <w:rsid w:val="00596790"/>
    <w:rsid w:val="00596979"/>
    <w:rsid w:val="0059715D"/>
    <w:rsid w:val="00597CD9"/>
    <w:rsid w:val="005A3DE0"/>
    <w:rsid w:val="005A7673"/>
    <w:rsid w:val="005A7B3E"/>
    <w:rsid w:val="005B1A73"/>
    <w:rsid w:val="005B2719"/>
    <w:rsid w:val="005B2C7E"/>
    <w:rsid w:val="005B563B"/>
    <w:rsid w:val="005B5A97"/>
    <w:rsid w:val="005B5CBA"/>
    <w:rsid w:val="005B5D0B"/>
    <w:rsid w:val="005B5F9F"/>
    <w:rsid w:val="005B6144"/>
    <w:rsid w:val="005B6574"/>
    <w:rsid w:val="005B6D55"/>
    <w:rsid w:val="005B72F2"/>
    <w:rsid w:val="005B74AE"/>
    <w:rsid w:val="005B788D"/>
    <w:rsid w:val="005B7AE3"/>
    <w:rsid w:val="005C0148"/>
    <w:rsid w:val="005C0882"/>
    <w:rsid w:val="005C1881"/>
    <w:rsid w:val="005C2E44"/>
    <w:rsid w:val="005C3748"/>
    <w:rsid w:val="005C411B"/>
    <w:rsid w:val="005C4771"/>
    <w:rsid w:val="005C524F"/>
    <w:rsid w:val="005C6D3C"/>
    <w:rsid w:val="005C7B2D"/>
    <w:rsid w:val="005D1BD1"/>
    <w:rsid w:val="005D275B"/>
    <w:rsid w:val="005D4A69"/>
    <w:rsid w:val="005E06CF"/>
    <w:rsid w:val="005E174A"/>
    <w:rsid w:val="005E3B81"/>
    <w:rsid w:val="005E4114"/>
    <w:rsid w:val="005E42BA"/>
    <w:rsid w:val="005E4AA7"/>
    <w:rsid w:val="005E5C06"/>
    <w:rsid w:val="005E5DDF"/>
    <w:rsid w:val="005E62F2"/>
    <w:rsid w:val="005E64D7"/>
    <w:rsid w:val="005E6FEA"/>
    <w:rsid w:val="005E74E2"/>
    <w:rsid w:val="005E7D2D"/>
    <w:rsid w:val="005F0333"/>
    <w:rsid w:val="005F06B9"/>
    <w:rsid w:val="005F08CE"/>
    <w:rsid w:val="005F0C6C"/>
    <w:rsid w:val="005F13E8"/>
    <w:rsid w:val="005F1575"/>
    <w:rsid w:val="005F1C40"/>
    <w:rsid w:val="005F1D37"/>
    <w:rsid w:val="005F2EC3"/>
    <w:rsid w:val="005F3111"/>
    <w:rsid w:val="005F44CE"/>
    <w:rsid w:val="005F4AF0"/>
    <w:rsid w:val="005F4B7D"/>
    <w:rsid w:val="005F4C05"/>
    <w:rsid w:val="005F6321"/>
    <w:rsid w:val="005F7211"/>
    <w:rsid w:val="006003EE"/>
    <w:rsid w:val="0060067D"/>
    <w:rsid w:val="006037D2"/>
    <w:rsid w:val="006065EB"/>
    <w:rsid w:val="00610D6F"/>
    <w:rsid w:val="00611CE2"/>
    <w:rsid w:val="00612C44"/>
    <w:rsid w:val="00613021"/>
    <w:rsid w:val="00614CD2"/>
    <w:rsid w:val="00620E5B"/>
    <w:rsid w:val="006219FB"/>
    <w:rsid w:val="00621E10"/>
    <w:rsid w:val="006220C7"/>
    <w:rsid w:val="006256E8"/>
    <w:rsid w:val="00625C39"/>
    <w:rsid w:val="00625F6E"/>
    <w:rsid w:val="00627CE3"/>
    <w:rsid w:val="00631319"/>
    <w:rsid w:val="006317C0"/>
    <w:rsid w:val="0063180D"/>
    <w:rsid w:val="00634906"/>
    <w:rsid w:val="00634967"/>
    <w:rsid w:val="00635CF2"/>
    <w:rsid w:val="00635FFC"/>
    <w:rsid w:val="00637CC6"/>
    <w:rsid w:val="00640037"/>
    <w:rsid w:val="00641452"/>
    <w:rsid w:val="00641EBC"/>
    <w:rsid w:val="00642C1B"/>
    <w:rsid w:val="00644A94"/>
    <w:rsid w:val="00644FF3"/>
    <w:rsid w:val="00645807"/>
    <w:rsid w:val="006511CC"/>
    <w:rsid w:val="00651628"/>
    <w:rsid w:val="0065169D"/>
    <w:rsid w:val="00651C07"/>
    <w:rsid w:val="006523F1"/>
    <w:rsid w:val="00652F75"/>
    <w:rsid w:val="006540C8"/>
    <w:rsid w:val="00654CC4"/>
    <w:rsid w:val="00655E3C"/>
    <w:rsid w:val="006561B5"/>
    <w:rsid w:val="006567CB"/>
    <w:rsid w:val="00657796"/>
    <w:rsid w:val="00657D13"/>
    <w:rsid w:val="00662055"/>
    <w:rsid w:val="006624BA"/>
    <w:rsid w:val="00664269"/>
    <w:rsid w:val="00664587"/>
    <w:rsid w:val="00665671"/>
    <w:rsid w:val="00665873"/>
    <w:rsid w:val="0066654E"/>
    <w:rsid w:val="00666566"/>
    <w:rsid w:val="0066722A"/>
    <w:rsid w:val="00667D60"/>
    <w:rsid w:val="00671663"/>
    <w:rsid w:val="00673007"/>
    <w:rsid w:val="006732DE"/>
    <w:rsid w:val="00675BA4"/>
    <w:rsid w:val="00676462"/>
    <w:rsid w:val="00676E1D"/>
    <w:rsid w:val="00676EC6"/>
    <w:rsid w:val="00677BCA"/>
    <w:rsid w:val="00677C0D"/>
    <w:rsid w:val="00677C8D"/>
    <w:rsid w:val="00677E8B"/>
    <w:rsid w:val="00677FB7"/>
    <w:rsid w:val="006807CA"/>
    <w:rsid w:val="0068266F"/>
    <w:rsid w:val="00683703"/>
    <w:rsid w:val="00683BC5"/>
    <w:rsid w:val="006840CC"/>
    <w:rsid w:val="00686A15"/>
    <w:rsid w:val="006872EA"/>
    <w:rsid w:val="006878CB"/>
    <w:rsid w:val="00690F66"/>
    <w:rsid w:val="00691AE7"/>
    <w:rsid w:val="00692F64"/>
    <w:rsid w:val="00693D02"/>
    <w:rsid w:val="00693EA2"/>
    <w:rsid w:val="006950EC"/>
    <w:rsid w:val="006A0585"/>
    <w:rsid w:val="006A23AF"/>
    <w:rsid w:val="006A58E4"/>
    <w:rsid w:val="006A5B6F"/>
    <w:rsid w:val="006B0E95"/>
    <w:rsid w:val="006B2C02"/>
    <w:rsid w:val="006B392C"/>
    <w:rsid w:val="006B3C39"/>
    <w:rsid w:val="006B60DA"/>
    <w:rsid w:val="006B73B6"/>
    <w:rsid w:val="006C0D45"/>
    <w:rsid w:val="006C2117"/>
    <w:rsid w:val="006C2543"/>
    <w:rsid w:val="006C2B08"/>
    <w:rsid w:val="006C3B22"/>
    <w:rsid w:val="006C50F6"/>
    <w:rsid w:val="006C5715"/>
    <w:rsid w:val="006C7948"/>
    <w:rsid w:val="006C7AFA"/>
    <w:rsid w:val="006D2891"/>
    <w:rsid w:val="006D2E2B"/>
    <w:rsid w:val="006D3A52"/>
    <w:rsid w:val="006D5406"/>
    <w:rsid w:val="006D5660"/>
    <w:rsid w:val="006D6A6A"/>
    <w:rsid w:val="006D77A2"/>
    <w:rsid w:val="006E068E"/>
    <w:rsid w:val="006E0D73"/>
    <w:rsid w:val="006E1D9E"/>
    <w:rsid w:val="006E2102"/>
    <w:rsid w:val="006E3458"/>
    <w:rsid w:val="006E36AB"/>
    <w:rsid w:val="006E7254"/>
    <w:rsid w:val="006F02AB"/>
    <w:rsid w:val="006F0312"/>
    <w:rsid w:val="006F11B3"/>
    <w:rsid w:val="006F1A80"/>
    <w:rsid w:val="006F2556"/>
    <w:rsid w:val="006F2585"/>
    <w:rsid w:val="006F37CE"/>
    <w:rsid w:val="006F3E73"/>
    <w:rsid w:val="006F4336"/>
    <w:rsid w:val="006F63DB"/>
    <w:rsid w:val="006F6C6D"/>
    <w:rsid w:val="00702DC8"/>
    <w:rsid w:val="00703C28"/>
    <w:rsid w:val="00704137"/>
    <w:rsid w:val="0070476B"/>
    <w:rsid w:val="00707783"/>
    <w:rsid w:val="00707C24"/>
    <w:rsid w:val="00707FA9"/>
    <w:rsid w:val="007105DA"/>
    <w:rsid w:val="00710829"/>
    <w:rsid w:val="00711C7D"/>
    <w:rsid w:val="00712054"/>
    <w:rsid w:val="00712322"/>
    <w:rsid w:val="00715CF9"/>
    <w:rsid w:val="00715FBA"/>
    <w:rsid w:val="007174D3"/>
    <w:rsid w:val="007207F6"/>
    <w:rsid w:val="00723307"/>
    <w:rsid w:val="0072459E"/>
    <w:rsid w:val="00725825"/>
    <w:rsid w:val="00726C0F"/>
    <w:rsid w:val="0072744C"/>
    <w:rsid w:val="00730749"/>
    <w:rsid w:val="00730B46"/>
    <w:rsid w:val="007327B5"/>
    <w:rsid w:val="007336BE"/>
    <w:rsid w:val="00734969"/>
    <w:rsid w:val="00734C02"/>
    <w:rsid w:val="00735820"/>
    <w:rsid w:val="00736339"/>
    <w:rsid w:val="0073725B"/>
    <w:rsid w:val="00737D6E"/>
    <w:rsid w:val="00737D92"/>
    <w:rsid w:val="00737F90"/>
    <w:rsid w:val="0074007E"/>
    <w:rsid w:val="00741E3B"/>
    <w:rsid w:val="00742027"/>
    <w:rsid w:val="0074209A"/>
    <w:rsid w:val="00743998"/>
    <w:rsid w:val="00744B91"/>
    <w:rsid w:val="00745077"/>
    <w:rsid w:val="00745C84"/>
    <w:rsid w:val="00751034"/>
    <w:rsid w:val="007510C6"/>
    <w:rsid w:val="0075118C"/>
    <w:rsid w:val="0075285C"/>
    <w:rsid w:val="007528D1"/>
    <w:rsid w:val="00754729"/>
    <w:rsid w:val="007555BD"/>
    <w:rsid w:val="00755919"/>
    <w:rsid w:val="00755CF3"/>
    <w:rsid w:val="007563ED"/>
    <w:rsid w:val="007567E3"/>
    <w:rsid w:val="00756836"/>
    <w:rsid w:val="00757855"/>
    <w:rsid w:val="007613BA"/>
    <w:rsid w:val="007622F6"/>
    <w:rsid w:val="00762A1A"/>
    <w:rsid w:val="0076589B"/>
    <w:rsid w:val="00765CDD"/>
    <w:rsid w:val="00765E65"/>
    <w:rsid w:val="00767207"/>
    <w:rsid w:val="00767F4B"/>
    <w:rsid w:val="00770A60"/>
    <w:rsid w:val="00770DEE"/>
    <w:rsid w:val="00772766"/>
    <w:rsid w:val="00772AF4"/>
    <w:rsid w:val="00774608"/>
    <w:rsid w:val="00775C57"/>
    <w:rsid w:val="007771D7"/>
    <w:rsid w:val="007801CE"/>
    <w:rsid w:val="0078033F"/>
    <w:rsid w:val="007806C9"/>
    <w:rsid w:val="00780FCC"/>
    <w:rsid w:val="00782369"/>
    <w:rsid w:val="0078394F"/>
    <w:rsid w:val="007850DF"/>
    <w:rsid w:val="00785960"/>
    <w:rsid w:val="00785A1E"/>
    <w:rsid w:val="00785B74"/>
    <w:rsid w:val="00786F06"/>
    <w:rsid w:val="00790A20"/>
    <w:rsid w:val="007911FA"/>
    <w:rsid w:val="00793279"/>
    <w:rsid w:val="00793C49"/>
    <w:rsid w:val="00794DE6"/>
    <w:rsid w:val="00795562"/>
    <w:rsid w:val="00796254"/>
    <w:rsid w:val="007974E4"/>
    <w:rsid w:val="007A12B7"/>
    <w:rsid w:val="007A1783"/>
    <w:rsid w:val="007A1B98"/>
    <w:rsid w:val="007A1D97"/>
    <w:rsid w:val="007A1E74"/>
    <w:rsid w:val="007A317D"/>
    <w:rsid w:val="007A6C15"/>
    <w:rsid w:val="007B0159"/>
    <w:rsid w:val="007B0765"/>
    <w:rsid w:val="007B0812"/>
    <w:rsid w:val="007B09AA"/>
    <w:rsid w:val="007B21C8"/>
    <w:rsid w:val="007B2CC5"/>
    <w:rsid w:val="007B5744"/>
    <w:rsid w:val="007B5CAD"/>
    <w:rsid w:val="007B673C"/>
    <w:rsid w:val="007B7CF6"/>
    <w:rsid w:val="007C159D"/>
    <w:rsid w:val="007C267A"/>
    <w:rsid w:val="007C4796"/>
    <w:rsid w:val="007C4CAD"/>
    <w:rsid w:val="007C50B4"/>
    <w:rsid w:val="007C5E9E"/>
    <w:rsid w:val="007C6EFD"/>
    <w:rsid w:val="007C74C7"/>
    <w:rsid w:val="007D03B1"/>
    <w:rsid w:val="007D0863"/>
    <w:rsid w:val="007D27BB"/>
    <w:rsid w:val="007D2BFD"/>
    <w:rsid w:val="007D2D2E"/>
    <w:rsid w:val="007D4B60"/>
    <w:rsid w:val="007D7303"/>
    <w:rsid w:val="007E11AD"/>
    <w:rsid w:val="007E1F03"/>
    <w:rsid w:val="007E24B0"/>
    <w:rsid w:val="007E58E0"/>
    <w:rsid w:val="007F0982"/>
    <w:rsid w:val="007F4AB3"/>
    <w:rsid w:val="007F5429"/>
    <w:rsid w:val="007F56DC"/>
    <w:rsid w:val="007F576E"/>
    <w:rsid w:val="007F6876"/>
    <w:rsid w:val="0080023E"/>
    <w:rsid w:val="0080145B"/>
    <w:rsid w:val="00802222"/>
    <w:rsid w:val="00802E25"/>
    <w:rsid w:val="00804568"/>
    <w:rsid w:val="00804E84"/>
    <w:rsid w:val="008057ED"/>
    <w:rsid w:val="00805C43"/>
    <w:rsid w:val="00805DD9"/>
    <w:rsid w:val="00805EA3"/>
    <w:rsid w:val="0080616C"/>
    <w:rsid w:val="00806D94"/>
    <w:rsid w:val="00807EEE"/>
    <w:rsid w:val="00810545"/>
    <w:rsid w:val="00812BFD"/>
    <w:rsid w:val="0081327D"/>
    <w:rsid w:val="00814CB4"/>
    <w:rsid w:val="0081794F"/>
    <w:rsid w:val="008179FB"/>
    <w:rsid w:val="0082169D"/>
    <w:rsid w:val="00821836"/>
    <w:rsid w:val="008227D6"/>
    <w:rsid w:val="00822947"/>
    <w:rsid w:val="00823BC4"/>
    <w:rsid w:val="00824396"/>
    <w:rsid w:val="008243C1"/>
    <w:rsid w:val="008247D8"/>
    <w:rsid w:val="00826148"/>
    <w:rsid w:val="00826BE4"/>
    <w:rsid w:val="008279BD"/>
    <w:rsid w:val="00827E7C"/>
    <w:rsid w:val="0083328B"/>
    <w:rsid w:val="00834428"/>
    <w:rsid w:val="00835E32"/>
    <w:rsid w:val="00835EF1"/>
    <w:rsid w:val="0083626D"/>
    <w:rsid w:val="0083716B"/>
    <w:rsid w:val="00837268"/>
    <w:rsid w:val="00837C7A"/>
    <w:rsid w:val="008425E0"/>
    <w:rsid w:val="008445FB"/>
    <w:rsid w:val="00844CD0"/>
    <w:rsid w:val="00845180"/>
    <w:rsid w:val="00846431"/>
    <w:rsid w:val="00846482"/>
    <w:rsid w:val="00850101"/>
    <w:rsid w:val="0085068E"/>
    <w:rsid w:val="00851A3D"/>
    <w:rsid w:val="00851BC0"/>
    <w:rsid w:val="008522F6"/>
    <w:rsid w:val="00854826"/>
    <w:rsid w:val="008551B0"/>
    <w:rsid w:val="008552BB"/>
    <w:rsid w:val="00855623"/>
    <w:rsid w:val="008564D3"/>
    <w:rsid w:val="0086007E"/>
    <w:rsid w:val="00861D1C"/>
    <w:rsid w:val="00862059"/>
    <w:rsid w:val="00863919"/>
    <w:rsid w:val="00863EF8"/>
    <w:rsid w:val="00866E82"/>
    <w:rsid w:val="0086799E"/>
    <w:rsid w:val="0087065F"/>
    <w:rsid w:val="00871BE3"/>
    <w:rsid w:val="008733D0"/>
    <w:rsid w:val="0087540B"/>
    <w:rsid w:val="00875996"/>
    <w:rsid w:val="0087673A"/>
    <w:rsid w:val="00876CE7"/>
    <w:rsid w:val="00877057"/>
    <w:rsid w:val="00877525"/>
    <w:rsid w:val="008778D7"/>
    <w:rsid w:val="00880238"/>
    <w:rsid w:val="00882273"/>
    <w:rsid w:val="00883ED7"/>
    <w:rsid w:val="00885E1D"/>
    <w:rsid w:val="008862E0"/>
    <w:rsid w:val="008918CF"/>
    <w:rsid w:val="00892F8A"/>
    <w:rsid w:val="0089537D"/>
    <w:rsid w:val="00895C51"/>
    <w:rsid w:val="008965D0"/>
    <w:rsid w:val="00896BDD"/>
    <w:rsid w:val="0089740C"/>
    <w:rsid w:val="008A158B"/>
    <w:rsid w:val="008A3464"/>
    <w:rsid w:val="008A3997"/>
    <w:rsid w:val="008A483B"/>
    <w:rsid w:val="008A4B96"/>
    <w:rsid w:val="008A5617"/>
    <w:rsid w:val="008B0A1A"/>
    <w:rsid w:val="008B0CB1"/>
    <w:rsid w:val="008B1B8A"/>
    <w:rsid w:val="008B245A"/>
    <w:rsid w:val="008B37BD"/>
    <w:rsid w:val="008B3FBD"/>
    <w:rsid w:val="008B4DBF"/>
    <w:rsid w:val="008B56EB"/>
    <w:rsid w:val="008B5F8B"/>
    <w:rsid w:val="008B6315"/>
    <w:rsid w:val="008B6571"/>
    <w:rsid w:val="008B6C5B"/>
    <w:rsid w:val="008B6FA4"/>
    <w:rsid w:val="008B7C23"/>
    <w:rsid w:val="008C18E6"/>
    <w:rsid w:val="008C1E61"/>
    <w:rsid w:val="008C25F7"/>
    <w:rsid w:val="008C294F"/>
    <w:rsid w:val="008C2DC0"/>
    <w:rsid w:val="008C4806"/>
    <w:rsid w:val="008C511B"/>
    <w:rsid w:val="008C73B9"/>
    <w:rsid w:val="008D258D"/>
    <w:rsid w:val="008D2708"/>
    <w:rsid w:val="008D3EB4"/>
    <w:rsid w:val="008D41EA"/>
    <w:rsid w:val="008D5408"/>
    <w:rsid w:val="008D79E2"/>
    <w:rsid w:val="008D7B04"/>
    <w:rsid w:val="008D7ED8"/>
    <w:rsid w:val="008E01EE"/>
    <w:rsid w:val="008E0E77"/>
    <w:rsid w:val="008E2487"/>
    <w:rsid w:val="008E357D"/>
    <w:rsid w:val="008E75F7"/>
    <w:rsid w:val="008F0341"/>
    <w:rsid w:val="008F05C1"/>
    <w:rsid w:val="008F16A8"/>
    <w:rsid w:val="008F1C36"/>
    <w:rsid w:val="008F3912"/>
    <w:rsid w:val="008F5756"/>
    <w:rsid w:val="008F6C21"/>
    <w:rsid w:val="008F6DE6"/>
    <w:rsid w:val="00901066"/>
    <w:rsid w:val="00902C90"/>
    <w:rsid w:val="00903A82"/>
    <w:rsid w:val="00904AFF"/>
    <w:rsid w:val="00906CBB"/>
    <w:rsid w:val="0091012B"/>
    <w:rsid w:val="00910788"/>
    <w:rsid w:val="00910FB5"/>
    <w:rsid w:val="00911F6E"/>
    <w:rsid w:val="0091240F"/>
    <w:rsid w:val="00912DA6"/>
    <w:rsid w:val="00914C10"/>
    <w:rsid w:val="00915116"/>
    <w:rsid w:val="00915517"/>
    <w:rsid w:val="0091731B"/>
    <w:rsid w:val="00917E66"/>
    <w:rsid w:val="00921654"/>
    <w:rsid w:val="009235D1"/>
    <w:rsid w:val="00923E3F"/>
    <w:rsid w:val="00924390"/>
    <w:rsid w:val="00925DDC"/>
    <w:rsid w:val="009266A5"/>
    <w:rsid w:val="00930183"/>
    <w:rsid w:val="00931E11"/>
    <w:rsid w:val="00932431"/>
    <w:rsid w:val="0093363D"/>
    <w:rsid w:val="00934578"/>
    <w:rsid w:val="00934629"/>
    <w:rsid w:val="009349E9"/>
    <w:rsid w:val="00935A85"/>
    <w:rsid w:val="00936B6E"/>
    <w:rsid w:val="0093731B"/>
    <w:rsid w:val="009419D4"/>
    <w:rsid w:val="00941BEF"/>
    <w:rsid w:val="009537B6"/>
    <w:rsid w:val="00954035"/>
    <w:rsid w:val="00955D40"/>
    <w:rsid w:val="00956C75"/>
    <w:rsid w:val="00956F56"/>
    <w:rsid w:val="00961AA5"/>
    <w:rsid w:val="00961D45"/>
    <w:rsid w:val="00964631"/>
    <w:rsid w:val="009646E1"/>
    <w:rsid w:val="00966187"/>
    <w:rsid w:val="0097043B"/>
    <w:rsid w:val="009749F8"/>
    <w:rsid w:val="00975F09"/>
    <w:rsid w:val="009769FA"/>
    <w:rsid w:val="00977E68"/>
    <w:rsid w:val="00984567"/>
    <w:rsid w:val="00986888"/>
    <w:rsid w:val="00987F53"/>
    <w:rsid w:val="00991B59"/>
    <w:rsid w:val="0099215C"/>
    <w:rsid w:val="00993A32"/>
    <w:rsid w:val="00995B9F"/>
    <w:rsid w:val="00995CA7"/>
    <w:rsid w:val="00997950"/>
    <w:rsid w:val="009A02CC"/>
    <w:rsid w:val="009A10E1"/>
    <w:rsid w:val="009A1239"/>
    <w:rsid w:val="009A255E"/>
    <w:rsid w:val="009A3E02"/>
    <w:rsid w:val="009A56A6"/>
    <w:rsid w:val="009A5D57"/>
    <w:rsid w:val="009A6F70"/>
    <w:rsid w:val="009A7FDF"/>
    <w:rsid w:val="009B20B4"/>
    <w:rsid w:val="009B20EB"/>
    <w:rsid w:val="009B254F"/>
    <w:rsid w:val="009B2943"/>
    <w:rsid w:val="009B2ADF"/>
    <w:rsid w:val="009B3019"/>
    <w:rsid w:val="009B30A1"/>
    <w:rsid w:val="009B4745"/>
    <w:rsid w:val="009B7CD1"/>
    <w:rsid w:val="009C0F2C"/>
    <w:rsid w:val="009C12EA"/>
    <w:rsid w:val="009C1544"/>
    <w:rsid w:val="009C1CB0"/>
    <w:rsid w:val="009C3338"/>
    <w:rsid w:val="009C39E8"/>
    <w:rsid w:val="009C3C50"/>
    <w:rsid w:val="009C58E1"/>
    <w:rsid w:val="009C6AE7"/>
    <w:rsid w:val="009C6E56"/>
    <w:rsid w:val="009C70A7"/>
    <w:rsid w:val="009C7719"/>
    <w:rsid w:val="009C7A7D"/>
    <w:rsid w:val="009C7F98"/>
    <w:rsid w:val="009D0120"/>
    <w:rsid w:val="009D0B4B"/>
    <w:rsid w:val="009D1EA8"/>
    <w:rsid w:val="009D2E39"/>
    <w:rsid w:val="009D48F7"/>
    <w:rsid w:val="009D6503"/>
    <w:rsid w:val="009D668C"/>
    <w:rsid w:val="009D7C25"/>
    <w:rsid w:val="009E0059"/>
    <w:rsid w:val="009E10DC"/>
    <w:rsid w:val="009E27A2"/>
    <w:rsid w:val="009E321B"/>
    <w:rsid w:val="009E37AF"/>
    <w:rsid w:val="009E4E7D"/>
    <w:rsid w:val="009E700C"/>
    <w:rsid w:val="009F12F8"/>
    <w:rsid w:val="009F179F"/>
    <w:rsid w:val="009F30AA"/>
    <w:rsid w:val="009F67FB"/>
    <w:rsid w:val="009F7A41"/>
    <w:rsid w:val="00A0164B"/>
    <w:rsid w:val="00A01955"/>
    <w:rsid w:val="00A0209D"/>
    <w:rsid w:val="00A03BFB"/>
    <w:rsid w:val="00A03E28"/>
    <w:rsid w:val="00A05011"/>
    <w:rsid w:val="00A057B8"/>
    <w:rsid w:val="00A057EA"/>
    <w:rsid w:val="00A05FFF"/>
    <w:rsid w:val="00A060A4"/>
    <w:rsid w:val="00A114A4"/>
    <w:rsid w:val="00A145EF"/>
    <w:rsid w:val="00A169C9"/>
    <w:rsid w:val="00A16AF9"/>
    <w:rsid w:val="00A20FD8"/>
    <w:rsid w:val="00A30633"/>
    <w:rsid w:val="00A3305E"/>
    <w:rsid w:val="00A3339D"/>
    <w:rsid w:val="00A34685"/>
    <w:rsid w:val="00A35B62"/>
    <w:rsid w:val="00A37403"/>
    <w:rsid w:val="00A37457"/>
    <w:rsid w:val="00A374AC"/>
    <w:rsid w:val="00A40C15"/>
    <w:rsid w:val="00A41D99"/>
    <w:rsid w:val="00A42913"/>
    <w:rsid w:val="00A44246"/>
    <w:rsid w:val="00A45CC8"/>
    <w:rsid w:val="00A51E27"/>
    <w:rsid w:val="00A54E28"/>
    <w:rsid w:val="00A55D19"/>
    <w:rsid w:val="00A55F6F"/>
    <w:rsid w:val="00A56CDB"/>
    <w:rsid w:val="00A609B8"/>
    <w:rsid w:val="00A626C4"/>
    <w:rsid w:val="00A62885"/>
    <w:rsid w:val="00A62B16"/>
    <w:rsid w:val="00A63A5A"/>
    <w:rsid w:val="00A646FC"/>
    <w:rsid w:val="00A64DCE"/>
    <w:rsid w:val="00A661FE"/>
    <w:rsid w:val="00A66579"/>
    <w:rsid w:val="00A7040A"/>
    <w:rsid w:val="00A7099C"/>
    <w:rsid w:val="00A70DAB"/>
    <w:rsid w:val="00A71F19"/>
    <w:rsid w:val="00A721BE"/>
    <w:rsid w:val="00A73D31"/>
    <w:rsid w:val="00A750BF"/>
    <w:rsid w:val="00A773ED"/>
    <w:rsid w:val="00A80225"/>
    <w:rsid w:val="00A81EA5"/>
    <w:rsid w:val="00A846EA"/>
    <w:rsid w:val="00A847A8"/>
    <w:rsid w:val="00A84953"/>
    <w:rsid w:val="00A85910"/>
    <w:rsid w:val="00A86E32"/>
    <w:rsid w:val="00A87643"/>
    <w:rsid w:val="00A90022"/>
    <w:rsid w:val="00A908F5"/>
    <w:rsid w:val="00A92491"/>
    <w:rsid w:val="00A94A42"/>
    <w:rsid w:val="00A94BF8"/>
    <w:rsid w:val="00A96C10"/>
    <w:rsid w:val="00A97427"/>
    <w:rsid w:val="00AA09AC"/>
    <w:rsid w:val="00AA1240"/>
    <w:rsid w:val="00AA1C5B"/>
    <w:rsid w:val="00AA2FBC"/>
    <w:rsid w:val="00AA5740"/>
    <w:rsid w:val="00AA5A3C"/>
    <w:rsid w:val="00AA5D7A"/>
    <w:rsid w:val="00AA68A8"/>
    <w:rsid w:val="00AA6D4A"/>
    <w:rsid w:val="00AB0D63"/>
    <w:rsid w:val="00AB1770"/>
    <w:rsid w:val="00AB36CA"/>
    <w:rsid w:val="00AB3899"/>
    <w:rsid w:val="00AB3B75"/>
    <w:rsid w:val="00AB5356"/>
    <w:rsid w:val="00AB57FE"/>
    <w:rsid w:val="00AB74B2"/>
    <w:rsid w:val="00AB74F5"/>
    <w:rsid w:val="00AC1579"/>
    <w:rsid w:val="00AC16B3"/>
    <w:rsid w:val="00AC1A8B"/>
    <w:rsid w:val="00AC284D"/>
    <w:rsid w:val="00AC3399"/>
    <w:rsid w:val="00AC40C9"/>
    <w:rsid w:val="00AC502A"/>
    <w:rsid w:val="00AC5CB6"/>
    <w:rsid w:val="00AC6695"/>
    <w:rsid w:val="00AD1D4E"/>
    <w:rsid w:val="00AD1F03"/>
    <w:rsid w:val="00AD2598"/>
    <w:rsid w:val="00AE003B"/>
    <w:rsid w:val="00AE025F"/>
    <w:rsid w:val="00AE0342"/>
    <w:rsid w:val="00AE09C5"/>
    <w:rsid w:val="00AE0F0A"/>
    <w:rsid w:val="00AE229D"/>
    <w:rsid w:val="00AE26DA"/>
    <w:rsid w:val="00AE34DF"/>
    <w:rsid w:val="00AE3EA9"/>
    <w:rsid w:val="00AE41B1"/>
    <w:rsid w:val="00AE423B"/>
    <w:rsid w:val="00AE6DBA"/>
    <w:rsid w:val="00AE7224"/>
    <w:rsid w:val="00AE7355"/>
    <w:rsid w:val="00AF123E"/>
    <w:rsid w:val="00AF24EE"/>
    <w:rsid w:val="00AF3D39"/>
    <w:rsid w:val="00AF6E5F"/>
    <w:rsid w:val="00AF7377"/>
    <w:rsid w:val="00AF7AA9"/>
    <w:rsid w:val="00B03A80"/>
    <w:rsid w:val="00B04975"/>
    <w:rsid w:val="00B04A5B"/>
    <w:rsid w:val="00B06D75"/>
    <w:rsid w:val="00B077AD"/>
    <w:rsid w:val="00B07E6E"/>
    <w:rsid w:val="00B127EA"/>
    <w:rsid w:val="00B148BA"/>
    <w:rsid w:val="00B14904"/>
    <w:rsid w:val="00B1710B"/>
    <w:rsid w:val="00B17320"/>
    <w:rsid w:val="00B17CCC"/>
    <w:rsid w:val="00B17EAB"/>
    <w:rsid w:val="00B202CF"/>
    <w:rsid w:val="00B21AED"/>
    <w:rsid w:val="00B255F8"/>
    <w:rsid w:val="00B279E0"/>
    <w:rsid w:val="00B3015E"/>
    <w:rsid w:val="00B31A87"/>
    <w:rsid w:val="00B32189"/>
    <w:rsid w:val="00B32298"/>
    <w:rsid w:val="00B331B4"/>
    <w:rsid w:val="00B33B46"/>
    <w:rsid w:val="00B34503"/>
    <w:rsid w:val="00B350A9"/>
    <w:rsid w:val="00B35E81"/>
    <w:rsid w:val="00B36524"/>
    <w:rsid w:val="00B3778C"/>
    <w:rsid w:val="00B4063E"/>
    <w:rsid w:val="00B40A28"/>
    <w:rsid w:val="00B40B50"/>
    <w:rsid w:val="00B4244D"/>
    <w:rsid w:val="00B425D5"/>
    <w:rsid w:val="00B42E97"/>
    <w:rsid w:val="00B44EAA"/>
    <w:rsid w:val="00B45023"/>
    <w:rsid w:val="00B45388"/>
    <w:rsid w:val="00B45BAF"/>
    <w:rsid w:val="00B45C45"/>
    <w:rsid w:val="00B45E1B"/>
    <w:rsid w:val="00B46B6D"/>
    <w:rsid w:val="00B473EA"/>
    <w:rsid w:val="00B5028F"/>
    <w:rsid w:val="00B51543"/>
    <w:rsid w:val="00B534D6"/>
    <w:rsid w:val="00B56309"/>
    <w:rsid w:val="00B60B4A"/>
    <w:rsid w:val="00B611E8"/>
    <w:rsid w:val="00B6611B"/>
    <w:rsid w:val="00B6663B"/>
    <w:rsid w:val="00B67484"/>
    <w:rsid w:val="00B70260"/>
    <w:rsid w:val="00B705EF"/>
    <w:rsid w:val="00B72DAF"/>
    <w:rsid w:val="00B74D88"/>
    <w:rsid w:val="00B74E62"/>
    <w:rsid w:val="00B76E56"/>
    <w:rsid w:val="00B76FE9"/>
    <w:rsid w:val="00B803BE"/>
    <w:rsid w:val="00B80F06"/>
    <w:rsid w:val="00B819CD"/>
    <w:rsid w:val="00B84FCD"/>
    <w:rsid w:val="00B91B53"/>
    <w:rsid w:val="00B924B2"/>
    <w:rsid w:val="00B973DE"/>
    <w:rsid w:val="00B97B1F"/>
    <w:rsid w:val="00BA2568"/>
    <w:rsid w:val="00BA4458"/>
    <w:rsid w:val="00BA4F3D"/>
    <w:rsid w:val="00BA588D"/>
    <w:rsid w:val="00BA77BB"/>
    <w:rsid w:val="00BA7A79"/>
    <w:rsid w:val="00BB2633"/>
    <w:rsid w:val="00BB3F8D"/>
    <w:rsid w:val="00BB40CE"/>
    <w:rsid w:val="00BB60BB"/>
    <w:rsid w:val="00BB631C"/>
    <w:rsid w:val="00BB63C4"/>
    <w:rsid w:val="00BC0C46"/>
    <w:rsid w:val="00BC0DFA"/>
    <w:rsid w:val="00BC1DF9"/>
    <w:rsid w:val="00BC212D"/>
    <w:rsid w:val="00BC288B"/>
    <w:rsid w:val="00BC301E"/>
    <w:rsid w:val="00BC465E"/>
    <w:rsid w:val="00BC5D8C"/>
    <w:rsid w:val="00BC78B1"/>
    <w:rsid w:val="00BD0573"/>
    <w:rsid w:val="00BD0784"/>
    <w:rsid w:val="00BD1846"/>
    <w:rsid w:val="00BD492B"/>
    <w:rsid w:val="00BD5688"/>
    <w:rsid w:val="00BD6160"/>
    <w:rsid w:val="00BD6D20"/>
    <w:rsid w:val="00BD76C0"/>
    <w:rsid w:val="00BD7B48"/>
    <w:rsid w:val="00BD7CEF"/>
    <w:rsid w:val="00BE0281"/>
    <w:rsid w:val="00BE15E4"/>
    <w:rsid w:val="00BE2380"/>
    <w:rsid w:val="00BE3694"/>
    <w:rsid w:val="00BE484F"/>
    <w:rsid w:val="00BE5433"/>
    <w:rsid w:val="00BF0555"/>
    <w:rsid w:val="00BF172A"/>
    <w:rsid w:val="00BF1C52"/>
    <w:rsid w:val="00BF21B8"/>
    <w:rsid w:val="00BF407F"/>
    <w:rsid w:val="00BF7C1B"/>
    <w:rsid w:val="00C00278"/>
    <w:rsid w:val="00C019D3"/>
    <w:rsid w:val="00C0238F"/>
    <w:rsid w:val="00C0394D"/>
    <w:rsid w:val="00C03AB4"/>
    <w:rsid w:val="00C03E41"/>
    <w:rsid w:val="00C0471A"/>
    <w:rsid w:val="00C05F5E"/>
    <w:rsid w:val="00C06A18"/>
    <w:rsid w:val="00C115CC"/>
    <w:rsid w:val="00C12793"/>
    <w:rsid w:val="00C13F4A"/>
    <w:rsid w:val="00C14E5F"/>
    <w:rsid w:val="00C15293"/>
    <w:rsid w:val="00C20287"/>
    <w:rsid w:val="00C24FE7"/>
    <w:rsid w:val="00C25054"/>
    <w:rsid w:val="00C274DA"/>
    <w:rsid w:val="00C314BF"/>
    <w:rsid w:val="00C33113"/>
    <w:rsid w:val="00C34B53"/>
    <w:rsid w:val="00C36E98"/>
    <w:rsid w:val="00C36FAF"/>
    <w:rsid w:val="00C40050"/>
    <w:rsid w:val="00C41C85"/>
    <w:rsid w:val="00C44EFB"/>
    <w:rsid w:val="00C46FAC"/>
    <w:rsid w:val="00C472BE"/>
    <w:rsid w:val="00C508A2"/>
    <w:rsid w:val="00C527F1"/>
    <w:rsid w:val="00C54F6E"/>
    <w:rsid w:val="00C55242"/>
    <w:rsid w:val="00C57173"/>
    <w:rsid w:val="00C6022E"/>
    <w:rsid w:val="00C602F4"/>
    <w:rsid w:val="00C609AE"/>
    <w:rsid w:val="00C617AD"/>
    <w:rsid w:val="00C6422B"/>
    <w:rsid w:val="00C6475C"/>
    <w:rsid w:val="00C649AA"/>
    <w:rsid w:val="00C66EB5"/>
    <w:rsid w:val="00C70D2C"/>
    <w:rsid w:val="00C71256"/>
    <w:rsid w:val="00C721ED"/>
    <w:rsid w:val="00C728B3"/>
    <w:rsid w:val="00C741C4"/>
    <w:rsid w:val="00C7481B"/>
    <w:rsid w:val="00C74B84"/>
    <w:rsid w:val="00C75611"/>
    <w:rsid w:val="00C76C16"/>
    <w:rsid w:val="00C802B7"/>
    <w:rsid w:val="00C805E9"/>
    <w:rsid w:val="00C81A8F"/>
    <w:rsid w:val="00C84164"/>
    <w:rsid w:val="00C84F87"/>
    <w:rsid w:val="00C8724C"/>
    <w:rsid w:val="00C87432"/>
    <w:rsid w:val="00C87B4E"/>
    <w:rsid w:val="00C90932"/>
    <w:rsid w:val="00C9139B"/>
    <w:rsid w:val="00C913D2"/>
    <w:rsid w:val="00C93824"/>
    <w:rsid w:val="00C93ACF"/>
    <w:rsid w:val="00C93FF5"/>
    <w:rsid w:val="00C967E7"/>
    <w:rsid w:val="00CA0418"/>
    <w:rsid w:val="00CA0BB3"/>
    <w:rsid w:val="00CA182E"/>
    <w:rsid w:val="00CA23EE"/>
    <w:rsid w:val="00CA3D9C"/>
    <w:rsid w:val="00CA64BB"/>
    <w:rsid w:val="00CB344F"/>
    <w:rsid w:val="00CB45D1"/>
    <w:rsid w:val="00CC07FF"/>
    <w:rsid w:val="00CC0FDC"/>
    <w:rsid w:val="00CC128A"/>
    <w:rsid w:val="00CC1CFC"/>
    <w:rsid w:val="00CC2951"/>
    <w:rsid w:val="00CC3664"/>
    <w:rsid w:val="00CC58A3"/>
    <w:rsid w:val="00CC66B4"/>
    <w:rsid w:val="00CC745A"/>
    <w:rsid w:val="00CD0DEF"/>
    <w:rsid w:val="00CD0ECC"/>
    <w:rsid w:val="00CD1B39"/>
    <w:rsid w:val="00CD3262"/>
    <w:rsid w:val="00CD3B0C"/>
    <w:rsid w:val="00CD3DBD"/>
    <w:rsid w:val="00CD4C66"/>
    <w:rsid w:val="00CD4C9E"/>
    <w:rsid w:val="00CD5215"/>
    <w:rsid w:val="00CD54D7"/>
    <w:rsid w:val="00CD6ACD"/>
    <w:rsid w:val="00CD7949"/>
    <w:rsid w:val="00CE4E31"/>
    <w:rsid w:val="00CE539F"/>
    <w:rsid w:val="00CE5526"/>
    <w:rsid w:val="00CE56F7"/>
    <w:rsid w:val="00CE5F3B"/>
    <w:rsid w:val="00CF0B39"/>
    <w:rsid w:val="00CF16AD"/>
    <w:rsid w:val="00CF3A31"/>
    <w:rsid w:val="00CF43F5"/>
    <w:rsid w:val="00CF4F1A"/>
    <w:rsid w:val="00CF51FB"/>
    <w:rsid w:val="00CF5560"/>
    <w:rsid w:val="00D03F8A"/>
    <w:rsid w:val="00D04009"/>
    <w:rsid w:val="00D053AF"/>
    <w:rsid w:val="00D053C3"/>
    <w:rsid w:val="00D05562"/>
    <w:rsid w:val="00D067A0"/>
    <w:rsid w:val="00D118BF"/>
    <w:rsid w:val="00D162CD"/>
    <w:rsid w:val="00D17176"/>
    <w:rsid w:val="00D20FC8"/>
    <w:rsid w:val="00D21316"/>
    <w:rsid w:val="00D213AE"/>
    <w:rsid w:val="00D221B6"/>
    <w:rsid w:val="00D22BD2"/>
    <w:rsid w:val="00D231B7"/>
    <w:rsid w:val="00D25BC4"/>
    <w:rsid w:val="00D267EB"/>
    <w:rsid w:val="00D270FB"/>
    <w:rsid w:val="00D30007"/>
    <w:rsid w:val="00D30728"/>
    <w:rsid w:val="00D30877"/>
    <w:rsid w:val="00D30995"/>
    <w:rsid w:val="00D30ED8"/>
    <w:rsid w:val="00D3119C"/>
    <w:rsid w:val="00D32BBC"/>
    <w:rsid w:val="00D33355"/>
    <w:rsid w:val="00D34282"/>
    <w:rsid w:val="00D3497A"/>
    <w:rsid w:val="00D34CE0"/>
    <w:rsid w:val="00D34DD7"/>
    <w:rsid w:val="00D34F1C"/>
    <w:rsid w:val="00D35563"/>
    <w:rsid w:val="00D40311"/>
    <w:rsid w:val="00D44BEB"/>
    <w:rsid w:val="00D44F5D"/>
    <w:rsid w:val="00D5004F"/>
    <w:rsid w:val="00D5156B"/>
    <w:rsid w:val="00D516A3"/>
    <w:rsid w:val="00D5241E"/>
    <w:rsid w:val="00D54351"/>
    <w:rsid w:val="00D54658"/>
    <w:rsid w:val="00D54EB1"/>
    <w:rsid w:val="00D55A95"/>
    <w:rsid w:val="00D56AB3"/>
    <w:rsid w:val="00D57954"/>
    <w:rsid w:val="00D604E8"/>
    <w:rsid w:val="00D6163C"/>
    <w:rsid w:val="00D634C3"/>
    <w:rsid w:val="00D63C7F"/>
    <w:rsid w:val="00D63C99"/>
    <w:rsid w:val="00D63D93"/>
    <w:rsid w:val="00D64BEB"/>
    <w:rsid w:val="00D650F5"/>
    <w:rsid w:val="00D6541F"/>
    <w:rsid w:val="00D66315"/>
    <w:rsid w:val="00D6691D"/>
    <w:rsid w:val="00D67698"/>
    <w:rsid w:val="00D70F72"/>
    <w:rsid w:val="00D711AC"/>
    <w:rsid w:val="00D727E8"/>
    <w:rsid w:val="00D7327E"/>
    <w:rsid w:val="00D77085"/>
    <w:rsid w:val="00D777E3"/>
    <w:rsid w:val="00D8205F"/>
    <w:rsid w:val="00D82F87"/>
    <w:rsid w:val="00D840ED"/>
    <w:rsid w:val="00D84898"/>
    <w:rsid w:val="00D85430"/>
    <w:rsid w:val="00D85AA8"/>
    <w:rsid w:val="00D85DA1"/>
    <w:rsid w:val="00D86446"/>
    <w:rsid w:val="00D86D41"/>
    <w:rsid w:val="00D87663"/>
    <w:rsid w:val="00D902D2"/>
    <w:rsid w:val="00D90F6B"/>
    <w:rsid w:val="00D926A6"/>
    <w:rsid w:val="00D92D9B"/>
    <w:rsid w:val="00D92FA4"/>
    <w:rsid w:val="00D94C80"/>
    <w:rsid w:val="00D9542A"/>
    <w:rsid w:val="00D9554A"/>
    <w:rsid w:val="00D95E69"/>
    <w:rsid w:val="00D97121"/>
    <w:rsid w:val="00D97EC8"/>
    <w:rsid w:val="00DA02E0"/>
    <w:rsid w:val="00DA067F"/>
    <w:rsid w:val="00DA11F4"/>
    <w:rsid w:val="00DA2340"/>
    <w:rsid w:val="00DA27C9"/>
    <w:rsid w:val="00DA59BE"/>
    <w:rsid w:val="00DA6529"/>
    <w:rsid w:val="00DA6546"/>
    <w:rsid w:val="00DA668C"/>
    <w:rsid w:val="00DA6897"/>
    <w:rsid w:val="00DA68A5"/>
    <w:rsid w:val="00DA6BBF"/>
    <w:rsid w:val="00DA75EE"/>
    <w:rsid w:val="00DB185B"/>
    <w:rsid w:val="00DB1F3C"/>
    <w:rsid w:val="00DB2865"/>
    <w:rsid w:val="00DB35BF"/>
    <w:rsid w:val="00DB3840"/>
    <w:rsid w:val="00DB4239"/>
    <w:rsid w:val="00DB4A5E"/>
    <w:rsid w:val="00DB50F1"/>
    <w:rsid w:val="00DB557A"/>
    <w:rsid w:val="00DB55F6"/>
    <w:rsid w:val="00DB6A27"/>
    <w:rsid w:val="00DB6C47"/>
    <w:rsid w:val="00DB7BC3"/>
    <w:rsid w:val="00DC0346"/>
    <w:rsid w:val="00DC2378"/>
    <w:rsid w:val="00DC3CAE"/>
    <w:rsid w:val="00DC3E6C"/>
    <w:rsid w:val="00DC4666"/>
    <w:rsid w:val="00DC47C7"/>
    <w:rsid w:val="00DC58EB"/>
    <w:rsid w:val="00DC6582"/>
    <w:rsid w:val="00DC6E63"/>
    <w:rsid w:val="00DD0D80"/>
    <w:rsid w:val="00DD0FAA"/>
    <w:rsid w:val="00DD10D4"/>
    <w:rsid w:val="00DD194D"/>
    <w:rsid w:val="00DD3513"/>
    <w:rsid w:val="00DD4F98"/>
    <w:rsid w:val="00DD5154"/>
    <w:rsid w:val="00DD5DDE"/>
    <w:rsid w:val="00DD6158"/>
    <w:rsid w:val="00DD6862"/>
    <w:rsid w:val="00DE0DF5"/>
    <w:rsid w:val="00DE1842"/>
    <w:rsid w:val="00DE3D09"/>
    <w:rsid w:val="00DE5B3D"/>
    <w:rsid w:val="00DE6A12"/>
    <w:rsid w:val="00DE7A6E"/>
    <w:rsid w:val="00DF0080"/>
    <w:rsid w:val="00DF17F0"/>
    <w:rsid w:val="00DF2215"/>
    <w:rsid w:val="00DF5011"/>
    <w:rsid w:val="00DF62B4"/>
    <w:rsid w:val="00DF7856"/>
    <w:rsid w:val="00E014FD"/>
    <w:rsid w:val="00E02418"/>
    <w:rsid w:val="00E04263"/>
    <w:rsid w:val="00E0672D"/>
    <w:rsid w:val="00E06F59"/>
    <w:rsid w:val="00E07C92"/>
    <w:rsid w:val="00E101B9"/>
    <w:rsid w:val="00E10FBD"/>
    <w:rsid w:val="00E113F6"/>
    <w:rsid w:val="00E1253C"/>
    <w:rsid w:val="00E12703"/>
    <w:rsid w:val="00E135AB"/>
    <w:rsid w:val="00E141AD"/>
    <w:rsid w:val="00E151EA"/>
    <w:rsid w:val="00E16155"/>
    <w:rsid w:val="00E163DE"/>
    <w:rsid w:val="00E1684C"/>
    <w:rsid w:val="00E17011"/>
    <w:rsid w:val="00E17CDA"/>
    <w:rsid w:val="00E211E6"/>
    <w:rsid w:val="00E214C0"/>
    <w:rsid w:val="00E22F0D"/>
    <w:rsid w:val="00E2350F"/>
    <w:rsid w:val="00E23EC8"/>
    <w:rsid w:val="00E24874"/>
    <w:rsid w:val="00E25DC8"/>
    <w:rsid w:val="00E263B7"/>
    <w:rsid w:val="00E27B68"/>
    <w:rsid w:val="00E27E3B"/>
    <w:rsid w:val="00E30D51"/>
    <w:rsid w:val="00E313E0"/>
    <w:rsid w:val="00E3339F"/>
    <w:rsid w:val="00E33689"/>
    <w:rsid w:val="00E346FA"/>
    <w:rsid w:val="00E36C2B"/>
    <w:rsid w:val="00E36D18"/>
    <w:rsid w:val="00E376A2"/>
    <w:rsid w:val="00E40B97"/>
    <w:rsid w:val="00E410A8"/>
    <w:rsid w:val="00E410C3"/>
    <w:rsid w:val="00E4198A"/>
    <w:rsid w:val="00E43A5A"/>
    <w:rsid w:val="00E442CF"/>
    <w:rsid w:val="00E44A25"/>
    <w:rsid w:val="00E46336"/>
    <w:rsid w:val="00E51A6C"/>
    <w:rsid w:val="00E5306F"/>
    <w:rsid w:val="00E530A5"/>
    <w:rsid w:val="00E61290"/>
    <w:rsid w:val="00E6221E"/>
    <w:rsid w:val="00E639BA"/>
    <w:rsid w:val="00E643AF"/>
    <w:rsid w:val="00E65049"/>
    <w:rsid w:val="00E66444"/>
    <w:rsid w:val="00E66AA9"/>
    <w:rsid w:val="00E67CE6"/>
    <w:rsid w:val="00E709D4"/>
    <w:rsid w:val="00E72999"/>
    <w:rsid w:val="00E7495B"/>
    <w:rsid w:val="00E75869"/>
    <w:rsid w:val="00E75A8A"/>
    <w:rsid w:val="00E8186A"/>
    <w:rsid w:val="00E82207"/>
    <w:rsid w:val="00E83613"/>
    <w:rsid w:val="00E838A0"/>
    <w:rsid w:val="00E84536"/>
    <w:rsid w:val="00E85FE0"/>
    <w:rsid w:val="00E863F2"/>
    <w:rsid w:val="00E86B00"/>
    <w:rsid w:val="00E87426"/>
    <w:rsid w:val="00E9254E"/>
    <w:rsid w:val="00E945FA"/>
    <w:rsid w:val="00E97D5C"/>
    <w:rsid w:val="00EA0626"/>
    <w:rsid w:val="00EA1D01"/>
    <w:rsid w:val="00EA2F4A"/>
    <w:rsid w:val="00EA3D2D"/>
    <w:rsid w:val="00EA48A1"/>
    <w:rsid w:val="00EA5D1F"/>
    <w:rsid w:val="00EB076D"/>
    <w:rsid w:val="00EB14A3"/>
    <w:rsid w:val="00EB2B00"/>
    <w:rsid w:val="00EB3054"/>
    <w:rsid w:val="00EB3055"/>
    <w:rsid w:val="00EB565B"/>
    <w:rsid w:val="00EB5861"/>
    <w:rsid w:val="00EB6C17"/>
    <w:rsid w:val="00EB700D"/>
    <w:rsid w:val="00EC01B8"/>
    <w:rsid w:val="00EC333E"/>
    <w:rsid w:val="00EC335C"/>
    <w:rsid w:val="00EC3365"/>
    <w:rsid w:val="00EC37FB"/>
    <w:rsid w:val="00EC4442"/>
    <w:rsid w:val="00EC4DC3"/>
    <w:rsid w:val="00EC71E8"/>
    <w:rsid w:val="00EC76E1"/>
    <w:rsid w:val="00ED0EF8"/>
    <w:rsid w:val="00ED1BC6"/>
    <w:rsid w:val="00ED266E"/>
    <w:rsid w:val="00ED58F4"/>
    <w:rsid w:val="00ED65A6"/>
    <w:rsid w:val="00ED666B"/>
    <w:rsid w:val="00ED6955"/>
    <w:rsid w:val="00ED7435"/>
    <w:rsid w:val="00ED78AA"/>
    <w:rsid w:val="00EE13BE"/>
    <w:rsid w:val="00EE3963"/>
    <w:rsid w:val="00EE4004"/>
    <w:rsid w:val="00EE4421"/>
    <w:rsid w:val="00EE49DB"/>
    <w:rsid w:val="00EE5559"/>
    <w:rsid w:val="00EE621A"/>
    <w:rsid w:val="00EE6DC7"/>
    <w:rsid w:val="00EF21C4"/>
    <w:rsid w:val="00EF25D5"/>
    <w:rsid w:val="00EF31CE"/>
    <w:rsid w:val="00EF38B6"/>
    <w:rsid w:val="00EF3A88"/>
    <w:rsid w:val="00EF48ED"/>
    <w:rsid w:val="00EF505A"/>
    <w:rsid w:val="00F01259"/>
    <w:rsid w:val="00F021DB"/>
    <w:rsid w:val="00F0235D"/>
    <w:rsid w:val="00F027E4"/>
    <w:rsid w:val="00F02B8D"/>
    <w:rsid w:val="00F03893"/>
    <w:rsid w:val="00F0584A"/>
    <w:rsid w:val="00F06498"/>
    <w:rsid w:val="00F06AE7"/>
    <w:rsid w:val="00F072A5"/>
    <w:rsid w:val="00F07CA5"/>
    <w:rsid w:val="00F12A2F"/>
    <w:rsid w:val="00F1592A"/>
    <w:rsid w:val="00F1675E"/>
    <w:rsid w:val="00F16AFE"/>
    <w:rsid w:val="00F171FF"/>
    <w:rsid w:val="00F2019E"/>
    <w:rsid w:val="00F208E1"/>
    <w:rsid w:val="00F2171B"/>
    <w:rsid w:val="00F25014"/>
    <w:rsid w:val="00F26EB7"/>
    <w:rsid w:val="00F277C5"/>
    <w:rsid w:val="00F30E90"/>
    <w:rsid w:val="00F32165"/>
    <w:rsid w:val="00F32B2B"/>
    <w:rsid w:val="00F32BEB"/>
    <w:rsid w:val="00F32D62"/>
    <w:rsid w:val="00F33752"/>
    <w:rsid w:val="00F33BB7"/>
    <w:rsid w:val="00F344D6"/>
    <w:rsid w:val="00F34F83"/>
    <w:rsid w:val="00F35D1C"/>
    <w:rsid w:val="00F36459"/>
    <w:rsid w:val="00F36799"/>
    <w:rsid w:val="00F369D0"/>
    <w:rsid w:val="00F41A14"/>
    <w:rsid w:val="00F428DA"/>
    <w:rsid w:val="00F42963"/>
    <w:rsid w:val="00F432B4"/>
    <w:rsid w:val="00F43440"/>
    <w:rsid w:val="00F44DAF"/>
    <w:rsid w:val="00F514A6"/>
    <w:rsid w:val="00F516E2"/>
    <w:rsid w:val="00F53E55"/>
    <w:rsid w:val="00F56F77"/>
    <w:rsid w:val="00F57931"/>
    <w:rsid w:val="00F6127F"/>
    <w:rsid w:val="00F61C0B"/>
    <w:rsid w:val="00F62F6D"/>
    <w:rsid w:val="00F63649"/>
    <w:rsid w:val="00F6440F"/>
    <w:rsid w:val="00F65C0D"/>
    <w:rsid w:val="00F7229F"/>
    <w:rsid w:val="00F72A16"/>
    <w:rsid w:val="00F75684"/>
    <w:rsid w:val="00F7585A"/>
    <w:rsid w:val="00F771A4"/>
    <w:rsid w:val="00F832B0"/>
    <w:rsid w:val="00F91D9B"/>
    <w:rsid w:val="00F91F75"/>
    <w:rsid w:val="00F92FDB"/>
    <w:rsid w:val="00F940D6"/>
    <w:rsid w:val="00F95A65"/>
    <w:rsid w:val="00F95CE6"/>
    <w:rsid w:val="00F965A5"/>
    <w:rsid w:val="00F96EC4"/>
    <w:rsid w:val="00FA0101"/>
    <w:rsid w:val="00FA042B"/>
    <w:rsid w:val="00FA0EF0"/>
    <w:rsid w:val="00FA1282"/>
    <w:rsid w:val="00FA1BF0"/>
    <w:rsid w:val="00FA23F3"/>
    <w:rsid w:val="00FA248C"/>
    <w:rsid w:val="00FA3419"/>
    <w:rsid w:val="00FA3E3D"/>
    <w:rsid w:val="00FA4DC1"/>
    <w:rsid w:val="00FA6B5D"/>
    <w:rsid w:val="00FA7867"/>
    <w:rsid w:val="00FA7938"/>
    <w:rsid w:val="00FB5108"/>
    <w:rsid w:val="00FB6492"/>
    <w:rsid w:val="00FB6CB7"/>
    <w:rsid w:val="00FC23CF"/>
    <w:rsid w:val="00FC36F4"/>
    <w:rsid w:val="00FC3D45"/>
    <w:rsid w:val="00FC3DE0"/>
    <w:rsid w:val="00FC3ED3"/>
    <w:rsid w:val="00FC492D"/>
    <w:rsid w:val="00FC4E12"/>
    <w:rsid w:val="00FC4F2F"/>
    <w:rsid w:val="00FC5929"/>
    <w:rsid w:val="00FD15CB"/>
    <w:rsid w:val="00FD4F04"/>
    <w:rsid w:val="00FD50DC"/>
    <w:rsid w:val="00FD5236"/>
    <w:rsid w:val="00FD5E28"/>
    <w:rsid w:val="00FD6572"/>
    <w:rsid w:val="00FD663F"/>
    <w:rsid w:val="00FE0503"/>
    <w:rsid w:val="00FE228A"/>
    <w:rsid w:val="00FE23BE"/>
    <w:rsid w:val="00FE303E"/>
    <w:rsid w:val="00FE3499"/>
    <w:rsid w:val="00FE452D"/>
    <w:rsid w:val="00FF176B"/>
    <w:rsid w:val="00FF2545"/>
    <w:rsid w:val="00FF454F"/>
    <w:rsid w:val="00FF4924"/>
    <w:rsid w:val="00FF4A96"/>
    <w:rsid w:val="00FF521E"/>
    <w:rsid w:val="00FF5A74"/>
    <w:rsid w:val="00FF645F"/>
    <w:rsid w:val="00FF6A0C"/>
    <w:rsid w:val="03AFA231"/>
    <w:rsid w:val="04EE8236"/>
    <w:rsid w:val="0EBB6BCA"/>
    <w:rsid w:val="1024BD7A"/>
    <w:rsid w:val="12DD865C"/>
    <w:rsid w:val="13586946"/>
    <w:rsid w:val="171C9264"/>
    <w:rsid w:val="1A23CCA8"/>
    <w:rsid w:val="1A9CA6ED"/>
    <w:rsid w:val="1C4E821A"/>
    <w:rsid w:val="1D7BF28E"/>
    <w:rsid w:val="22932BB0"/>
    <w:rsid w:val="2884F7B4"/>
    <w:rsid w:val="28BBB0D8"/>
    <w:rsid w:val="2AA5B2AB"/>
    <w:rsid w:val="2C3BB2C3"/>
    <w:rsid w:val="2E245663"/>
    <w:rsid w:val="3229158A"/>
    <w:rsid w:val="34DBD317"/>
    <w:rsid w:val="359A33E0"/>
    <w:rsid w:val="37CF33BD"/>
    <w:rsid w:val="39611F55"/>
    <w:rsid w:val="43BC714F"/>
    <w:rsid w:val="443D2415"/>
    <w:rsid w:val="499EB0FB"/>
    <w:rsid w:val="4E0DA9DE"/>
    <w:rsid w:val="50AB1656"/>
    <w:rsid w:val="519ED949"/>
    <w:rsid w:val="5ECAAD21"/>
    <w:rsid w:val="61CB05F6"/>
    <w:rsid w:val="63D33B22"/>
    <w:rsid w:val="65F60409"/>
    <w:rsid w:val="69CDEFD0"/>
    <w:rsid w:val="6D107D0D"/>
    <w:rsid w:val="6D9515CA"/>
    <w:rsid w:val="6EA2011A"/>
    <w:rsid w:val="6F8A0D49"/>
    <w:rsid w:val="6FE0DDEA"/>
    <w:rsid w:val="73C1194B"/>
    <w:rsid w:val="74F186C8"/>
    <w:rsid w:val="77D09500"/>
    <w:rsid w:val="7A9C6787"/>
    <w:rsid w:val="7B60C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04F"/>
  <w15:chartTrackingRefBased/>
  <w15:docId w15:val="{15A43ACF-8468-4BCF-BD8E-E0AB76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AD9"/>
    <w:pPr>
      <w:spacing w:after="0" w:line="276" w:lineRule="auto"/>
      <w:jc w:val="both"/>
    </w:pPr>
    <w:rPr>
      <w:sz w:val="24"/>
    </w:rPr>
  </w:style>
  <w:style w:type="paragraph" w:styleId="Ttulo1">
    <w:name w:val="heading 1"/>
    <w:basedOn w:val="Normal"/>
    <w:next w:val="Normal"/>
    <w:link w:val="Ttulo1Car"/>
    <w:uiPriority w:val="9"/>
    <w:qFormat/>
    <w:rsid w:val="00767207"/>
    <w:pPr>
      <w:keepNext/>
      <w:keepLines/>
      <w:numPr>
        <w:numId w:val="1"/>
      </w:numPr>
      <w:ind w:left="360"/>
      <w:jc w:val="center"/>
      <w:outlineLvl w:val="0"/>
    </w:pPr>
    <w:rPr>
      <w:rFonts w:asciiTheme="majorHAnsi" w:eastAsiaTheme="majorEastAsia" w:hAnsiTheme="majorHAnsi" w:cstheme="majorBidi"/>
      <w:b/>
      <w:szCs w:val="24"/>
    </w:rPr>
  </w:style>
  <w:style w:type="paragraph" w:styleId="Ttulo2">
    <w:name w:val="heading 2"/>
    <w:basedOn w:val="Normal"/>
    <w:next w:val="Normal"/>
    <w:link w:val="Ttulo2Car"/>
    <w:uiPriority w:val="9"/>
    <w:unhideWhenUsed/>
    <w:qFormat/>
    <w:rsid w:val="00767207"/>
    <w:pPr>
      <w:keepNext/>
      <w:keepLines/>
      <w:numPr>
        <w:numId w:val="2"/>
      </w:numPr>
      <w:ind w:left="723"/>
      <w:outlineLvl w:val="1"/>
    </w:pPr>
    <w:rPr>
      <w:rFonts w:asciiTheme="majorHAnsi" w:eastAsiaTheme="majorEastAsia" w:hAnsiTheme="majorHAnsi" w:cstheme="majorBidi"/>
      <w:b/>
      <w:szCs w:val="26"/>
    </w:rPr>
  </w:style>
  <w:style w:type="paragraph" w:styleId="Ttulo3">
    <w:name w:val="heading 3"/>
    <w:basedOn w:val="Ttulo2"/>
    <w:next w:val="Normal"/>
    <w:link w:val="Ttulo3Car"/>
    <w:uiPriority w:val="9"/>
    <w:unhideWhenUsed/>
    <w:qFormat/>
    <w:rsid w:val="00767207"/>
    <w:pPr>
      <w:numPr>
        <w:ilvl w:val="1"/>
      </w:numPr>
      <w:outlineLvl w:val="2"/>
    </w:pPr>
  </w:style>
  <w:style w:type="paragraph" w:styleId="Ttulo4">
    <w:name w:val="heading 4"/>
    <w:basedOn w:val="Ttulo3"/>
    <w:next w:val="Normal"/>
    <w:link w:val="Ttulo4Car"/>
    <w:uiPriority w:val="9"/>
    <w:unhideWhenUsed/>
    <w:qFormat/>
    <w:rsid w:val="00FA4DC1"/>
    <w:pPr>
      <w:numPr>
        <w:ilvl w:val="2"/>
      </w:numPr>
      <w:ind w:left="1134" w:hanging="771"/>
      <w:outlineLvl w:val="3"/>
    </w:pPr>
  </w:style>
  <w:style w:type="paragraph" w:styleId="Ttulo5">
    <w:name w:val="heading 5"/>
    <w:basedOn w:val="Ttulo4"/>
    <w:next w:val="Normal"/>
    <w:link w:val="Ttulo5Car"/>
    <w:uiPriority w:val="9"/>
    <w:unhideWhenUsed/>
    <w:qFormat/>
    <w:rsid w:val="002F0602"/>
    <w:pPr>
      <w:numPr>
        <w:ilvl w:val="3"/>
      </w:numPr>
      <w:tabs>
        <w:tab w:val="left" w:pos="851"/>
      </w:tabs>
      <w:ind w:left="0" w:firstLine="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Car"/>
    <w:basedOn w:val="Normal"/>
    <w:link w:val="EncabezadoCar"/>
    <w:unhideWhenUsed/>
    <w:rsid w:val="00577AD9"/>
    <w:pPr>
      <w:tabs>
        <w:tab w:val="center" w:pos="4419"/>
        <w:tab w:val="right" w:pos="8838"/>
      </w:tabs>
      <w:spacing w:line="240" w:lineRule="auto"/>
    </w:pPr>
  </w:style>
  <w:style w:type="character" w:customStyle="1" w:styleId="EncabezadoCar">
    <w:name w:val="Encabezado Car"/>
    <w:aliases w:val="Car Car Car, Car Car,Car Car1"/>
    <w:basedOn w:val="Fuentedeprrafopredeter"/>
    <w:link w:val="Encabezado"/>
    <w:rsid w:val="00577AD9"/>
    <w:rPr>
      <w:sz w:val="24"/>
    </w:rPr>
  </w:style>
  <w:style w:type="paragraph" w:styleId="Piedepgina">
    <w:name w:val="footer"/>
    <w:basedOn w:val="Normal"/>
    <w:link w:val="PiedepginaCar"/>
    <w:uiPriority w:val="99"/>
    <w:unhideWhenUsed/>
    <w:rsid w:val="00577A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77AD9"/>
    <w:rPr>
      <w:sz w:val="24"/>
    </w:rPr>
  </w:style>
  <w:style w:type="character" w:styleId="Nmerodepgina">
    <w:name w:val="page number"/>
    <w:basedOn w:val="Fuentedeprrafopredeter"/>
    <w:rsid w:val="000E0967"/>
  </w:style>
  <w:style w:type="paragraph" w:styleId="Sangradetextonormal">
    <w:name w:val="Body Text Indent"/>
    <w:basedOn w:val="Normal"/>
    <w:link w:val="SangradetextonormalCar"/>
    <w:rsid w:val="00767207"/>
    <w:pPr>
      <w:spacing w:after="120" w:line="240" w:lineRule="auto"/>
      <w:ind w:left="283"/>
      <w:jc w:val="left"/>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76720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67207"/>
    <w:rPr>
      <w:rFonts w:asciiTheme="majorHAnsi" w:eastAsiaTheme="majorEastAsia" w:hAnsiTheme="majorHAnsi" w:cstheme="majorBidi"/>
      <w:b/>
      <w:sz w:val="24"/>
      <w:szCs w:val="24"/>
    </w:rPr>
  </w:style>
  <w:style w:type="paragraph" w:styleId="Prrafodelista">
    <w:name w:val="List Paragraph"/>
    <w:basedOn w:val="Normal"/>
    <w:uiPriority w:val="34"/>
    <w:qFormat/>
    <w:rsid w:val="00767207"/>
    <w:pPr>
      <w:ind w:left="720"/>
      <w:contextualSpacing/>
    </w:pPr>
  </w:style>
  <w:style w:type="character" w:customStyle="1" w:styleId="Ttulo2Car">
    <w:name w:val="Título 2 Car"/>
    <w:basedOn w:val="Fuentedeprrafopredeter"/>
    <w:link w:val="Ttulo2"/>
    <w:uiPriority w:val="9"/>
    <w:rsid w:val="00767207"/>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rsid w:val="00767207"/>
    <w:rPr>
      <w:rFonts w:asciiTheme="majorHAnsi" w:eastAsiaTheme="majorEastAsia" w:hAnsiTheme="majorHAnsi" w:cstheme="majorBidi"/>
      <w:b/>
      <w:sz w:val="24"/>
      <w:szCs w:val="2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nhideWhenUsed/>
    <w:qFormat/>
    <w:rsid w:val="00C7561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qFormat/>
    <w:rsid w:val="00C75611"/>
    <w:rPr>
      <w:sz w:val="20"/>
      <w:szCs w:val="20"/>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basedOn w:val="Fuentedeprrafopredeter"/>
    <w:link w:val="4GChar"/>
    <w:uiPriority w:val="99"/>
    <w:unhideWhenUsed/>
    <w:qFormat/>
    <w:rsid w:val="00C75611"/>
    <w:rPr>
      <w:vertAlign w:val="superscript"/>
    </w:rPr>
  </w:style>
  <w:style w:type="character" w:styleId="Hipervnculo">
    <w:name w:val="Hyperlink"/>
    <w:basedOn w:val="Fuentedeprrafopredeter"/>
    <w:uiPriority w:val="99"/>
    <w:unhideWhenUsed/>
    <w:rsid w:val="00C75611"/>
    <w:rPr>
      <w:color w:val="0000FF"/>
      <w:u w:val="single"/>
    </w:rPr>
  </w:style>
  <w:style w:type="character" w:customStyle="1" w:styleId="Ttulo4Car">
    <w:name w:val="Título 4 Car"/>
    <w:basedOn w:val="Fuentedeprrafopredeter"/>
    <w:link w:val="Ttulo4"/>
    <w:uiPriority w:val="9"/>
    <w:rsid w:val="00FA4DC1"/>
    <w:rPr>
      <w:rFonts w:asciiTheme="majorHAnsi" w:eastAsiaTheme="majorEastAsia" w:hAnsiTheme="majorHAnsi" w:cstheme="majorBidi"/>
      <w:b/>
      <w:sz w:val="24"/>
      <w:szCs w:val="26"/>
    </w:rPr>
  </w:style>
  <w:style w:type="paragraph" w:styleId="Cita">
    <w:name w:val="Quote"/>
    <w:basedOn w:val="Normal"/>
    <w:next w:val="Normal"/>
    <w:link w:val="CitaCar"/>
    <w:uiPriority w:val="29"/>
    <w:qFormat/>
    <w:rsid w:val="006D2E2B"/>
    <w:pPr>
      <w:spacing w:line="240" w:lineRule="auto"/>
      <w:ind w:left="567"/>
    </w:pPr>
    <w:rPr>
      <w:i/>
      <w:sz w:val="22"/>
    </w:rPr>
  </w:style>
  <w:style w:type="character" w:customStyle="1" w:styleId="CitaCar">
    <w:name w:val="Cita Car"/>
    <w:basedOn w:val="Fuentedeprrafopredeter"/>
    <w:link w:val="Cita"/>
    <w:uiPriority w:val="29"/>
    <w:rsid w:val="006D2E2B"/>
    <w:rPr>
      <w:i/>
    </w:rPr>
  </w:style>
  <w:style w:type="paragraph" w:customStyle="1" w:styleId="Textoindependiente21">
    <w:name w:val="Texto independiente 21"/>
    <w:basedOn w:val="Normal"/>
    <w:rsid w:val="00227010"/>
    <w:pPr>
      <w:overflowPunct w:val="0"/>
      <w:autoSpaceDE w:val="0"/>
      <w:autoSpaceDN w:val="0"/>
      <w:adjustRightInd w:val="0"/>
      <w:spacing w:line="480" w:lineRule="auto"/>
    </w:pPr>
    <w:rPr>
      <w:rFonts w:ascii="Arial" w:eastAsia="Times New Roman" w:hAnsi="Arial"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27010"/>
    <w:pPr>
      <w:spacing w:line="240" w:lineRule="auto"/>
    </w:pPr>
    <w:rPr>
      <w:sz w:val="22"/>
      <w:vertAlign w:val="superscript"/>
    </w:rPr>
  </w:style>
  <w:style w:type="paragraph" w:styleId="Textoindependiente">
    <w:name w:val="Body Text"/>
    <w:basedOn w:val="Normal"/>
    <w:link w:val="TextoindependienteCar"/>
    <w:uiPriority w:val="99"/>
    <w:semiHidden/>
    <w:unhideWhenUsed/>
    <w:rsid w:val="007D7303"/>
    <w:pPr>
      <w:spacing w:after="120"/>
    </w:pPr>
  </w:style>
  <w:style w:type="character" w:customStyle="1" w:styleId="TextoindependienteCar">
    <w:name w:val="Texto independiente Car"/>
    <w:basedOn w:val="Fuentedeprrafopredeter"/>
    <w:link w:val="Textoindependiente"/>
    <w:uiPriority w:val="99"/>
    <w:semiHidden/>
    <w:rsid w:val="007D7303"/>
    <w:rPr>
      <w:sz w:val="24"/>
    </w:rPr>
  </w:style>
  <w:style w:type="character" w:customStyle="1" w:styleId="Ttulo5Car">
    <w:name w:val="Título 5 Car"/>
    <w:basedOn w:val="Fuentedeprrafopredeter"/>
    <w:link w:val="Ttulo5"/>
    <w:uiPriority w:val="9"/>
    <w:rsid w:val="002F0602"/>
    <w:rPr>
      <w:rFonts w:asciiTheme="majorHAnsi" w:eastAsiaTheme="majorEastAsia" w:hAnsiTheme="majorHAnsi" w:cstheme="majorBidi"/>
      <w:b/>
      <w:sz w:val="24"/>
      <w:szCs w:val="26"/>
    </w:rPr>
  </w:style>
  <w:style w:type="table" w:styleId="Tablaconcuadrcula">
    <w:name w:val="Table Grid"/>
    <w:basedOn w:val="Tablanormal"/>
    <w:uiPriority w:val="39"/>
    <w:rsid w:val="00E4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05B2"/>
    <w:rPr>
      <w:color w:val="954F72" w:themeColor="followedHyperlink"/>
      <w:u w:val="single"/>
    </w:rPr>
  </w:style>
  <w:style w:type="paragraph" w:styleId="Sinespaciado">
    <w:name w:val="No Spacing"/>
    <w:uiPriority w:val="1"/>
    <w:qFormat/>
    <w:rsid w:val="007B0812"/>
    <w:pPr>
      <w:spacing w:after="0" w:line="240" w:lineRule="auto"/>
      <w:jc w:val="both"/>
    </w:pPr>
    <w:rPr>
      <w:sz w:val="24"/>
    </w:rPr>
  </w:style>
  <w:style w:type="paragraph" w:styleId="Textocomentario">
    <w:name w:val="annotation text"/>
    <w:basedOn w:val="Normal"/>
    <w:link w:val="TextocomentarioCar"/>
    <w:uiPriority w:val="99"/>
    <w:semiHidden/>
    <w:unhideWhenUsed/>
    <w:rsid w:val="008E7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5F7"/>
    <w:rPr>
      <w:sz w:val="20"/>
      <w:szCs w:val="20"/>
    </w:rPr>
  </w:style>
  <w:style w:type="paragraph" w:styleId="Textoindependiente3">
    <w:name w:val="Body Text 3"/>
    <w:basedOn w:val="Normal"/>
    <w:link w:val="Textoindependiente3Car"/>
    <w:rsid w:val="00353738"/>
    <w:pPr>
      <w:autoSpaceDE w:val="0"/>
      <w:autoSpaceDN w:val="0"/>
      <w:adjustRightInd w:val="0"/>
      <w:spacing w:after="12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3738"/>
    <w:rPr>
      <w:rFonts w:ascii="Times New Roman" w:eastAsia="Times New Roman" w:hAnsi="Times New Roman" w:cs="Times New Roman"/>
      <w:sz w:val="16"/>
      <w:szCs w:val="16"/>
      <w:lang w:val="es-ES" w:eastAsia="es-ES"/>
    </w:rPr>
  </w:style>
  <w:style w:type="character" w:customStyle="1" w:styleId="UnresolvedMention">
    <w:name w:val="Unresolved Mention"/>
    <w:basedOn w:val="Fuentedeprrafopredeter"/>
    <w:uiPriority w:val="99"/>
    <w:semiHidden/>
    <w:unhideWhenUsed/>
    <w:rsid w:val="00C46FAC"/>
    <w:rPr>
      <w:color w:val="605E5C"/>
      <w:shd w:val="clear" w:color="auto" w:fill="E1DFDD"/>
    </w:rPr>
  </w:style>
  <w:style w:type="paragraph" w:styleId="NormalWeb">
    <w:name w:val="Normal (Web)"/>
    <w:basedOn w:val="Normal"/>
    <w:uiPriority w:val="99"/>
    <w:semiHidden/>
    <w:unhideWhenUsed/>
    <w:rsid w:val="008B5F8B"/>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02">
      <w:bodyDiv w:val="1"/>
      <w:marLeft w:val="0"/>
      <w:marRight w:val="0"/>
      <w:marTop w:val="0"/>
      <w:marBottom w:val="0"/>
      <w:divBdr>
        <w:top w:val="none" w:sz="0" w:space="0" w:color="auto"/>
        <w:left w:val="none" w:sz="0" w:space="0" w:color="auto"/>
        <w:bottom w:val="none" w:sz="0" w:space="0" w:color="auto"/>
        <w:right w:val="none" w:sz="0" w:space="0" w:color="auto"/>
      </w:divBdr>
    </w:div>
    <w:div w:id="1471798">
      <w:bodyDiv w:val="1"/>
      <w:marLeft w:val="0"/>
      <w:marRight w:val="0"/>
      <w:marTop w:val="0"/>
      <w:marBottom w:val="0"/>
      <w:divBdr>
        <w:top w:val="none" w:sz="0" w:space="0" w:color="auto"/>
        <w:left w:val="none" w:sz="0" w:space="0" w:color="auto"/>
        <w:bottom w:val="none" w:sz="0" w:space="0" w:color="auto"/>
        <w:right w:val="none" w:sz="0" w:space="0" w:color="auto"/>
      </w:divBdr>
    </w:div>
    <w:div w:id="80571473">
      <w:bodyDiv w:val="1"/>
      <w:marLeft w:val="0"/>
      <w:marRight w:val="0"/>
      <w:marTop w:val="0"/>
      <w:marBottom w:val="0"/>
      <w:divBdr>
        <w:top w:val="none" w:sz="0" w:space="0" w:color="auto"/>
        <w:left w:val="none" w:sz="0" w:space="0" w:color="auto"/>
        <w:bottom w:val="none" w:sz="0" w:space="0" w:color="auto"/>
        <w:right w:val="none" w:sz="0" w:space="0" w:color="auto"/>
      </w:divBdr>
    </w:div>
    <w:div w:id="127477955">
      <w:bodyDiv w:val="1"/>
      <w:marLeft w:val="0"/>
      <w:marRight w:val="0"/>
      <w:marTop w:val="0"/>
      <w:marBottom w:val="0"/>
      <w:divBdr>
        <w:top w:val="none" w:sz="0" w:space="0" w:color="auto"/>
        <w:left w:val="none" w:sz="0" w:space="0" w:color="auto"/>
        <w:bottom w:val="none" w:sz="0" w:space="0" w:color="auto"/>
        <w:right w:val="none" w:sz="0" w:space="0" w:color="auto"/>
      </w:divBdr>
    </w:div>
    <w:div w:id="140462332">
      <w:bodyDiv w:val="1"/>
      <w:marLeft w:val="0"/>
      <w:marRight w:val="0"/>
      <w:marTop w:val="0"/>
      <w:marBottom w:val="0"/>
      <w:divBdr>
        <w:top w:val="none" w:sz="0" w:space="0" w:color="auto"/>
        <w:left w:val="none" w:sz="0" w:space="0" w:color="auto"/>
        <w:bottom w:val="none" w:sz="0" w:space="0" w:color="auto"/>
        <w:right w:val="none" w:sz="0" w:space="0" w:color="auto"/>
      </w:divBdr>
    </w:div>
    <w:div w:id="194852823">
      <w:bodyDiv w:val="1"/>
      <w:marLeft w:val="0"/>
      <w:marRight w:val="0"/>
      <w:marTop w:val="0"/>
      <w:marBottom w:val="0"/>
      <w:divBdr>
        <w:top w:val="none" w:sz="0" w:space="0" w:color="auto"/>
        <w:left w:val="none" w:sz="0" w:space="0" w:color="auto"/>
        <w:bottom w:val="none" w:sz="0" w:space="0" w:color="auto"/>
        <w:right w:val="none" w:sz="0" w:space="0" w:color="auto"/>
      </w:divBdr>
    </w:div>
    <w:div w:id="220949761">
      <w:bodyDiv w:val="1"/>
      <w:marLeft w:val="0"/>
      <w:marRight w:val="0"/>
      <w:marTop w:val="0"/>
      <w:marBottom w:val="0"/>
      <w:divBdr>
        <w:top w:val="none" w:sz="0" w:space="0" w:color="auto"/>
        <w:left w:val="none" w:sz="0" w:space="0" w:color="auto"/>
        <w:bottom w:val="none" w:sz="0" w:space="0" w:color="auto"/>
        <w:right w:val="none" w:sz="0" w:space="0" w:color="auto"/>
      </w:divBdr>
    </w:div>
    <w:div w:id="233124589">
      <w:bodyDiv w:val="1"/>
      <w:marLeft w:val="0"/>
      <w:marRight w:val="0"/>
      <w:marTop w:val="0"/>
      <w:marBottom w:val="0"/>
      <w:divBdr>
        <w:top w:val="none" w:sz="0" w:space="0" w:color="auto"/>
        <w:left w:val="none" w:sz="0" w:space="0" w:color="auto"/>
        <w:bottom w:val="none" w:sz="0" w:space="0" w:color="auto"/>
        <w:right w:val="none" w:sz="0" w:space="0" w:color="auto"/>
      </w:divBdr>
    </w:div>
    <w:div w:id="262879981">
      <w:bodyDiv w:val="1"/>
      <w:marLeft w:val="0"/>
      <w:marRight w:val="0"/>
      <w:marTop w:val="0"/>
      <w:marBottom w:val="0"/>
      <w:divBdr>
        <w:top w:val="none" w:sz="0" w:space="0" w:color="auto"/>
        <w:left w:val="none" w:sz="0" w:space="0" w:color="auto"/>
        <w:bottom w:val="none" w:sz="0" w:space="0" w:color="auto"/>
        <w:right w:val="none" w:sz="0" w:space="0" w:color="auto"/>
      </w:divBdr>
    </w:div>
    <w:div w:id="275910607">
      <w:bodyDiv w:val="1"/>
      <w:marLeft w:val="0"/>
      <w:marRight w:val="0"/>
      <w:marTop w:val="0"/>
      <w:marBottom w:val="0"/>
      <w:divBdr>
        <w:top w:val="none" w:sz="0" w:space="0" w:color="auto"/>
        <w:left w:val="none" w:sz="0" w:space="0" w:color="auto"/>
        <w:bottom w:val="none" w:sz="0" w:space="0" w:color="auto"/>
        <w:right w:val="none" w:sz="0" w:space="0" w:color="auto"/>
      </w:divBdr>
    </w:div>
    <w:div w:id="276446518">
      <w:bodyDiv w:val="1"/>
      <w:marLeft w:val="0"/>
      <w:marRight w:val="0"/>
      <w:marTop w:val="0"/>
      <w:marBottom w:val="0"/>
      <w:divBdr>
        <w:top w:val="none" w:sz="0" w:space="0" w:color="auto"/>
        <w:left w:val="none" w:sz="0" w:space="0" w:color="auto"/>
        <w:bottom w:val="none" w:sz="0" w:space="0" w:color="auto"/>
        <w:right w:val="none" w:sz="0" w:space="0" w:color="auto"/>
      </w:divBdr>
    </w:div>
    <w:div w:id="284118632">
      <w:bodyDiv w:val="1"/>
      <w:marLeft w:val="0"/>
      <w:marRight w:val="0"/>
      <w:marTop w:val="0"/>
      <w:marBottom w:val="0"/>
      <w:divBdr>
        <w:top w:val="none" w:sz="0" w:space="0" w:color="auto"/>
        <w:left w:val="none" w:sz="0" w:space="0" w:color="auto"/>
        <w:bottom w:val="none" w:sz="0" w:space="0" w:color="auto"/>
        <w:right w:val="none" w:sz="0" w:space="0" w:color="auto"/>
      </w:divBdr>
    </w:div>
    <w:div w:id="284315807">
      <w:bodyDiv w:val="1"/>
      <w:marLeft w:val="0"/>
      <w:marRight w:val="0"/>
      <w:marTop w:val="0"/>
      <w:marBottom w:val="0"/>
      <w:divBdr>
        <w:top w:val="none" w:sz="0" w:space="0" w:color="auto"/>
        <w:left w:val="none" w:sz="0" w:space="0" w:color="auto"/>
        <w:bottom w:val="none" w:sz="0" w:space="0" w:color="auto"/>
        <w:right w:val="none" w:sz="0" w:space="0" w:color="auto"/>
      </w:divBdr>
    </w:div>
    <w:div w:id="307782076">
      <w:bodyDiv w:val="1"/>
      <w:marLeft w:val="0"/>
      <w:marRight w:val="0"/>
      <w:marTop w:val="0"/>
      <w:marBottom w:val="0"/>
      <w:divBdr>
        <w:top w:val="none" w:sz="0" w:space="0" w:color="auto"/>
        <w:left w:val="none" w:sz="0" w:space="0" w:color="auto"/>
        <w:bottom w:val="none" w:sz="0" w:space="0" w:color="auto"/>
        <w:right w:val="none" w:sz="0" w:space="0" w:color="auto"/>
      </w:divBdr>
    </w:div>
    <w:div w:id="307900821">
      <w:bodyDiv w:val="1"/>
      <w:marLeft w:val="0"/>
      <w:marRight w:val="0"/>
      <w:marTop w:val="0"/>
      <w:marBottom w:val="0"/>
      <w:divBdr>
        <w:top w:val="none" w:sz="0" w:space="0" w:color="auto"/>
        <w:left w:val="none" w:sz="0" w:space="0" w:color="auto"/>
        <w:bottom w:val="none" w:sz="0" w:space="0" w:color="auto"/>
        <w:right w:val="none" w:sz="0" w:space="0" w:color="auto"/>
      </w:divBdr>
    </w:div>
    <w:div w:id="336423220">
      <w:bodyDiv w:val="1"/>
      <w:marLeft w:val="0"/>
      <w:marRight w:val="0"/>
      <w:marTop w:val="0"/>
      <w:marBottom w:val="0"/>
      <w:divBdr>
        <w:top w:val="none" w:sz="0" w:space="0" w:color="auto"/>
        <w:left w:val="none" w:sz="0" w:space="0" w:color="auto"/>
        <w:bottom w:val="none" w:sz="0" w:space="0" w:color="auto"/>
        <w:right w:val="none" w:sz="0" w:space="0" w:color="auto"/>
      </w:divBdr>
    </w:div>
    <w:div w:id="349986216">
      <w:bodyDiv w:val="1"/>
      <w:marLeft w:val="0"/>
      <w:marRight w:val="0"/>
      <w:marTop w:val="0"/>
      <w:marBottom w:val="0"/>
      <w:divBdr>
        <w:top w:val="none" w:sz="0" w:space="0" w:color="auto"/>
        <w:left w:val="none" w:sz="0" w:space="0" w:color="auto"/>
        <w:bottom w:val="none" w:sz="0" w:space="0" w:color="auto"/>
        <w:right w:val="none" w:sz="0" w:space="0" w:color="auto"/>
      </w:divBdr>
    </w:div>
    <w:div w:id="386220458">
      <w:bodyDiv w:val="1"/>
      <w:marLeft w:val="0"/>
      <w:marRight w:val="0"/>
      <w:marTop w:val="0"/>
      <w:marBottom w:val="0"/>
      <w:divBdr>
        <w:top w:val="none" w:sz="0" w:space="0" w:color="auto"/>
        <w:left w:val="none" w:sz="0" w:space="0" w:color="auto"/>
        <w:bottom w:val="none" w:sz="0" w:space="0" w:color="auto"/>
        <w:right w:val="none" w:sz="0" w:space="0" w:color="auto"/>
      </w:divBdr>
    </w:div>
    <w:div w:id="485363511">
      <w:bodyDiv w:val="1"/>
      <w:marLeft w:val="0"/>
      <w:marRight w:val="0"/>
      <w:marTop w:val="0"/>
      <w:marBottom w:val="0"/>
      <w:divBdr>
        <w:top w:val="none" w:sz="0" w:space="0" w:color="auto"/>
        <w:left w:val="none" w:sz="0" w:space="0" w:color="auto"/>
        <w:bottom w:val="none" w:sz="0" w:space="0" w:color="auto"/>
        <w:right w:val="none" w:sz="0" w:space="0" w:color="auto"/>
      </w:divBdr>
    </w:div>
    <w:div w:id="514998117">
      <w:bodyDiv w:val="1"/>
      <w:marLeft w:val="0"/>
      <w:marRight w:val="0"/>
      <w:marTop w:val="0"/>
      <w:marBottom w:val="0"/>
      <w:divBdr>
        <w:top w:val="none" w:sz="0" w:space="0" w:color="auto"/>
        <w:left w:val="none" w:sz="0" w:space="0" w:color="auto"/>
        <w:bottom w:val="none" w:sz="0" w:space="0" w:color="auto"/>
        <w:right w:val="none" w:sz="0" w:space="0" w:color="auto"/>
      </w:divBdr>
    </w:div>
    <w:div w:id="519244354">
      <w:bodyDiv w:val="1"/>
      <w:marLeft w:val="0"/>
      <w:marRight w:val="0"/>
      <w:marTop w:val="0"/>
      <w:marBottom w:val="0"/>
      <w:divBdr>
        <w:top w:val="none" w:sz="0" w:space="0" w:color="auto"/>
        <w:left w:val="none" w:sz="0" w:space="0" w:color="auto"/>
        <w:bottom w:val="none" w:sz="0" w:space="0" w:color="auto"/>
        <w:right w:val="none" w:sz="0" w:space="0" w:color="auto"/>
      </w:divBdr>
    </w:div>
    <w:div w:id="533274083">
      <w:bodyDiv w:val="1"/>
      <w:marLeft w:val="0"/>
      <w:marRight w:val="0"/>
      <w:marTop w:val="0"/>
      <w:marBottom w:val="0"/>
      <w:divBdr>
        <w:top w:val="none" w:sz="0" w:space="0" w:color="auto"/>
        <w:left w:val="none" w:sz="0" w:space="0" w:color="auto"/>
        <w:bottom w:val="none" w:sz="0" w:space="0" w:color="auto"/>
        <w:right w:val="none" w:sz="0" w:space="0" w:color="auto"/>
      </w:divBdr>
    </w:div>
    <w:div w:id="569121621">
      <w:bodyDiv w:val="1"/>
      <w:marLeft w:val="0"/>
      <w:marRight w:val="0"/>
      <w:marTop w:val="0"/>
      <w:marBottom w:val="0"/>
      <w:divBdr>
        <w:top w:val="none" w:sz="0" w:space="0" w:color="auto"/>
        <w:left w:val="none" w:sz="0" w:space="0" w:color="auto"/>
        <w:bottom w:val="none" w:sz="0" w:space="0" w:color="auto"/>
        <w:right w:val="none" w:sz="0" w:space="0" w:color="auto"/>
      </w:divBdr>
    </w:div>
    <w:div w:id="592473938">
      <w:bodyDiv w:val="1"/>
      <w:marLeft w:val="0"/>
      <w:marRight w:val="0"/>
      <w:marTop w:val="0"/>
      <w:marBottom w:val="0"/>
      <w:divBdr>
        <w:top w:val="none" w:sz="0" w:space="0" w:color="auto"/>
        <w:left w:val="none" w:sz="0" w:space="0" w:color="auto"/>
        <w:bottom w:val="none" w:sz="0" w:space="0" w:color="auto"/>
        <w:right w:val="none" w:sz="0" w:space="0" w:color="auto"/>
      </w:divBdr>
    </w:div>
    <w:div w:id="605383693">
      <w:bodyDiv w:val="1"/>
      <w:marLeft w:val="0"/>
      <w:marRight w:val="0"/>
      <w:marTop w:val="0"/>
      <w:marBottom w:val="0"/>
      <w:divBdr>
        <w:top w:val="none" w:sz="0" w:space="0" w:color="auto"/>
        <w:left w:val="none" w:sz="0" w:space="0" w:color="auto"/>
        <w:bottom w:val="none" w:sz="0" w:space="0" w:color="auto"/>
        <w:right w:val="none" w:sz="0" w:space="0" w:color="auto"/>
      </w:divBdr>
    </w:div>
    <w:div w:id="615065380">
      <w:bodyDiv w:val="1"/>
      <w:marLeft w:val="0"/>
      <w:marRight w:val="0"/>
      <w:marTop w:val="0"/>
      <w:marBottom w:val="0"/>
      <w:divBdr>
        <w:top w:val="none" w:sz="0" w:space="0" w:color="auto"/>
        <w:left w:val="none" w:sz="0" w:space="0" w:color="auto"/>
        <w:bottom w:val="none" w:sz="0" w:space="0" w:color="auto"/>
        <w:right w:val="none" w:sz="0" w:space="0" w:color="auto"/>
      </w:divBdr>
    </w:div>
    <w:div w:id="619334736">
      <w:bodyDiv w:val="1"/>
      <w:marLeft w:val="0"/>
      <w:marRight w:val="0"/>
      <w:marTop w:val="0"/>
      <w:marBottom w:val="0"/>
      <w:divBdr>
        <w:top w:val="none" w:sz="0" w:space="0" w:color="auto"/>
        <w:left w:val="none" w:sz="0" w:space="0" w:color="auto"/>
        <w:bottom w:val="none" w:sz="0" w:space="0" w:color="auto"/>
        <w:right w:val="none" w:sz="0" w:space="0" w:color="auto"/>
      </w:divBdr>
    </w:div>
    <w:div w:id="621156542">
      <w:bodyDiv w:val="1"/>
      <w:marLeft w:val="0"/>
      <w:marRight w:val="0"/>
      <w:marTop w:val="0"/>
      <w:marBottom w:val="0"/>
      <w:divBdr>
        <w:top w:val="none" w:sz="0" w:space="0" w:color="auto"/>
        <w:left w:val="none" w:sz="0" w:space="0" w:color="auto"/>
        <w:bottom w:val="none" w:sz="0" w:space="0" w:color="auto"/>
        <w:right w:val="none" w:sz="0" w:space="0" w:color="auto"/>
      </w:divBdr>
    </w:div>
    <w:div w:id="762527761">
      <w:bodyDiv w:val="1"/>
      <w:marLeft w:val="0"/>
      <w:marRight w:val="0"/>
      <w:marTop w:val="0"/>
      <w:marBottom w:val="0"/>
      <w:divBdr>
        <w:top w:val="none" w:sz="0" w:space="0" w:color="auto"/>
        <w:left w:val="none" w:sz="0" w:space="0" w:color="auto"/>
        <w:bottom w:val="none" w:sz="0" w:space="0" w:color="auto"/>
        <w:right w:val="none" w:sz="0" w:space="0" w:color="auto"/>
      </w:divBdr>
    </w:div>
    <w:div w:id="795639617">
      <w:bodyDiv w:val="1"/>
      <w:marLeft w:val="0"/>
      <w:marRight w:val="0"/>
      <w:marTop w:val="0"/>
      <w:marBottom w:val="0"/>
      <w:divBdr>
        <w:top w:val="none" w:sz="0" w:space="0" w:color="auto"/>
        <w:left w:val="none" w:sz="0" w:space="0" w:color="auto"/>
        <w:bottom w:val="none" w:sz="0" w:space="0" w:color="auto"/>
        <w:right w:val="none" w:sz="0" w:space="0" w:color="auto"/>
      </w:divBdr>
    </w:div>
    <w:div w:id="840195348">
      <w:bodyDiv w:val="1"/>
      <w:marLeft w:val="0"/>
      <w:marRight w:val="0"/>
      <w:marTop w:val="0"/>
      <w:marBottom w:val="0"/>
      <w:divBdr>
        <w:top w:val="none" w:sz="0" w:space="0" w:color="auto"/>
        <w:left w:val="none" w:sz="0" w:space="0" w:color="auto"/>
        <w:bottom w:val="none" w:sz="0" w:space="0" w:color="auto"/>
        <w:right w:val="none" w:sz="0" w:space="0" w:color="auto"/>
      </w:divBdr>
    </w:div>
    <w:div w:id="855386075">
      <w:bodyDiv w:val="1"/>
      <w:marLeft w:val="0"/>
      <w:marRight w:val="0"/>
      <w:marTop w:val="0"/>
      <w:marBottom w:val="0"/>
      <w:divBdr>
        <w:top w:val="none" w:sz="0" w:space="0" w:color="auto"/>
        <w:left w:val="none" w:sz="0" w:space="0" w:color="auto"/>
        <w:bottom w:val="none" w:sz="0" w:space="0" w:color="auto"/>
        <w:right w:val="none" w:sz="0" w:space="0" w:color="auto"/>
      </w:divBdr>
    </w:div>
    <w:div w:id="963730819">
      <w:bodyDiv w:val="1"/>
      <w:marLeft w:val="0"/>
      <w:marRight w:val="0"/>
      <w:marTop w:val="0"/>
      <w:marBottom w:val="0"/>
      <w:divBdr>
        <w:top w:val="none" w:sz="0" w:space="0" w:color="auto"/>
        <w:left w:val="none" w:sz="0" w:space="0" w:color="auto"/>
        <w:bottom w:val="none" w:sz="0" w:space="0" w:color="auto"/>
        <w:right w:val="none" w:sz="0" w:space="0" w:color="auto"/>
      </w:divBdr>
    </w:div>
    <w:div w:id="969827420">
      <w:bodyDiv w:val="1"/>
      <w:marLeft w:val="0"/>
      <w:marRight w:val="0"/>
      <w:marTop w:val="0"/>
      <w:marBottom w:val="0"/>
      <w:divBdr>
        <w:top w:val="none" w:sz="0" w:space="0" w:color="auto"/>
        <w:left w:val="none" w:sz="0" w:space="0" w:color="auto"/>
        <w:bottom w:val="none" w:sz="0" w:space="0" w:color="auto"/>
        <w:right w:val="none" w:sz="0" w:space="0" w:color="auto"/>
      </w:divBdr>
    </w:div>
    <w:div w:id="973559426">
      <w:bodyDiv w:val="1"/>
      <w:marLeft w:val="0"/>
      <w:marRight w:val="0"/>
      <w:marTop w:val="0"/>
      <w:marBottom w:val="0"/>
      <w:divBdr>
        <w:top w:val="none" w:sz="0" w:space="0" w:color="auto"/>
        <w:left w:val="none" w:sz="0" w:space="0" w:color="auto"/>
        <w:bottom w:val="none" w:sz="0" w:space="0" w:color="auto"/>
        <w:right w:val="none" w:sz="0" w:space="0" w:color="auto"/>
      </w:divBdr>
    </w:div>
    <w:div w:id="1013653107">
      <w:bodyDiv w:val="1"/>
      <w:marLeft w:val="0"/>
      <w:marRight w:val="0"/>
      <w:marTop w:val="0"/>
      <w:marBottom w:val="0"/>
      <w:divBdr>
        <w:top w:val="none" w:sz="0" w:space="0" w:color="auto"/>
        <w:left w:val="none" w:sz="0" w:space="0" w:color="auto"/>
        <w:bottom w:val="none" w:sz="0" w:space="0" w:color="auto"/>
        <w:right w:val="none" w:sz="0" w:space="0" w:color="auto"/>
      </w:divBdr>
    </w:div>
    <w:div w:id="1039743051">
      <w:bodyDiv w:val="1"/>
      <w:marLeft w:val="0"/>
      <w:marRight w:val="0"/>
      <w:marTop w:val="0"/>
      <w:marBottom w:val="0"/>
      <w:divBdr>
        <w:top w:val="none" w:sz="0" w:space="0" w:color="auto"/>
        <w:left w:val="none" w:sz="0" w:space="0" w:color="auto"/>
        <w:bottom w:val="none" w:sz="0" w:space="0" w:color="auto"/>
        <w:right w:val="none" w:sz="0" w:space="0" w:color="auto"/>
      </w:divBdr>
    </w:div>
    <w:div w:id="1054354250">
      <w:bodyDiv w:val="1"/>
      <w:marLeft w:val="0"/>
      <w:marRight w:val="0"/>
      <w:marTop w:val="0"/>
      <w:marBottom w:val="0"/>
      <w:divBdr>
        <w:top w:val="none" w:sz="0" w:space="0" w:color="auto"/>
        <w:left w:val="none" w:sz="0" w:space="0" w:color="auto"/>
        <w:bottom w:val="none" w:sz="0" w:space="0" w:color="auto"/>
        <w:right w:val="none" w:sz="0" w:space="0" w:color="auto"/>
      </w:divBdr>
    </w:div>
    <w:div w:id="1066106863">
      <w:bodyDiv w:val="1"/>
      <w:marLeft w:val="0"/>
      <w:marRight w:val="0"/>
      <w:marTop w:val="0"/>
      <w:marBottom w:val="0"/>
      <w:divBdr>
        <w:top w:val="none" w:sz="0" w:space="0" w:color="auto"/>
        <w:left w:val="none" w:sz="0" w:space="0" w:color="auto"/>
        <w:bottom w:val="none" w:sz="0" w:space="0" w:color="auto"/>
        <w:right w:val="none" w:sz="0" w:space="0" w:color="auto"/>
      </w:divBdr>
    </w:div>
    <w:div w:id="1077627887">
      <w:bodyDiv w:val="1"/>
      <w:marLeft w:val="0"/>
      <w:marRight w:val="0"/>
      <w:marTop w:val="0"/>
      <w:marBottom w:val="0"/>
      <w:divBdr>
        <w:top w:val="none" w:sz="0" w:space="0" w:color="auto"/>
        <w:left w:val="none" w:sz="0" w:space="0" w:color="auto"/>
        <w:bottom w:val="none" w:sz="0" w:space="0" w:color="auto"/>
        <w:right w:val="none" w:sz="0" w:space="0" w:color="auto"/>
      </w:divBdr>
    </w:div>
    <w:div w:id="1092817491">
      <w:bodyDiv w:val="1"/>
      <w:marLeft w:val="0"/>
      <w:marRight w:val="0"/>
      <w:marTop w:val="0"/>
      <w:marBottom w:val="0"/>
      <w:divBdr>
        <w:top w:val="none" w:sz="0" w:space="0" w:color="auto"/>
        <w:left w:val="none" w:sz="0" w:space="0" w:color="auto"/>
        <w:bottom w:val="none" w:sz="0" w:space="0" w:color="auto"/>
        <w:right w:val="none" w:sz="0" w:space="0" w:color="auto"/>
      </w:divBdr>
    </w:div>
    <w:div w:id="1130442632">
      <w:bodyDiv w:val="1"/>
      <w:marLeft w:val="0"/>
      <w:marRight w:val="0"/>
      <w:marTop w:val="0"/>
      <w:marBottom w:val="0"/>
      <w:divBdr>
        <w:top w:val="none" w:sz="0" w:space="0" w:color="auto"/>
        <w:left w:val="none" w:sz="0" w:space="0" w:color="auto"/>
        <w:bottom w:val="none" w:sz="0" w:space="0" w:color="auto"/>
        <w:right w:val="none" w:sz="0" w:space="0" w:color="auto"/>
      </w:divBdr>
    </w:div>
    <w:div w:id="1158349652">
      <w:bodyDiv w:val="1"/>
      <w:marLeft w:val="0"/>
      <w:marRight w:val="0"/>
      <w:marTop w:val="0"/>
      <w:marBottom w:val="0"/>
      <w:divBdr>
        <w:top w:val="none" w:sz="0" w:space="0" w:color="auto"/>
        <w:left w:val="none" w:sz="0" w:space="0" w:color="auto"/>
        <w:bottom w:val="none" w:sz="0" w:space="0" w:color="auto"/>
        <w:right w:val="none" w:sz="0" w:space="0" w:color="auto"/>
      </w:divBdr>
    </w:div>
    <w:div w:id="1220634064">
      <w:bodyDiv w:val="1"/>
      <w:marLeft w:val="0"/>
      <w:marRight w:val="0"/>
      <w:marTop w:val="0"/>
      <w:marBottom w:val="0"/>
      <w:divBdr>
        <w:top w:val="none" w:sz="0" w:space="0" w:color="auto"/>
        <w:left w:val="none" w:sz="0" w:space="0" w:color="auto"/>
        <w:bottom w:val="none" w:sz="0" w:space="0" w:color="auto"/>
        <w:right w:val="none" w:sz="0" w:space="0" w:color="auto"/>
      </w:divBdr>
    </w:div>
    <w:div w:id="1310092000">
      <w:bodyDiv w:val="1"/>
      <w:marLeft w:val="0"/>
      <w:marRight w:val="0"/>
      <w:marTop w:val="0"/>
      <w:marBottom w:val="0"/>
      <w:divBdr>
        <w:top w:val="none" w:sz="0" w:space="0" w:color="auto"/>
        <w:left w:val="none" w:sz="0" w:space="0" w:color="auto"/>
        <w:bottom w:val="none" w:sz="0" w:space="0" w:color="auto"/>
        <w:right w:val="none" w:sz="0" w:space="0" w:color="auto"/>
      </w:divBdr>
    </w:div>
    <w:div w:id="1318994758">
      <w:bodyDiv w:val="1"/>
      <w:marLeft w:val="0"/>
      <w:marRight w:val="0"/>
      <w:marTop w:val="0"/>
      <w:marBottom w:val="0"/>
      <w:divBdr>
        <w:top w:val="none" w:sz="0" w:space="0" w:color="auto"/>
        <w:left w:val="none" w:sz="0" w:space="0" w:color="auto"/>
        <w:bottom w:val="none" w:sz="0" w:space="0" w:color="auto"/>
        <w:right w:val="none" w:sz="0" w:space="0" w:color="auto"/>
      </w:divBdr>
    </w:div>
    <w:div w:id="1351832880">
      <w:bodyDiv w:val="1"/>
      <w:marLeft w:val="0"/>
      <w:marRight w:val="0"/>
      <w:marTop w:val="0"/>
      <w:marBottom w:val="0"/>
      <w:divBdr>
        <w:top w:val="none" w:sz="0" w:space="0" w:color="auto"/>
        <w:left w:val="none" w:sz="0" w:space="0" w:color="auto"/>
        <w:bottom w:val="none" w:sz="0" w:space="0" w:color="auto"/>
        <w:right w:val="none" w:sz="0" w:space="0" w:color="auto"/>
      </w:divBdr>
    </w:div>
    <w:div w:id="1410077877">
      <w:bodyDiv w:val="1"/>
      <w:marLeft w:val="0"/>
      <w:marRight w:val="0"/>
      <w:marTop w:val="0"/>
      <w:marBottom w:val="0"/>
      <w:divBdr>
        <w:top w:val="none" w:sz="0" w:space="0" w:color="auto"/>
        <w:left w:val="none" w:sz="0" w:space="0" w:color="auto"/>
        <w:bottom w:val="none" w:sz="0" w:space="0" w:color="auto"/>
        <w:right w:val="none" w:sz="0" w:space="0" w:color="auto"/>
      </w:divBdr>
    </w:div>
    <w:div w:id="1426803154">
      <w:bodyDiv w:val="1"/>
      <w:marLeft w:val="0"/>
      <w:marRight w:val="0"/>
      <w:marTop w:val="0"/>
      <w:marBottom w:val="0"/>
      <w:divBdr>
        <w:top w:val="none" w:sz="0" w:space="0" w:color="auto"/>
        <w:left w:val="none" w:sz="0" w:space="0" w:color="auto"/>
        <w:bottom w:val="none" w:sz="0" w:space="0" w:color="auto"/>
        <w:right w:val="none" w:sz="0" w:space="0" w:color="auto"/>
      </w:divBdr>
    </w:div>
    <w:div w:id="1476944383">
      <w:bodyDiv w:val="1"/>
      <w:marLeft w:val="0"/>
      <w:marRight w:val="0"/>
      <w:marTop w:val="0"/>
      <w:marBottom w:val="0"/>
      <w:divBdr>
        <w:top w:val="none" w:sz="0" w:space="0" w:color="auto"/>
        <w:left w:val="none" w:sz="0" w:space="0" w:color="auto"/>
        <w:bottom w:val="none" w:sz="0" w:space="0" w:color="auto"/>
        <w:right w:val="none" w:sz="0" w:space="0" w:color="auto"/>
      </w:divBdr>
    </w:div>
    <w:div w:id="1513303443">
      <w:bodyDiv w:val="1"/>
      <w:marLeft w:val="0"/>
      <w:marRight w:val="0"/>
      <w:marTop w:val="0"/>
      <w:marBottom w:val="0"/>
      <w:divBdr>
        <w:top w:val="none" w:sz="0" w:space="0" w:color="auto"/>
        <w:left w:val="none" w:sz="0" w:space="0" w:color="auto"/>
        <w:bottom w:val="none" w:sz="0" w:space="0" w:color="auto"/>
        <w:right w:val="none" w:sz="0" w:space="0" w:color="auto"/>
      </w:divBdr>
    </w:div>
    <w:div w:id="1556971040">
      <w:bodyDiv w:val="1"/>
      <w:marLeft w:val="0"/>
      <w:marRight w:val="0"/>
      <w:marTop w:val="0"/>
      <w:marBottom w:val="0"/>
      <w:divBdr>
        <w:top w:val="none" w:sz="0" w:space="0" w:color="auto"/>
        <w:left w:val="none" w:sz="0" w:space="0" w:color="auto"/>
        <w:bottom w:val="none" w:sz="0" w:space="0" w:color="auto"/>
        <w:right w:val="none" w:sz="0" w:space="0" w:color="auto"/>
      </w:divBdr>
    </w:div>
    <w:div w:id="1579286668">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723677431">
      <w:bodyDiv w:val="1"/>
      <w:marLeft w:val="0"/>
      <w:marRight w:val="0"/>
      <w:marTop w:val="0"/>
      <w:marBottom w:val="0"/>
      <w:divBdr>
        <w:top w:val="none" w:sz="0" w:space="0" w:color="auto"/>
        <w:left w:val="none" w:sz="0" w:space="0" w:color="auto"/>
        <w:bottom w:val="none" w:sz="0" w:space="0" w:color="auto"/>
        <w:right w:val="none" w:sz="0" w:space="0" w:color="auto"/>
      </w:divBdr>
    </w:div>
    <w:div w:id="1758600954">
      <w:bodyDiv w:val="1"/>
      <w:marLeft w:val="0"/>
      <w:marRight w:val="0"/>
      <w:marTop w:val="0"/>
      <w:marBottom w:val="0"/>
      <w:divBdr>
        <w:top w:val="none" w:sz="0" w:space="0" w:color="auto"/>
        <w:left w:val="none" w:sz="0" w:space="0" w:color="auto"/>
        <w:bottom w:val="none" w:sz="0" w:space="0" w:color="auto"/>
        <w:right w:val="none" w:sz="0" w:space="0" w:color="auto"/>
      </w:divBdr>
    </w:div>
    <w:div w:id="1762602920">
      <w:bodyDiv w:val="1"/>
      <w:marLeft w:val="0"/>
      <w:marRight w:val="0"/>
      <w:marTop w:val="0"/>
      <w:marBottom w:val="0"/>
      <w:divBdr>
        <w:top w:val="none" w:sz="0" w:space="0" w:color="auto"/>
        <w:left w:val="none" w:sz="0" w:space="0" w:color="auto"/>
        <w:bottom w:val="none" w:sz="0" w:space="0" w:color="auto"/>
        <w:right w:val="none" w:sz="0" w:space="0" w:color="auto"/>
      </w:divBdr>
    </w:div>
    <w:div w:id="1779451380">
      <w:bodyDiv w:val="1"/>
      <w:marLeft w:val="0"/>
      <w:marRight w:val="0"/>
      <w:marTop w:val="0"/>
      <w:marBottom w:val="0"/>
      <w:divBdr>
        <w:top w:val="none" w:sz="0" w:space="0" w:color="auto"/>
        <w:left w:val="none" w:sz="0" w:space="0" w:color="auto"/>
        <w:bottom w:val="none" w:sz="0" w:space="0" w:color="auto"/>
        <w:right w:val="none" w:sz="0" w:space="0" w:color="auto"/>
      </w:divBdr>
    </w:div>
    <w:div w:id="1839996185">
      <w:bodyDiv w:val="1"/>
      <w:marLeft w:val="0"/>
      <w:marRight w:val="0"/>
      <w:marTop w:val="0"/>
      <w:marBottom w:val="0"/>
      <w:divBdr>
        <w:top w:val="none" w:sz="0" w:space="0" w:color="auto"/>
        <w:left w:val="none" w:sz="0" w:space="0" w:color="auto"/>
        <w:bottom w:val="none" w:sz="0" w:space="0" w:color="auto"/>
        <w:right w:val="none" w:sz="0" w:space="0" w:color="auto"/>
      </w:divBdr>
    </w:div>
    <w:div w:id="1892693874">
      <w:bodyDiv w:val="1"/>
      <w:marLeft w:val="0"/>
      <w:marRight w:val="0"/>
      <w:marTop w:val="0"/>
      <w:marBottom w:val="0"/>
      <w:divBdr>
        <w:top w:val="none" w:sz="0" w:space="0" w:color="auto"/>
        <w:left w:val="none" w:sz="0" w:space="0" w:color="auto"/>
        <w:bottom w:val="none" w:sz="0" w:space="0" w:color="auto"/>
        <w:right w:val="none" w:sz="0" w:space="0" w:color="auto"/>
      </w:divBdr>
    </w:div>
    <w:div w:id="1944531505">
      <w:bodyDiv w:val="1"/>
      <w:marLeft w:val="0"/>
      <w:marRight w:val="0"/>
      <w:marTop w:val="0"/>
      <w:marBottom w:val="0"/>
      <w:divBdr>
        <w:top w:val="none" w:sz="0" w:space="0" w:color="auto"/>
        <w:left w:val="none" w:sz="0" w:space="0" w:color="auto"/>
        <w:bottom w:val="none" w:sz="0" w:space="0" w:color="auto"/>
        <w:right w:val="none" w:sz="0" w:space="0" w:color="auto"/>
      </w:divBdr>
    </w:div>
    <w:div w:id="1973821783">
      <w:bodyDiv w:val="1"/>
      <w:marLeft w:val="0"/>
      <w:marRight w:val="0"/>
      <w:marTop w:val="0"/>
      <w:marBottom w:val="0"/>
      <w:divBdr>
        <w:top w:val="none" w:sz="0" w:space="0" w:color="auto"/>
        <w:left w:val="none" w:sz="0" w:space="0" w:color="auto"/>
        <w:bottom w:val="none" w:sz="0" w:space="0" w:color="auto"/>
        <w:right w:val="none" w:sz="0" w:space="0" w:color="auto"/>
      </w:divBdr>
    </w:div>
    <w:div w:id="1981569176">
      <w:bodyDiv w:val="1"/>
      <w:marLeft w:val="0"/>
      <w:marRight w:val="0"/>
      <w:marTop w:val="0"/>
      <w:marBottom w:val="0"/>
      <w:divBdr>
        <w:top w:val="none" w:sz="0" w:space="0" w:color="auto"/>
        <w:left w:val="none" w:sz="0" w:space="0" w:color="auto"/>
        <w:bottom w:val="none" w:sz="0" w:space="0" w:color="auto"/>
        <w:right w:val="none" w:sz="0" w:space="0" w:color="auto"/>
      </w:divBdr>
    </w:div>
    <w:div w:id="2027518652">
      <w:bodyDiv w:val="1"/>
      <w:marLeft w:val="0"/>
      <w:marRight w:val="0"/>
      <w:marTop w:val="0"/>
      <w:marBottom w:val="0"/>
      <w:divBdr>
        <w:top w:val="none" w:sz="0" w:space="0" w:color="auto"/>
        <w:left w:val="none" w:sz="0" w:space="0" w:color="auto"/>
        <w:bottom w:val="none" w:sz="0" w:space="0" w:color="auto"/>
        <w:right w:val="none" w:sz="0" w:space="0" w:color="auto"/>
      </w:divBdr>
    </w:div>
    <w:div w:id="2053261186">
      <w:bodyDiv w:val="1"/>
      <w:marLeft w:val="0"/>
      <w:marRight w:val="0"/>
      <w:marTop w:val="0"/>
      <w:marBottom w:val="0"/>
      <w:divBdr>
        <w:top w:val="none" w:sz="0" w:space="0" w:color="auto"/>
        <w:left w:val="none" w:sz="0" w:space="0" w:color="auto"/>
        <w:bottom w:val="none" w:sz="0" w:space="0" w:color="auto"/>
        <w:right w:val="none" w:sz="0" w:space="0" w:color="auto"/>
      </w:divBdr>
    </w:div>
    <w:div w:id="2053378786">
      <w:bodyDiv w:val="1"/>
      <w:marLeft w:val="0"/>
      <w:marRight w:val="0"/>
      <w:marTop w:val="0"/>
      <w:marBottom w:val="0"/>
      <w:divBdr>
        <w:top w:val="none" w:sz="0" w:space="0" w:color="auto"/>
        <w:left w:val="none" w:sz="0" w:space="0" w:color="auto"/>
        <w:bottom w:val="none" w:sz="0" w:space="0" w:color="auto"/>
        <w:right w:val="none" w:sz="0" w:space="0" w:color="auto"/>
      </w:divBdr>
    </w:div>
    <w:div w:id="2055620618">
      <w:bodyDiv w:val="1"/>
      <w:marLeft w:val="0"/>
      <w:marRight w:val="0"/>
      <w:marTop w:val="0"/>
      <w:marBottom w:val="0"/>
      <w:divBdr>
        <w:top w:val="none" w:sz="0" w:space="0" w:color="auto"/>
        <w:left w:val="none" w:sz="0" w:space="0" w:color="auto"/>
        <w:bottom w:val="none" w:sz="0" w:space="0" w:color="auto"/>
        <w:right w:val="none" w:sz="0" w:space="0" w:color="auto"/>
      </w:divBdr>
    </w:div>
    <w:div w:id="2086143135">
      <w:bodyDiv w:val="1"/>
      <w:marLeft w:val="0"/>
      <w:marRight w:val="0"/>
      <w:marTop w:val="0"/>
      <w:marBottom w:val="0"/>
      <w:divBdr>
        <w:top w:val="none" w:sz="0" w:space="0" w:color="auto"/>
        <w:left w:val="none" w:sz="0" w:space="0" w:color="auto"/>
        <w:bottom w:val="none" w:sz="0" w:space="0" w:color="auto"/>
        <w:right w:val="none" w:sz="0" w:space="0" w:color="auto"/>
      </w:divBdr>
    </w:div>
    <w:div w:id="2092123210">
      <w:bodyDiv w:val="1"/>
      <w:marLeft w:val="0"/>
      <w:marRight w:val="0"/>
      <w:marTop w:val="0"/>
      <w:marBottom w:val="0"/>
      <w:divBdr>
        <w:top w:val="none" w:sz="0" w:space="0" w:color="auto"/>
        <w:left w:val="none" w:sz="0" w:space="0" w:color="auto"/>
        <w:bottom w:val="none" w:sz="0" w:space="0" w:color="auto"/>
        <w:right w:val="none" w:sz="0" w:space="0" w:color="auto"/>
      </w:divBdr>
    </w:div>
    <w:div w:id="2102025949">
      <w:bodyDiv w:val="1"/>
      <w:marLeft w:val="0"/>
      <w:marRight w:val="0"/>
      <w:marTop w:val="0"/>
      <w:marBottom w:val="0"/>
      <w:divBdr>
        <w:top w:val="none" w:sz="0" w:space="0" w:color="auto"/>
        <w:left w:val="none" w:sz="0" w:space="0" w:color="auto"/>
        <w:bottom w:val="none" w:sz="0" w:space="0" w:color="auto"/>
        <w:right w:val="none" w:sz="0" w:space="0" w:color="auto"/>
      </w:divBdr>
    </w:div>
    <w:div w:id="2114014304">
      <w:bodyDiv w:val="1"/>
      <w:marLeft w:val="0"/>
      <w:marRight w:val="0"/>
      <w:marTop w:val="0"/>
      <w:marBottom w:val="0"/>
      <w:divBdr>
        <w:top w:val="none" w:sz="0" w:space="0" w:color="auto"/>
        <w:left w:val="none" w:sz="0" w:space="0" w:color="auto"/>
        <w:bottom w:val="none" w:sz="0" w:space="0" w:color="auto"/>
        <w:right w:val="none" w:sz="0" w:space="0" w:color="auto"/>
      </w:divBdr>
    </w:div>
    <w:div w:id="2136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2" ma:contentTypeDescription="Crear nuevo documento." ma:contentTypeScope="" ma:versionID="eaa727ef870fd2c6ab0b236e1237bc7c">
  <xsd:schema xmlns:xsd="http://www.w3.org/2001/XMLSchema" xmlns:xs="http://www.w3.org/2001/XMLSchema" xmlns:p="http://schemas.microsoft.com/office/2006/metadata/properties" xmlns:ns2="f713b45c-a511-40bd-b89e-cd2117ce9f07" targetNamespace="http://schemas.microsoft.com/office/2006/metadata/properties" ma:root="true" ma:fieldsID="52f97668c049a6a65d25c4fb0a92b5a3" ns2:_="">
    <xsd:import namespace="f713b45c-a511-40bd-b89e-cd2117ce9f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6035-53E6-443B-B7C7-66351F01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B80DB-A3EE-4E89-B979-CB7F3EDFDF57}">
  <ds:schemaRefs>
    <ds:schemaRef ds:uri="http://schemas.microsoft.com/sharepoint/v3/contenttype/forms"/>
  </ds:schemaRefs>
</ds:datastoreItem>
</file>

<file path=customXml/itemProps3.xml><?xml version="1.0" encoding="utf-8"?>
<ds:datastoreItem xmlns:ds="http://schemas.openxmlformats.org/officeDocument/2006/customXml" ds:itemID="{BF0559DC-6C8A-441A-B258-E6FAB89F1A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585E8-6503-4DA3-8209-2E39983F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15560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dc:description/>
  <cp:lastModifiedBy>GONZALO LOPEZ NIÑO</cp:lastModifiedBy>
  <cp:revision>2</cp:revision>
  <dcterms:created xsi:type="dcterms:W3CDTF">2021-07-22T19:56:00Z</dcterms:created>
  <dcterms:modified xsi:type="dcterms:W3CDTF">2021-07-22T19:56:00Z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