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61A9" w14:textId="380362FE" w:rsidR="00735555" w:rsidRDefault="00735555" w:rsidP="000000DE">
      <w:pPr>
        <w:widowControl w:val="0"/>
        <w:spacing w:line="276" w:lineRule="auto"/>
        <w:ind w:right="-1"/>
        <w:contextualSpacing/>
        <w:jc w:val="both"/>
        <w:rPr>
          <w:rFonts w:ascii="Arial" w:hAnsi="Arial" w:cs="Arial"/>
          <w:iCs/>
          <w:sz w:val="24"/>
          <w:szCs w:val="24"/>
          <w:lang w:val="es-CO"/>
        </w:rPr>
      </w:pPr>
      <w:r>
        <w:rPr>
          <w:rFonts w:ascii="Arial" w:hAnsi="Arial" w:cs="Arial"/>
          <w:iCs/>
          <w:sz w:val="24"/>
          <w:szCs w:val="24"/>
        </w:rPr>
        <w:t xml:space="preserve">Tunja, </w:t>
      </w:r>
      <w:r w:rsidR="0038392B">
        <w:rPr>
          <w:rFonts w:ascii="Arial" w:hAnsi="Arial" w:cs="Arial"/>
          <w:iCs/>
          <w:sz w:val="24"/>
          <w:szCs w:val="24"/>
        </w:rPr>
        <w:t>veinticuatro (24) de agosto de dos mil veintiuno (2021)</w:t>
      </w:r>
    </w:p>
    <w:p w14:paraId="339EDB32" w14:textId="704BEA13" w:rsidR="00C83D7B" w:rsidRDefault="00C83D7B" w:rsidP="000000DE">
      <w:pPr>
        <w:spacing w:line="276" w:lineRule="auto"/>
        <w:ind w:right="50"/>
        <w:contextualSpacing/>
        <w:jc w:val="both"/>
        <w:rPr>
          <w:rFonts w:ascii="Arial" w:hAnsi="Arial" w:cs="Arial"/>
          <w:iCs/>
          <w:sz w:val="24"/>
          <w:szCs w:val="24"/>
        </w:rPr>
      </w:pPr>
    </w:p>
    <w:p w14:paraId="2D3404C3" w14:textId="77777777" w:rsidR="00D638E7" w:rsidRPr="00D638E7" w:rsidRDefault="00D638E7" w:rsidP="000000DE">
      <w:pPr>
        <w:spacing w:line="276" w:lineRule="auto"/>
        <w:ind w:right="50"/>
        <w:contextualSpacing/>
        <w:jc w:val="both"/>
        <w:rPr>
          <w:rFonts w:ascii="Arial" w:hAnsi="Arial" w:cs="Arial"/>
          <w:iCs/>
          <w:sz w:val="24"/>
          <w:szCs w:val="24"/>
        </w:rPr>
      </w:pPr>
      <w:r w:rsidRPr="00D638E7">
        <w:rPr>
          <w:rFonts w:ascii="Arial" w:hAnsi="Arial" w:cs="Arial"/>
          <w:iCs/>
          <w:sz w:val="24"/>
          <w:szCs w:val="24"/>
        </w:rPr>
        <w:t>Radicación: 15001 23 33 000 2021 00262 00</w:t>
      </w:r>
    </w:p>
    <w:p w14:paraId="3FA7804F" w14:textId="77777777" w:rsidR="00D638E7" w:rsidRPr="00D638E7" w:rsidRDefault="00D638E7" w:rsidP="000000DE">
      <w:pPr>
        <w:spacing w:line="276" w:lineRule="auto"/>
        <w:ind w:right="50"/>
        <w:contextualSpacing/>
        <w:jc w:val="both"/>
        <w:rPr>
          <w:rFonts w:ascii="Arial" w:hAnsi="Arial" w:cs="Arial"/>
          <w:iCs/>
          <w:sz w:val="24"/>
          <w:szCs w:val="24"/>
        </w:rPr>
      </w:pPr>
      <w:r w:rsidRPr="00D638E7">
        <w:rPr>
          <w:rFonts w:ascii="Arial" w:hAnsi="Arial" w:cs="Arial"/>
          <w:iCs/>
          <w:sz w:val="24"/>
          <w:szCs w:val="24"/>
        </w:rPr>
        <w:t>Demandante: Departamento de Boyacá</w:t>
      </w:r>
    </w:p>
    <w:p w14:paraId="17F23DE1" w14:textId="77777777" w:rsidR="00D638E7" w:rsidRPr="00D638E7" w:rsidRDefault="00D638E7" w:rsidP="000000DE">
      <w:pPr>
        <w:spacing w:line="276" w:lineRule="auto"/>
        <w:ind w:right="50"/>
        <w:contextualSpacing/>
        <w:jc w:val="both"/>
        <w:rPr>
          <w:rFonts w:ascii="Arial" w:hAnsi="Arial" w:cs="Arial"/>
          <w:iCs/>
          <w:sz w:val="24"/>
          <w:szCs w:val="24"/>
        </w:rPr>
      </w:pPr>
      <w:r w:rsidRPr="00D638E7">
        <w:rPr>
          <w:rFonts w:ascii="Arial" w:hAnsi="Arial" w:cs="Arial"/>
          <w:iCs/>
          <w:sz w:val="24"/>
          <w:szCs w:val="24"/>
        </w:rPr>
        <w:t>Demandado: Municipio de Tibaná</w:t>
      </w:r>
    </w:p>
    <w:p w14:paraId="48A1C263" w14:textId="431EC21C" w:rsidR="00D638E7" w:rsidRDefault="00D638E7" w:rsidP="000000DE">
      <w:pPr>
        <w:spacing w:line="276" w:lineRule="auto"/>
        <w:ind w:right="50"/>
        <w:contextualSpacing/>
        <w:jc w:val="both"/>
        <w:rPr>
          <w:rFonts w:ascii="Arial" w:hAnsi="Arial" w:cs="Arial"/>
          <w:iCs/>
          <w:sz w:val="24"/>
          <w:szCs w:val="24"/>
        </w:rPr>
      </w:pPr>
      <w:r w:rsidRPr="00D638E7">
        <w:rPr>
          <w:rFonts w:ascii="Arial" w:hAnsi="Arial" w:cs="Arial"/>
          <w:iCs/>
          <w:sz w:val="24"/>
          <w:szCs w:val="24"/>
        </w:rPr>
        <w:t>Medio de control: Validez de acuerdo</w:t>
      </w:r>
    </w:p>
    <w:p w14:paraId="0E098138" w14:textId="1DAF0681" w:rsidR="00D638E7" w:rsidRDefault="00D638E7" w:rsidP="000000DE">
      <w:pPr>
        <w:spacing w:line="276" w:lineRule="auto"/>
        <w:ind w:right="50"/>
        <w:contextualSpacing/>
        <w:jc w:val="both"/>
        <w:rPr>
          <w:rFonts w:ascii="Arial" w:hAnsi="Arial" w:cs="Arial"/>
          <w:iCs/>
          <w:sz w:val="24"/>
          <w:szCs w:val="24"/>
        </w:rPr>
      </w:pPr>
    </w:p>
    <w:p w14:paraId="41604388" w14:textId="64980000" w:rsidR="00952C40" w:rsidRDefault="00C83D7B" w:rsidP="000000DE">
      <w:pPr>
        <w:spacing w:line="276" w:lineRule="auto"/>
        <w:ind w:right="51"/>
        <w:contextualSpacing/>
        <w:jc w:val="both"/>
        <w:rPr>
          <w:rFonts w:ascii="Arial" w:hAnsi="Arial" w:cs="Arial"/>
          <w:sz w:val="22"/>
          <w:szCs w:val="22"/>
        </w:rPr>
      </w:pPr>
      <w:r w:rsidRPr="005618E0">
        <w:rPr>
          <w:rFonts w:ascii="Arial" w:hAnsi="Arial" w:cs="Arial"/>
          <w:sz w:val="22"/>
          <w:szCs w:val="22"/>
        </w:rPr>
        <w:t>Tema: Sentencia de única instancia.</w:t>
      </w:r>
      <w:r w:rsidR="0046032C" w:rsidRPr="005618E0">
        <w:rPr>
          <w:rFonts w:ascii="Arial" w:hAnsi="Arial" w:cs="Arial"/>
          <w:sz w:val="22"/>
          <w:szCs w:val="22"/>
        </w:rPr>
        <w:t xml:space="preserve"> Se declara invalidez </w:t>
      </w:r>
      <w:r w:rsidR="00C37201">
        <w:rPr>
          <w:rFonts w:ascii="Arial" w:hAnsi="Arial" w:cs="Arial"/>
          <w:sz w:val="22"/>
          <w:szCs w:val="22"/>
        </w:rPr>
        <w:t xml:space="preserve">del acuerdo </w:t>
      </w:r>
      <w:r w:rsidR="00053771" w:rsidRPr="005618E0">
        <w:rPr>
          <w:rFonts w:ascii="Arial" w:hAnsi="Arial" w:cs="Arial"/>
          <w:sz w:val="22"/>
          <w:szCs w:val="22"/>
        </w:rPr>
        <w:t>porque, de form</w:t>
      </w:r>
      <w:r w:rsidR="00FC0AC8">
        <w:rPr>
          <w:rFonts w:ascii="Arial" w:hAnsi="Arial" w:cs="Arial"/>
          <w:sz w:val="22"/>
          <w:szCs w:val="22"/>
        </w:rPr>
        <w:t xml:space="preserve">a </w:t>
      </w:r>
      <w:r w:rsidR="00053771" w:rsidRPr="005618E0">
        <w:rPr>
          <w:rFonts w:ascii="Arial" w:hAnsi="Arial" w:cs="Arial"/>
          <w:sz w:val="22"/>
          <w:szCs w:val="22"/>
        </w:rPr>
        <w:t xml:space="preserve">ilegal, el concejo </w:t>
      </w:r>
      <w:r w:rsidR="00702D78">
        <w:rPr>
          <w:rFonts w:ascii="Arial" w:hAnsi="Arial" w:cs="Arial"/>
          <w:sz w:val="22"/>
          <w:szCs w:val="22"/>
        </w:rPr>
        <w:t xml:space="preserve">del municipio de Tibaná </w:t>
      </w:r>
      <w:r w:rsidR="00FC0AC8">
        <w:rPr>
          <w:rFonts w:ascii="Arial" w:hAnsi="Arial" w:cs="Arial"/>
          <w:sz w:val="22"/>
          <w:szCs w:val="22"/>
        </w:rPr>
        <w:t xml:space="preserve">desconoció que </w:t>
      </w:r>
      <w:r w:rsidR="00702D78" w:rsidRPr="00702D78">
        <w:rPr>
          <w:rFonts w:ascii="Arial" w:hAnsi="Arial" w:cs="Arial"/>
          <w:sz w:val="22"/>
          <w:szCs w:val="22"/>
        </w:rPr>
        <w:t xml:space="preserve">las facultades </w:t>
      </w:r>
      <w:r w:rsidR="00702D78" w:rsidRPr="00702D78">
        <w:rPr>
          <w:rFonts w:ascii="Arial" w:hAnsi="Arial" w:cs="Arial"/>
          <w:i/>
          <w:iCs/>
          <w:sz w:val="22"/>
          <w:szCs w:val="22"/>
        </w:rPr>
        <w:t>pro tempore</w:t>
      </w:r>
      <w:r w:rsidR="00702D78" w:rsidRPr="00702D78">
        <w:rPr>
          <w:rFonts w:ascii="Arial" w:hAnsi="Arial" w:cs="Arial"/>
          <w:sz w:val="22"/>
          <w:szCs w:val="22"/>
        </w:rPr>
        <w:t xml:space="preserve"> que </w:t>
      </w:r>
      <w:r w:rsidR="00166107">
        <w:rPr>
          <w:rFonts w:ascii="Arial" w:hAnsi="Arial" w:cs="Arial"/>
          <w:sz w:val="22"/>
          <w:szCs w:val="22"/>
        </w:rPr>
        <w:t xml:space="preserve">él concede al alcalde </w:t>
      </w:r>
      <w:r w:rsidR="00702D78" w:rsidRPr="00702D78">
        <w:rPr>
          <w:rFonts w:ascii="Arial" w:hAnsi="Arial" w:cs="Arial"/>
          <w:sz w:val="22"/>
          <w:szCs w:val="22"/>
        </w:rPr>
        <w:t>no pueden ser prorrogadas sucesivamente</w:t>
      </w:r>
      <w:r w:rsidR="00166107">
        <w:rPr>
          <w:rFonts w:ascii="Arial" w:hAnsi="Arial" w:cs="Arial"/>
          <w:sz w:val="22"/>
          <w:szCs w:val="22"/>
        </w:rPr>
        <w:t xml:space="preserve">. </w:t>
      </w:r>
    </w:p>
    <w:p w14:paraId="45AEC6D0" w14:textId="77777777" w:rsidR="00952C40" w:rsidRDefault="00952C40" w:rsidP="000000DE">
      <w:pPr>
        <w:spacing w:line="276" w:lineRule="auto"/>
        <w:ind w:right="51"/>
        <w:contextualSpacing/>
        <w:jc w:val="both"/>
        <w:rPr>
          <w:rFonts w:ascii="Arial" w:hAnsi="Arial" w:cs="Arial"/>
          <w:sz w:val="22"/>
          <w:szCs w:val="22"/>
        </w:rPr>
      </w:pPr>
    </w:p>
    <w:p w14:paraId="028A1427" w14:textId="0824092A" w:rsidR="00C83D7B" w:rsidRPr="0096756A" w:rsidRDefault="00C83D7B" w:rsidP="000000DE">
      <w:pPr>
        <w:pStyle w:val="Prconnumeracin"/>
        <w:numPr>
          <w:ilvl w:val="0"/>
          <w:numId w:val="0"/>
        </w:numPr>
        <w:contextualSpacing/>
        <w:rPr>
          <w:rFonts w:ascii="Arial" w:hAnsi="Arial"/>
        </w:rPr>
      </w:pPr>
      <w:r w:rsidRPr="0096756A">
        <w:rPr>
          <w:rFonts w:ascii="Arial" w:hAnsi="Arial"/>
        </w:rPr>
        <w:t>Verificada la inexistencia de irregularidades que invaliden la actuación y cump</w:t>
      </w:r>
      <w:r>
        <w:rPr>
          <w:rFonts w:ascii="Arial" w:hAnsi="Arial"/>
        </w:rPr>
        <w:t>l</w:t>
      </w:r>
      <w:r w:rsidRPr="0096756A">
        <w:rPr>
          <w:rFonts w:ascii="Arial" w:hAnsi="Arial"/>
        </w:rPr>
        <w:t>ido en legal forma el trámite de única instancia previsto para esta clase de acciones, la Sala procede a proferir la decisión de fondo en el</w:t>
      </w:r>
      <w:r>
        <w:rPr>
          <w:rFonts w:ascii="Arial" w:hAnsi="Arial"/>
        </w:rPr>
        <w:t xml:space="preserve"> presente</w:t>
      </w:r>
      <w:r w:rsidRPr="0096756A">
        <w:rPr>
          <w:rFonts w:ascii="Arial" w:hAnsi="Arial"/>
        </w:rPr>
        <w:t xml:space="preserve"> asunto.</w:t>
      </w:r>
    </w:p>
    <w:p w14:paraId="361973FB" w14:textId="7B8E5BE0" w:rsidR="00ED25E6" w:rsidRPr="001B0C42" w:rsidRDefault="000740CF" w:rsidP="000000DE">
      <w:pPr>
        <w:spacing w:line="276" w:lineRule="auto"/>
        <w:ind w:right="50"/>
        <w:contextualSpacing/>
        <w:jc w:val="both"/>
        <w:rPr>
          <w:rFonts w:ascii="Arial" w:hAnsi="Arial" w:cs="Arial"/>
          <w:iCs/>
          <w:sz w:val="24"/>
          <w:szCs w:val="24"/>
        </w:rPr>
      </w:pPr>
      <w:r w:rsidRPr="001B0C42">
        <w:rPr>
          <w:rFonts w:ascii="Arial" w:hAnsi="Arial" w:cs="Arial"/>
          <w:iCs/>
          <w:sz w:val="24"/>
          <w:szCs w:val="24"/>
        </w:rPr>
        <w:t xml:space="preserve"> </w:t>
      </w:r>
    </w:p>
    <w:p w14:paraId="5DB2B482" w14:textId="77777777" w:rsidR="001A5435" w:rsidRPr="001B0C42" w:rsidRDefault="001A5435" w:rsidP="000000DE">
      <w:pPr>
        <w:spacing w:line="276" w:lineRule="auto"/>
        <w:ind w:right="-233"/>
        <w:contextualSpacing/>
        <w:jc w:val="center"/>
        <w:rPr>
          <w:rFonts w:ascii="Arial" w:hAnsi="Arial" w:cs="Arial"/>
          <w:b/>
          <w:iCs/>
          <w:sz w:val="24"/>
          <w:szCs w:val="24"/>
          <w:lang w:val="es-CO"/>
        </w:rPr>
      </w:pPr>
      <w:r w:rsidRPr="001B0C42">
        <w:rPr>
          <w:rFonts w:ascii="Arial" w:hAnsi="Arial" w:cs="Arial"/>
          <w:b/>
          <w:iCs/>
          <w:sz w:val="24"/>
          <w:szCs w:val="24"/>
          <w:lang w:val="es-CO"/>
        </w:rPr>
        <w:t>I. ANTECEDENTES</w:t>
      </w:r>
    </w:p>
    <w:p w14:paraId="2BC3D1A5" w14:textId="77777777" w:rsidR="001A5435" w:rsidRPr="001B0C42" w:rsidRDefault="001A5435" w:rsidP="000000DE">
      <w:pPr>
        <w:spacing w:line="276" w:lineRule="auto"/>
        <w:ind w:right="-233"/>
        <w:contextualSpacing/>
        <w:jc w:val="both"/>
        <w:rPr>
          <w:rFonts w:ascii="Arial" w:hAnsi="Arial" w:cs="Arial"/>
          <w:iCs/>
          <w:sz w:val="24"/>
          <w:szCs w:val="24"/>
          <w:lang w:val="es-CO"/>
        </w:rPr>
      </w:pPr>
    </w:p>
    <w:p w14:paraId="124E686F" w14:textId="0CB7ACFE" w:rsidR="001A5435" w:rsidRPr="001B0C42" w:rsidRDefault="00C83D7B" w:rsidP="000000DE">
      <w:pPr>
        <w:overflowPunct w:val="0"/>
        <w:autoSpaceDE w:val="0"/>
        <w:autoSpaceDN w:val="0"/>
        <w:adjustRightInd w:val="0"/>
        <w:spacing w:line="276" w:lineRule="auto"/>
        <w:ind w:right="-233"/>
        <w:contextualSpacing/>
        <w:jc w:val="both"/>
        <w:textAlignment w:val="baseline"/>
        <w:rPr>
          <w:rFonts w:ascii="Arial" w:hAnsi="Arial" w:cs="Arial"/>
          <w:iCs/>
          <w:sz w:val="24"/>
          <w:szCs w:val="24"/>
          <w:lang w:val="es-CO"/>
        </w:rPr>
      </w:pPr>
      <w:r>
        <w:rPr>
          <w:rFonts w:ascii="Arial" w:hAnsi="Arial" w:cs="Arial"/>
          <w:b/>
          <w:iCs/>
          <w:sz w:val="24"/>
          <w:szCs w:val="24"/>
          <w:lang w:val="es-CO"/>
        </w:rPr>
        <w:t>Demanda</w:t>
      </w:r>
      <w:r w:rsidR="000227A0">
        <w:rPr>
          <w:rStyle w:val="Refdenotaalpie"/>
          <w:rFonts w:ascii="Arial" w:hAnsi="Arial" w:cs="Arial"/>
          <w:b/>
          <w:iCs/>
          <w:sz w:val="24"/>
          <w:szCs w:val="24"/>
          <w:lang w:val="es-CO"/>
        </w:rPr>
        <w:footnoteReference w:id="1"/>
      </w:r>
    </w:p>
    <w:p w14:paraId="6509145B" w14:textId="77777777" w:rsidR="001A5435" w:rsidRPr="001B0C42" w:rsidRDefault="001A5435" w:rsidP="000000DE">
      <w:pPr>
        <w:spacing w:line="276" w:lineRule="auto"/>
        <w:ind w:left="1080" w:right="-233"/>
        <w:contextualSpacing/>
        <w:jc w:val="both"/>
        <w:rPr>
          <w:rFonts w:ascii="Arial" w:hAnsi="Arial" w:cs="Arial"/>
          <w:iCs/>
          <w:sz w:val="24"/>
          <w:szCs w:val="24"/>
          <w:lang w:val="es-CO"/>
        </w:rPr>
      </w:pPr>
    </w:p>
    <w:p w14:paraId="25A468DF" w14:textId="61DE6C1E" w:rsidR="00162A7F" w:rsidRDefault="008D2703" w:rsidP="000000DE">
      <w:pPr>
        <w:spacing w:line="276" w:lineRule="auto"/>
        <w:ind w:right="-233"/>
        <w:contextualSpacing/>
        <w:jc w:val="both"/>
        <w:rPr>
          <w:rFonts w:ascii="Arial" w:eastAsia="Arial" w:hAnsi="Arial" w:cs="Arial"/>
          <w:sz w:val="24"/>
          <w:szCs w:val="24"/>
          <w:lang w:val="es"/>
        </w:rPr>
      </w:pPr>
      <w:r>
        <w:rPr>
          <w:rFonts w:ascii="Arial" w:hAnsi="Arial" w:cs="Arial"/>
          <w:color w:val="000000"/>
          <w:sz w:val="24"/>
          <w:szCs w:val="24"/>
          <w:lang w:val="es-CO"/>
        </w:rPr>
        <w:t>1.</w:t>
      </w:r>
      <w:r w:rsidR="00452A32">
        <w:rPr>
          <w:rFonts w:ascii="Arial" w:hAnsi="Arial" w:cs="Arial"/>
          <w:color w:val="000000"/>
          <w:sz w:val="24"/>
          <w:szCs w:val="24"/>
          <w:lang w:val="es-CO"/>
        </w:rPr>
        <w:t xml:space="preserve"> </w:t>
      </w:r>
      <w:r w:rsidR="001A5435" w:rsidRPr="00D95216">
        <w:rPr>
          <w:rFonts w:ascii="Arial" w:hAnsi="Arial" w:cs="Arial"/>
          <w:color w:val="000000"/>
          <w:sz w:val="24"/>
          <w:szCs w:val="24"/>
          <w:lang w:val="es-CO"/>
        </w:rPr>
        <w:t xml:space="preserve">El </w:t>
      </w:r>
      <w:r w:rsidR="0057670A">
        <w:rPr>
          <w:rFonts w:ascii="Arial" w:hAnsi="Arial" w:cs="Arial"/>
          <w:color w:val="000000"/>
          <w:sz w:val="24"/>
          <w:szCs w:val="24"/>
          <w:lang w:val="es-CO"/>
        </w:rPr>
        <w:t>Departamento de Boyacá</w:t>
      </w:r>
      <w:r w:rsidR="001A5435" w:rsidRPr="00D95216">
        <w:rPr>
          <w:rFonts w:ascii="Arial" w:hAnsi="Arial" w:cs="Arial"/>
          <w:color w:val="000000"/>
          <w:sz w:val="24"/>
          <w:szCs w:val="24"/>
          <w:lang w:val="es-CO"/>
        </w:rPr>
        <w:t xml:space="preserve"> solicit</w:t>
      </w:r>
      <w:r w:rsidR="00CB50E5">
        <w:rPr>
          <w:rFonts w:ascii="Arial" w:hAnsi="Arial" w:cs="Arial"/>
          <w:color w:val="000000"/>
          <w:sz w:val="24"/>
          <w:szCs w:val="24"/>
          <w:lang w:val="es-CO"/>
        </w:rPr>
        <w:t>ó</w:t>
      </w:r>
      <w:r w:rsidR="00162A7F">
        <w:rPr>
          <w:rFonts w:ascii="Arial" w:hAnsi="Arial" w:cs="Arial"/>
          <w:color w:val="000000"/>
          <w:sz w:val="24"/>
          <w:szCs w:val="24"/>
          <w:lang w:val="es-CO"/>
        </w:rPr>
        <w:t xml:space="preserve"> </w:t>
      </w:r>
      <w:r w:rsidR="00CA47D0">
        <w:rPr>
          <w:rFonts w:ascii="Arial" w:hAnsi="Arial" w:cs="Arial"/>
          <w:color w:val="000000"/>
          <w:sz w:val="24"/>
          <w:szCs w:val="24"/>
          <w:lang w:val="es-CO"/>
        </w:rPr>
        <w:t xml:space="preserve">que </w:t>
      </w:r>
      <w:r w:rsidR="004044C1">
        <w:rPr>
          <w:rFonts w:ascii="Arial" w:hAnsi="Arial" w:cs="Arial"/>
          <w:color w:val="000000"/>
          <w:sz w:val="24"/>
          <w:szCs w:val="24"/>
          <w:lang w:val="es-CO"/>
        </w:rPr>
        <w:t xml:space="preserve">se declarara </w:t>
      </w:r>
      <w:r w:rsidR="004044C1" w:rsidRPr="004044C1">
        <w:rPr>
          <w:rFonts w:ascii="Arial" w:hAnsi="Arial" w:cs="Arial"/>
          <w:color w:val="000000"/>
          <w:sz w:val="24"/>
          <w:szCs w:val="24"/>
          <w:lang w:val="es-CO"/>
        </w:rPr>
        <w:t xml:space="preserve">la invalidez del Acuerdo </w:t>
      </w:r>
      <w:r w:rsidR="004044C1">
        <w:rPr>
          <w:rFonts w:ascii="Arial" w:hAnsi="Arial" w:cs="Arial"/>
          <w:color w:val="000000"/>
          <w:sz w:val="24"/>
          <w:szCs w:val="24"/>
          <w:lang w:val="es-CO"/>
        </w:rPr>
        <w:t xml:space="preserve">No. 001 de </w:t>
      </w:r>
      <w:r w:rsidR="004044C1" w:rsidRPr="004044C1">
        <w:rPr>
          <w:rFonts w:ascii="Arial" w:hAnsi="Arial" w:cs="Arial"/>
          <w:color w:val="000000"/>
          <w:sz w:val="24"/>
          <w:szCs w:val="24"/>
          <w:lang w:val="es-CO"/>
        </w:rPr>
        <w:t>19 de febrero de 2021</w:t>
      </w:r>
      <w:r w:rsidR="004044C1">
        <w:rPr>
          <w:rFonts w:ascii="Arial" w:hAnsi="Arial" w:cs="Arial"/>
          <w:color w:val="000000"/>
          <w:sz w:val="24"/>
          <w:szCs w:val="24"/>
          <w:lang w:val="es-CO"/>
        </w:rPr>
        <w:t>, expedido por el Concejo del municipio de Tibaná.</w:t>
      </w:r>
    </w:p>
    <w:p w14:paraId="5CB91D91" w14:textId="5F3576A8" w:rsidR="001A5435" w:rsidRPr="00D95216" w:rsidRDefault="001A5435" w:rsidP="000000DE">
      <w:pPr>
        <w:pStyle w:val="Prrafodelista"/>
        <w:spacing w:line="276" w:lineRule="auto"/>
        <w:ind w:left="0" w:right="-233"/>
        <w:contextualSpacing/>
        <w:jc w:val="both"/>
        <w:rPr>
          <w:rFonts w:ascii="Arial" w:hAnsi="Arial" w:cs="Arial"/>
          <w:color w:val="000000"/>
          <w:sz w:val="24"/>
          <w:szCs w:val="24"/>
          <w:lang w:val="es-CO"/>
        </w:rPr>
      </w:pPr>
    </w:p>
    <w:p w14:paraId="61B6C328" w14:textId="5613F96A" w:rsidR="001A5435" w:rsidRPr="001B0C42" w:rsidRDefault="00740AB5" w:rsidP="000000DE">
      <w:pPr>
        <w:pStyle w:val="Prrafodelista"/>
        <w:spacing w:line="276" w:lineRule="auto"/>
        <w:ind w:left="0" w:right="-233"/>
        <w:contextualSpacing/>
        <w:jc w:val="both"/>
        <w:rPr>
          <w:rFonts w:ascii="Arial" w:hAnsi="Arial" w:cs="Arial"/>
          <w:b/>
          <w:color w:val="000000"/>
          <w:sz w:val="24"/>
          <w:szCs w:val="24"/>
          <w:lang w:val="es-CO"/>
        </w:rPr>
      </w:pPr>
      <w:r>
        <w:rPr>
          <w:rFonts w:ascii="Arial" w:hAnsi="Arial" w:cs="Arial"/>
          <w:b/>
          <w:color w:val="000000"/>
          <w:sz w:val="24"/>
          <w:szCs w:val="24"/>
          <w:lang w:val="es-CO"/>
        </w:rPr>
        <w:t>Cargos formulados</w:t>
      </w:r>
    </w:p>
    <w:p w14:paraId="3B69C2C7" w14:textId="77777777" w:rsidR="001A5435" w:rsidRPr="001B0C42" w:rsidRDefault="001A5435" w:rsidP="000000DE">
      <w:pPr>
        <w:spacing w:line="276" w:lineRule="auto"/>
        <w:ind w:right="-233"/>
        <w:contextualSpacing/>
        <w:jc w:val="both"/>
        <w:rPr>
          <w:rFonts w:ascii="Arial" w:hAnsi="Arial" w:cs="Arial"/>
          <w:b/>
          <w:color w:val="000000"/>
          <w:sz w:val="24"/>
          <w:szCs w:val="24"/>
          <w:lang w:val="es-CO"/>
        </w:rPr>
      </w:pPr>
    </w:p>
    <w:p w14:paraId="5E93D0F6" w14:textId="3D8A3B67" w:rsidR="00537F98" w:rsidRDefault="008D2703"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2.</w:t>
      </w:r>
      <w:r w:rsidR="00452A32">
        <w:rPr>
          <w:rFonts w:ascii="Arial" w:hAnsi="Arial" w:cs="Arial"/>
          <w:color w:val="000000"/>
          <w:sz w:val="24"/>
          <w:szCs w:val="24"/>
          <w:lang w:val="es-CO" w:bidi="es-ES"/>
        </w:rPr>
        <w:t xml:space="preserve"> </w:t>
      </w:r>
      <w:r w:rsidR="001A5435" w:rsidRPr="001B0C42">
        <w:rPr>
          <w:rFonts w:ascii="Arial" w:hAnsi="Arial" w:cs="Arial"/>
          <w:color w:val="000000"/>
          <w:sz w:val="24"/>
          <w:szCs w:val="24"/>
          <w:lang w:val="es-CO" w:bidi="es-ES"/>
        </w:rPr>
        <w:t>El ente territorial demandante consider</w:t>
      </w:r>
      <w:r w:rsidR="00D95216">
        <w:rPr>
          <w:rFonts w:ascii="Arial" w:hAnsi="Arial" w:cs="Arial"/>
          <w:color w:val="000000"/>
          <w:sz w:val="24"/>
          <w:szCs w:val="24"/>
          <w:lang w:val="es-CO" w:bidi="es-ES"/>
        </w:rPr>
        <w:t>ó</w:t>
      </w:r>
      <w:r w:rsidR="001A5435" w:rsidRPr="001B0C42">
        <w:rPr>
          <w:rFonts w:ascii="Arial" w:hAnsi="Arial" w:cs="Arial"/>
          <w:color w:val="000000"/>
          <w:sz w:val="24"/>
          <w:szCs w:val="24"/>
          <w:lang w:val="es-CO" w:bidi="es-ES"/>
        </w:rPr>
        <w:t xml:space="preserve"> que el </w:t>
      </w:r>
      <w:r w:rsidR="00D95216">
        <w:rPr>
          <w:rFonts w:ascii="Arial" w:hAnsi="Arial" w:cs="Arial"/>
          <w:color w:val="000000"/>
          <w:sz w:val="24"/>
          <w:szCs w:val="24"/>
          <w:lang w:val="es-CO" w:bidi="es-ES"/>
        </w:rPr>
        <w:t>a</w:t>
      </w:r>
      <w:r w:rsidR="001A5435" w:rsidRPr="001B0C42">
        <w:rPr>
          <w:rFonts w:ascii="Arial" w:hAnsi="Arial" w:cs="Arial"/>
          <w:color w:val="000000"/>
          <w:sz w:val="24"/>
          <w:szCs w:val="24"/>
          <w:lang w:val="es-CO" w:bidi="es-ES"/>
        </w:rPr>
        <w:t xml:space="preserve">cuerdo objeto de control </w:t>
      </w:r>
      <w:r w:rsidR="00D95216">
        <w:rPr>
          <w:rFonts w:ascii="Arial" w:hAnsi="Arial" w:cs="Arial"/>
          <w:color w:val="000000"/>
          <w:sz w:val="24"/>
          <w:szCs w:val="24"/>
          <w:lang w:val="es-CO" w:bidi="es-ES"/>
        </w:rPr>
        <w:t>vulneró</w:t>
      </w:r>
      <w:r w:rsidR="001A5435" w:rsidRPr="001B0C42">
        <w:rPr>
          <w:rFonts w:ascii="Arial" w:hAnsi="Arial" w:cs="Arial"/>
          <w:color w:val="000000"/>
          <w:sz w:val="24"/>
          <w:szCs w:val="24"/>
          <w:lang w:val="es-CO" w:bidi="es-ES"/>
        </w:rPr>
        <w:t xml:space="preserve"> lo previsto por </w:t>
      </w:r>
      <w:r w:rsidR="00537F98">
        <w:rPr>
          <w:rFonts w:ascii="Arial" w:hAnsi="Arial" w:cs="Arial"/>
          <w:color w:val="000000"/>
          <w:sz w:val="24"/>
          <w:szCs w:val="24"/>
          <w:lang w:val="es-CO" w:bidi="es-ES"/>
        </w:rPr>
        <w:t>los artículos 150 ―numeral 10°―, 313 ―numeral 3°― y 315 ―numeral 3°― de la Constitución Política</w:t>
      </w:r>
      <w:r w:rsidR="002A3FEA">
        <w:rPr>
          <w:rFonts w:ascii="Arial" w:hAnsi="Arial" w:cs="Arial"/>
          <w:color w:val="000000"/>
          <w:sz w:val="24"/>
          <w:szCs w:val="24"/>
          <w:lang w:val="es-CO" w:bidi="es-ES"/>
        </w:rPr>
        <w:t xml:space="preserve">, en concordancia con lo previsto por el artículo </w:t>
      </w:r>
      <w:r w:rsidR="00537F98" w:rsidRPr="00537F98">
        <w:rPr>
          <w:rFonts w:ascii="Arial" w:hAnsi="Arial" w:cs="Arial"/>
          <w:color w:val="000000"/>
          <w:sz w:val="24"/>
          <w:szCs w:val="24"/>
          <w:lang w:val="es-CO" w:bidi="es-ES"/>
        </w:rPr>
        <w:t>2.1.2.2.1.3</w:t>
      </w:r>
      <w:r w:rsidR="00537F98">
        <w:rPr>
          <w:rFonts w:ascii="Arial" w:hAnsi="Arial" w:cs="Arial"/>
          <w:color w:val="000000"/>
          <w:sz w:val="24"/>
          <w:szCs w:val="24"/>
          <w:lang w:val="es-CO" w:bidi="es-ES"/>
        </w:rPr>
        <w:t xml:space="preserve"> del Decreto 149 de 2020</w:t>
      </w:r>
      <w:r w:rsidR="009B08D4">
        <w:rPr>
          <w:rFonts w:ascii="Arial" w:hAnsi="Arial" w:cs="Arial"/>
          <w:color w:val="000000"/>
          <w:sz w:val="24"/>
          <w:szCs w:val="24"/>
          <w:lang w:val="es-CO" w:bidi="es-ES"/>
        </w:rPr>
        <w:t>.</w:t>
      </w:r>
    </w:p>
    <w:p w14:paraId="71A17A44" w14:textId="77777777" w:rsidR="00537F98" w:rsidRDefault="00537F98"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29D5AE05" w14:textId="5C9BDC89" w:rsidR="002C6187" w:rsidRPr="004243F0" w:rsidRDefault="00117CBF" w:rsidP="000000DE">
      <w:pPr>
        <w:pStyle w:val="Prrafodelista"/>
        <w:tabs>
          <w:tab w:val="left" w:pos="0"/>
        </w:tabs>
        <w:spacing w:line="276" w:lineRule="auto"/>
        <w:ind w:left="0" w:right="-233"/>
        <w:contextualSpacing/>
        <w:jc w:val="both"/>
        <w:rPr>
          <w:rFonts w:ascii="Arial" w:hAnsi="Arial" w:cs="Arial"/>
          <w:color w:val="000000"/>
          <w:sz w:val="24"/>
          <w:szCs w:val="24"/>
          <w:u w:val="single"/>
          <w:lang w:val="es-CO"/>
        </w:rPr>
      </w:pPr>
      <w:r>
        <w:rPr>
          <w:rFonts w:ascii="Arial" w:hAnsi="Arial" w:cs="Arial"/>
          <w:color w:val="000000"/>
          <w:sz w:val="24"/>
          <w:szCs w:val="24"/>
          <w:u w:val="single"/>
          <w:lang w:val="es-CO"/>
        </w:rPr>
        <w:t>Prórroga extemporánea de facultades concedidas al alcalde municipal</w:t>
      </w:r>
    </w:p>
    <w:p w14:paraId="2FB2F397" w14:textId="77777777" w:rsidR="002C6187" w:rsidRDefault="002C6187"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5E6F5A8B" w14:textId="594E48A6" w:rsidR="00133455" w:rsidRDefault="009B08D4" w:rsidP="000000DE">
      <w:pPr>
        <w:pStyle w:val="Prrafodelista"/>
        <w:tabs>
          <w:tab w:val="left" w:pos="0"/>
        </w:tabs>
        <w:spacing w:line="276" w:lineRule="auto"/>
        <w:ind w:left="0" w:right="-233"/>
        <w:contextualSpacing/>
        <w:jc w:val="both"/>
        <w:rPr>
          <w:rFonts w:ascii="Arial" w:hAnsi="Arial" w:cs="Arial"/>
          <w:color w:val="000000"/>
          <w:sz w:val="24"/>
          <w:szCs w:val="24"/>
          <w:lang w:val="es-CO"/>
        </w:rPr>
      </w:pPr>
      <w:bookmarkStart w:id="0" w:name="_Hlk74669955"/>
      <w:r>
        <w:rPr>
          <w:rFonts w:ascii="Arial" w:hAnsi="Arial" w:cs="Arial"/>
          <w:color w:val="000000"/>
          <w:sz w:val="24"/>
          <w:szCs w:val="24"/>
          <w:lang w:val="es-CO" w:bidi="es-ES"/>
        </w:rPr>
        <w:t xml:space="preserve">3. </w:t>
      </w:r>
      <w:bookmarkStart w:id="1" w:name="_Hlk64556296"/>
      <w:bookmarkEnd w:id="0"/>
      <w:r w:rsidR="00B85C6F">
        <w:rPr>
          <w:rFonts w:ascii="Arial" w:hAnsi="Arial" w:cs="Arial"/>
          <w:color w:val="000000"/>
          <w:sz w:val="24"/>
          <w:szCs w:val="24"/>
          <w:lang w:val="es-CO"/>
        </w:rPr>
        <w:t xml:space="preserve">El departamento de Boyacá indicó que las autorizaciones que </w:t>
      </w:r>
      <w:r w:rsidR="000803DC">
        <w:rPr>
          <w:rFonts w:ascii="Arial" w:hAnsi="Arial" w:cs="Arial"/>
          <w:color w:val="000000"/>
          <w:sz w:val="24"/>
          <w:szCs w:val="24"/>
          <w:lang w:val="es-CO"/>
        </w:rPr>
        <w:t xml:space="preserve">los concejos </w:t>
      </w:r>
      <w:r w:rsidR="00B85C6F">
        <w:rPr>
          <w:rFonts w:ascii="Arial" w:hAnsi="Arial" w:cs="Arial"/>
          <w:color w:val="000000"/>
          <w:sz w:val="24"/>
          <w:szCs w:val="24"/>
          <w:lang w:val="es-CO"/>
        </w:rPr>
        <w:t>concede</w:t>
      </w:r>
      <w:r w:rsidR="000803DC">
        <w:rPr>
          <w:rFonts w:ascii="Arial" w:hAnsi="Arial" w:cs="Arial"/>
          <w:color w:val="000000"/>
          <w:sz w:val="24"/>
          <w:szCs w:val="24"/>
          <w:lang w:val="es-CO"/>
        </w:rPr>
        <w:t>n</w:t>
      </w:r>
      <w:r w:rsidR="00B85C6F">
        <w:rPr>
          <w:rFonts w:ascii="Arial" w:hAnsi="Arial" w:cs="Arial"/>
          <w:color w:val="000000"/>
          <w:sz w:val="24"/>
          <w:szCs w:val="24"/>
          <w:lang w:val="es-CO"/>
        </w:rPr>
        <w:t xml:space="preserve"> </w:t>
      </w:r>
      <w:r w:rsidR="000803DC">
        <w:rPr>
          <w:rFonts w:ascii="Arial" w:hAnsi="Arial" w:cs="Arial"/>
          <w:color w:val="000000"/>
          <w:sz w:val="24"/>
          <w:szCs w:val="24"/>
          <w:lang w:val="es-CO"/>
        </w:rPr>
        <w:t xml:space="preserve">al </w:t>
      </w:r>
      <w:r w:rsidR="00B85C6F">
        <w:rPr>
          <w:rFonts w:ascii="Arial" w:hAnsi="Arial" w:cs="Arial"/>
          <w:color w:val="000000"/>
          <w:sz w:val="24"/>
          <w:szCs w:val="24"/>
          <w:lang w:val="es-CO"/>
        </w:rPr>
        <w:t>ejecutivo municipal deben ser delimitadas</w:t>
      </w:r>
      <w:r w:rsidR="00EC5741">
        <w:rPr>
          <w:rFonts w:ascii="Arial" w:hAnsi="Arial" w:cs="Arial"/>
          <w:color w:val="000000"/>
          <w:sz w:val="24"/>
          <w:szCs w:val="24"/>
          <w:lang w:val="es-CO"/>
        </w:rPr>
        <w:t xml:space="preserve">, </w:t>
      </w:r>
      <w:r w:rsidR="00040CBF">
        <w:rPr>
          <w:rFonts w:ascii="Arial" w:hAnsi="Arial" w:cs="Arial"/>
          <w:color w:val="000000"/>
          <w:sz w:val="24"/>
          <w:szCs w:val="24"/>
          <w:lang w:val="es-CO"/>
        </w:rPr>
        <w:t xml:space="preserve">razón por la cual era necesario precisar </w:t>
      </w:r>
      <w:r w:rsidR="00EC5741">
        <w:rPr>
          <w:rFonts w:ascii="Arial" w:hAnsi="Arial" w:cs="Arial"/>
          <w:color w:val="000000"/>
          <w:sz w:val="24"/>
          <w:szCs w:val="24"/>
          <w:lang w:val="es-CO"/>
        </w:rPr>
        <w:t>qué facultad le otorga</w:t>
      </w:r>
      <w:r w:rsidR="00040CBF">
        <w:rPr>
          <w:rFonts w:ascii="Arial" w:hAnsi="Arial" w:cs="Arial"/>
          <w:color w:val="000000"/>
          <w:sz w:val="24"/>
          <w:szCs w:val="24"/>
          <w:lang w:val="es-CO"/>
        </w:rPr>
        <w:t xml:space="preserve">ban </w:t>
      </w:r>
      <w:r w:rsidR="00EC5741">
        <w:rPr>
          <w:rFonts w:ascii="Arial" w:hAnsi="Arial" w:cs="Arial"/>
          <w:color w:val="000000"/>
          <w:sz w:val="24"/>
          <w:szCs w:val="24"/>
          <w:lang w:val="es-CO"/>
        </w:rPr>
        <w:t xml:space="preserve">y por cuánto tiempo lo </w:t>
      </w:r>
      <w:r w:rsidR="00040CBF">
        <w:rPr>
          <w:rFonts w:ascii="Arial" w:hAnsi="Arial" w:cs="Arial"/>
          <w:color w:val="000000"/>
          <w:sz w:val="24"/>
          <w:szCs w:val="24"/>
          <w:lang w:val="es-CO"/>
        </w:rPr>
        <w:t>hacían</w:t>
      </w:r>
      <w:r w:rsidR="00065682">
        <w:rPr>
          <w:rFonts w:ascii="Arial" w:hAnsi="Arial" w:cs="Arial"/>
          <w:color w:val="000000"/>
          <w:sz w:val="24"/>
          <w:szCs w:val="24"/>
          <w:lang w:val="es-CO"/>
        </w:rPr>
        <w:t>.</w:t>
      </w:r>
    </w:p>
    <w:p w14:paraId="00D7C14E" w14:textId="35669B2D" w:rsidR="00EC5741" w:rsidRDefault="00EC5741" w:rsidP="000000DE">
      <w:pPr>
        <w:pStyle w:val="Prrafodelista"/>
        <w:tabs>
          <w:tab w:val="left" w:pos="0"/>
        </w:tabs>
        <w:spacing w:line="276" w:lineRule="auto"/>
        <w:ind w:left="0" w:right="-233"/>
        <w:contextualSpacing/>
        <w:jc w:val="both"/>
        <w:rPr>
          <w:rFonts w:ascii="Arial" w:hAnsi="Arial" w:cs="Arial"/>
          <w:color w:val="000000"/>
          <w:sz w:val="24"/>
          <w:szCs w:val="24"/>
          <w:lang w:val="es-CO"/>
        </w:rPr>
      </w:pPr>
    </w:p>
    <w:p w14:paraId="7450B306" w14:textId="7F70D597" w:rsidR="006172C1" w:rsidRDefault="00EC5741" w:rsidP="000000DE">
      <w:pPr>
        <w:pStyle w:val="Prrafodelista"/>
        <w:tabs>
          <w:tab w:val="left" w:pos="0"/>
        </w:tabs>
        <w:spacing w:line="276" w:lineRule="auto"/>
        <w:ind w:left="0" w:right="-233"/>
        <w:contextualSpacing/>
        <w:jc w:val="both"/>
        <w:rPr>
          <w:rFonts w:ascii="Arial" w:hAnsi="Arial" w:cs="Arial"/>
          <w:color w:val="000000"/>
          <w:sz w:val="24"/>
          <w:szCs w:val="24"/>
          <w:lang w:val="es-CO"/>
        </w:rPr>
      </w:pPr>
      <w:r>
        <w:rPr>
          <w:rFonts w:ascii="Arial" w:hAnsi="Arial" w:cs="Arial"/>
          <w:color w:val="000000"/>
          <w:sz w:val="24"/>
          <w:szCs w:val="24"/>
          <w:lang w:val="es-CO"/>
        </w:rPr>
        <w:t xml:space="preserve">3.1. </w:t>
      </w:r>
      <w:r w:rsidR="00040CBF">
        <w:rPr>
          <w:rFonts w:ascii="Arial" w:hAnsi="Arial" w:cs="Arial"/>
          <w:color w:val="000000"/>
          <w:sz w:val="24"/>
          <w:szCs w:val="24"/>
          <w:lang w:val="es-CO"/>
        </w:rPr>
        <w:t>S</w:t>
      </w:r>
      <w:r>
        <w:rPr>
          <w:rFonts w:ascii="Arial" w:hAnsi="Arial" w:cs="Arial"/>
          <w:color w:val="000000"/>
          <w:sz w:val="24"/>
          <w:szCs w:val="24"/>
          <w:lang w:val="es-CO"/>
        </w:rPr>
        <w:t>eñaló que, tratándose de la enajenación de bienes propiedad de</w:t>
      </w:r>
      <w:r w:rsidR="00040CBF">
        <w:rPr>
          <w:rFonts w:ascii="Arial" w:hAnsi="Arial" w:cs="Arial"/>
          <w:color w:val="000000"/>
          <w:sz w:val="24"/>
          <w:szCs w:val="24"/>
          <w:lang w:val="es-CO"/>
        </w:rPr>
        <w:t xml:space="preserve"> </w:t>
      </w:r>
      <w:r>
        <w:rPr>
          <w:rFonts w:ascii="Arial" w:hAnsi="Arial" w:cs="Arial"/>
          <w:color w:val="000000"/>
          <w:sz w:val="24"/>
          <w:szCs w:val="24"/>
          <w:lang w:val="es-CO"/>
        </w:rPr>
        <w:t>l</w:t>
      </w:r>
      <w:r w:rsidR="00040CBF">
        <w:rPr>
          <w:rFonts w:ascii="Arial" w:hAnsi="Arial" w:cs="Arial"/>
          <w:color w:val="000000"/>
          <w:sz w:val="24"/>
          <w:szCs w:val="24"/>
          <w:lang w:val="es-CO"/>
        </w:rPr>
        <w:t xml:space="preserve">os </w:t>
      </w:r>
      <w:r>
        <w:rPr>
          <w:rFonts w:ascii="Arial" w:hAnsi="Arial" w:cs="Arial"/>
          <w:color w:val="000000"/>
          <w:sz w:val="24"/>
          <w:szCs w:val="24"/>
          <w:lang w:val="es-CO"/>
        </w:rPr>
        <w:t>municipio</w:t>
      </w:r>
      <w:r w:rsidR="00040CBF">
        <w:rPr>
          <w:rFonts w:ascii="Arial" w:hAnsi="Arial" w:cs="Arial"/>
          <w:color w:val="000000"/>
          <w:sz w:val="24"/>
          <w:szCs w:val="24"/>
          <w:lang w:val="es-CO"/>
        </w:rPr>
        <w:t>s</w:t>
      </w:r>
      <w:r>
        <w:rPr>
          <w:rFonts w:ascii="Arial" w:hAnsi="Arial" w:cs="Arial"/>
          <w:color w:val="000000"/>
          <w:sz w:val="24"/>
          <w:szCs w:val="24"/>
          <w:lang w:val="es-CO"/>
        </w:rPr>
        <w:t xml:space="preserve">, </w:t>
      </w:r>
      <w:r w:rsidR="00040CBF">
        <w:rPr>
          <w:rFonts w:ascii="Arial" w:hAnsi="Arial" w:cs="Arial"/>
          <w:color w:val="000000"/>
          <w:sz w:val="24"/>
          <w:szCs w:val="24"/>
          <w:lang w:val="es-CO"/>
        </w:rPr>
        <w:t xml:space="preserve">los concejos </w:t>
      </w:r>
      <w:r w:rsidR="000803DC">
        <w:rPr>
          <w:rFonts w:ascii="Arial" w:hAnsi="Arial" w:cs="Arial"/>
          <w:color w:val="000000"/>
          <w:sz w:val="24"/>
          <w:szCs w:val="24"/>
          <w:lang w:val="es-CO"/>
        </w:rPr>
        <w:t>ostentaba</w:t>
      </w:r>
      <w:r w:rsidR="00040CBF">
        <w:rPr>
          <w:rFonts w:ascii="Arial" w:hAnsi="Arial" w:cs="Arial"/>
          <w:color w:val="000000"/>
          <w:sz w:val="24"/>
          <w:szCs w:val="24"/>
          <w:lang w:val="es-CO"/>
        </w:rPr>
        <w:t>n</w:t>
      </w:r>
      <w:r w:rsidR="000803DC">
        <w:rPr>
          <w:rFonts w:ascii="Arial" w:hAnsi="Arial" w:cs="Arial"/>
          <w:color w:val="000000"/>
          <w:sz w:val="24"/>
          <w:szCs w:val="24"/>
          <w:lang w:val="es-CO"/>
        </w:rPr>
        <w:t xml:space="preserve"> </w:t>
      </w:r>
      <w:r w:rsidR="00CA6698">
        <w:rPr>
          <w:rFonts w:ascii="Arial" w:hAnsi="Arial" w:cs="Arial"/>
          <w:color w:val="000000"/>
          <w:sz w:val="24"/>
          <w:szCs w:val="24"/>
          <w:lang w:val="es-CO"/>
        </w:rPr>
        <w:t>facultades de ‘decisión y reglamentación’</w:t>
      </w:r>
      <w:r w:rsidR="00166B2B">
        <w:rPr>
          <w:rFonts w:ascii="Arial" w:hAnsi="Arial" w:cs="Arial"/>
          <w:color w:val="000000"/>
          <w:sz w:val="24"/>
          <w:szCs w:val="24"/>
          <w:lang w:val="es-CO"/>
        </w:rPr>
        <w:t xml:space="preserve">. </w:t>
      </w:r>
      <w:r w:rsidR="006172C1">
        <w:rPr>
          <w:rFonts w:ascii="Arial" w:hAnsi="Arial" w:cs="Arial"/>
          <w:color w:val="000000"/>
          <w:sz w:val="24"/>
          <w:szCs w:val="24"/>
          <w:lang w:val="es-CO"/>
        </w:rPr>
        <w:t xml:space="preserve">En virtud de lo anterior, </w:t>
      </w:r>
      <w:r w:rsidR="003A3E23">
        <w:rPr>
          <w:rFonts w:ascii="Arial" w:hAnsi="Arial" w:cs="Arial"/>
          <w:color w:val="000000"/>
          <w:sz w:val="24"/>
          <w:szCs w:val="24"/>
          <w:lang w:val="es-CO"/>
        </w:rPr>
        <w:t xml:space="preserve">los representantes legales de las entidades públicas del orden territorial debían estar </w:t>
      </w:r>
      <w:r w:rsidR="006172C1">
        <w:rPr>
          <w:rFonts w:ascii="Arial" w:hAnsi="Arial" w:cs="Arial"/>
          <w:color w:val="000000"/>
          <w:sz w:val="24"/>
          <w:szCs w:val="24"/>
          <w:lang w:val="es-CO"/>
        </w:rPr>
        <w:t>‘</w:t>
      </w:r>
      <w:r w:rsidR="003A3E23">
        <w:rPr>
          <w:rFonts w:ascii="Arial" w:hAnsi="Arial" w:cs="Arial"/>
          <w:color w:val="000000"/>
          <w:sz w:val="24"/>
          <w:szCs w:val="24"/>
          <w:lang w:val="es-CO"/>
        </w:rPr>
        <w:t>facultados</w:t>
      </w:r>
      <w:r w:rsidR="006172C1">
        <w:rPr>
          <w:rFonts w:ascii="Arial" w:hAnsi="Arial" w:cs="Arial"/>
          <w:color w:val="000000"/>
          <w:sz w:val="24"/>
          <w:szCs w:val="24"/>
          <w:lang w:val="es-CO"/>
        </w:rPr>
        <w:t>’</w:t>
      </w:r>
      <w:r w:rsidR="003A3E23">
        <w:rPr>
          <w:rFonts w:ascii="Arial" w:hAnsi="Arial" w:cs="Arial"/>
          <w:color w:val="000000"/>
          <w:sz w:val="24"/>
          <w:szCs w:val="24"/>
          <w:lang w:val="es-CO"/>
        </w:rPr>
        <w:t xml:space="preserve"> </w:t>
      </w:r>
      <w:r w:rsidR="00040CBF">
        <w:rPr>
          <w:rFonts w:ascii="Arial" w:hAnsi="Arial" w:cs="Arial"/>
          <w:color w:val="000000"/>
          <w:sz w:val="24"/>
          <w:szCs w:val="24"/>
          <w:lang w:val="es-CO"/>
        </w:rPr>
        <w:t xml:space="preserve">―previamente― </w:t>
      </w:r>
      <w:r w:rsidR="003A3E23">
        <w:rPr>
          <w:rFonts w:ascii="Arial" w:hAnsi="Arial" w:cs="Arial"/>
          <w:color w:val="000000"/>
          <w:sz w:val="24"/>
          <w:szCs w:val="24"/>
          <w:lang w:val="es-CO"/>
        </w:rPr>
        <w:t xml:space="preserve">para </w:t>
      </w:r>
      <w:r w:rsidR="006172C1">
        <w:rPr>
          <w:rFonts w:ascii="Arial" w:hAnsi="Arial" w:cs="Arial"/>
          <w:color w:val="000000"/>
          <w:sz w:val="24"/>
          <w:szCs w:val="24"/>
          <w:lang w:val="es-CO"/>
        </w:rPr>
        <w:t xml:space="preserve">poder llevar a cabo </w:t>
      </w:r>
      <w:r w:rsidR="003A3E23">
        <w:rPr>
          <w:rFonts w:ascii="Arial" w:hAnsi="Arial" w:cs="Arial"/>
          <w:color w:val="000000"/>
          <w:sz w:val="24"/>
          <w:szCs w:val="24"/>
          <w:lang w:val="es-CO"/>
        </w:rPr>
        <w:t>la transferencia de bienes inmuebles</w:t>
      </w:r>
      <w:r w:rsidR="003274F2">
        <w:rPr>
          <w:rFonts w:ascii="Arial" w:hAnsi="Arial" w:cs="Arial"/>
          <w:color w:val="000000"/>
          <w:sz w:val="24"/>
          <w:szCs w:val="24"/>
          <w:lang w:val="es-CO"/>
        </w:rPr>
        <w:t xml:space="preserve">. </w:t>
      </w:r>
    </w:p>
    <w:p w14:paraId="5797FEF8" w14:textId="7D1D4954" w:rsidR="003274F2" w:rsidRDefault="003274F2" w:rsidP="000000DE">
      <w:pPr>
        <w:pStyle w:val="Prrafodelista"/>
        <w:tabs>
          <w:tab w:val="left" w:pos="0"/>
        </w:tabs>
        <w:spacing w:line="276" w:lineRule="auto"/>
        <w:ind w:left="0" w:right="-233"/>
        <w:contextualSpacing/>
        <w:jc w:val="both"/>
        <w:rPr>
          <w:rFonts w:ascii="Arial" w:hAnsi="Arial" w:cs="Arial"/>
          <w:color w:val="000000"/>
          <w:sz w:val="24"/>
          <w:szCs w:val="24"/>
          <w:lang w:val="es-CO"/>
        </w:rPr>
      </w:pPr>
    </w:p>
    <w:p w14:paraId="3D867D22" w14:textId="77777777" w:rsidR="004E674A" w:rsidRDefault="003274F2" w:rsidP="000000DE">
      <w:pPr>
        <w:pStyle w:val="Prrafodelista"/>
        <w:tabs>
          <w:tab w:val="left" w:pos="0"/>
        </w:tabs>
        <w:spacing w:line="276" w:lineRule="auto"/>
        <w:ind w:left="0" w:right="-233"/>
        <w:contextualSpacing/>
        <w:jc w:val="both"/>
        <w:rPr>
          <w:rFonts w:ascii="Arial" w:hAnsi="Arial" w:cs="Arial"/>
          <w:color w:val="000000"/>
          <w:sz w:val="24"/>
          <w:szCs w:val="24"/>
          <w:lang w:val="es-CO"/>
        </w:rPr>
      </w:pPr>
      <w:r>
        <w:rPr>
          <w:rFonts w:ascii="Arial" w:hAnsi="Arial" w:cs="Arial"/>
          <w:color w:val="000000"/>
          <w:sz w:val="24"/>
          <w:szCs w:val="24"/>
          <w:lang w:val="es-CO"/>
        </w:rPr>
        <w:t>3.2.</w:t>
      </w:r>
      <w:r w:rsidR="00040CBF">
        <w:rPr>
          <w:rFonts w:ascii="Arial" w:hAnsi="Arial" w:cs="Arial"/>
          <w:color w:val="000000"/>
          <w:sz w:val="24"/>
          <w:szCs w:val="24"/>
          <w:lang w:val="es-CO"/>
        </w:rPr>
        <w:t xml:space="preserve"> </w:t>
      </w:r>
      <w:r w:rsidR="00783E3B">
        <w:rPr>
          <w:rFonts w:ascii="Arial" w:hAnsi="Arial" w:cs="Arial"/>
          <w:color w:val="000000"/>
          <w:sz w:val="24"/>
          <w:szCs w:val="24"/>
          <w:lang w:val="es-CO"/>
        </w:rPr>
        <w:t>Con respecto al caso concreto</w:t>
      </w:r>
      <w:r w:rsidR="00040CBF">
        <w:rPr>
          <w:rFonts w:ascii="Arial" w:hAnsi="Arial" w:cs="Arial"/>
          <w:color w:val="000000"/>
          <w:sz w:val="24"/>
          <w:szCs w:val="24"/>
          <w:lang w:val="es-CO"/>
        </w:rPr>
        <w:t>,</w:t>
      </w:r>
      <w:r w:rsidR="00B17B2F">
        <w:rPr>
          <w:rFonts w:ascii="Arial" w:hAnsi="Arial" w:cs="Arial"/>
          <w:color w:val="000000"/>
          <w:sz w:val="24"/>
          <w:szCs w:val="24"/>
          <w:lang w:val="es-CO"/>
        </w:rPr>
        <w:t xml:space="preserve"> expuso </w:t>
      </w:r>
      <w:r w:rsidR="002E612E">
        <w:rPr>
          <w:rFonts w:ascii="Arial" w:hAnsi="Arial" w:cs="Arial"/>
          <w:color w:val="000000"/>
          <w:sz w:val="24"/>
          <w:szCs w:val="24"/>
          <w:lang w:val="es-CO"/>
        </w:rPr>
        <w:t xml:space="preserve">que </w:t>
      </w:r>
      <w:r w:rsidR="003422F8">
        <w:rPr>
          <w:rFonts w:ascii="Arial" w:hAnsi="Arial" w:cs="Arial"/>
          <w:color w:val="000000"/>
          <w:sz w:val="24"/>
          <w:szCs w:val="24"/>
          <w:lang w:val="es-CO"/>
        </w:rPr>
        <w:t xml:space="preserve">inicialmente </w:t>
      </w:r>
      <w:r w:rsidR="002E612E">
        <w:rPr>
          <w:rFonts w:ascii="Arial" w:hAnsi="Arial" w:cs="Arial"/>
          <w:color w:val="000000"/>
          <w:sz w:val="24"/>
          <w:szCs w:val="24"/>
          <w:lang w:val="es-CO"/>
        </w:rPr>
        <w:t>el Concejo del municipio de Tibaná había otorgado</w:t>
      </w:r>
      <w:r w:rsidR="00942282">
        <w:rPr>
          <w:rFonts w:ascii="Arial" w:hAnsi="Arial" w:cs="Arial"/>
          <w:color w:val="000000"/>
          <w:sz w:val="24"/>
          <w:szCs w:val="24"/>
          <w:lang w:val="es-CO"/>
        </w:rPr>
        <w:t xml:space="preserve"> unas </w:t>
      </w:r>
      <w:r w:rsidR="002E612E">
        <w:rPr>
          <w:rFonts w:ascii="Arial" w:hAnsi="Arial" w:cs="Arial"/>
          <w:color w:val="000000"/>
          <w:sz w:val="24"/>
          <w:szCs w:val="24"/>
          <w:lang w:val="es-CO"/>
        </w:rPr>
        <w:t xml:space="preserve">facultades a su Alcalde </w:t>
      </w:r>
      <w:r w:rsidR="003422F8">
        <w:rPr>
          <w:rFonts w:ascii="Arial" w:hAnsi="Arial" w:cs="Arial"/>
          <w:color w:val="000000"/>
          <w:sz w:val="24"/>
          <w:szCs w:val="24"/>
          <w:lang w:val="es-CO"/>
        </w:rPr>
        <w:t xml:space="preserve">para realizar un proyecto de vivienda </w:t>
      </w:r>
      <w:r w:rsidR="00942282">
        <w:rPr>
          <w:rFonts w:ascii="Arial" w:hAnsi="Arial" w:cs="Arial"/>
          <w:color w:val="000000"/>
          <w:sz w:val="24"/>
          <w:szCs w:val="24"/>
          <w:lang w:val="es-CO"/>
        </w:rPr>
        <w:t>hasta el día 31 de diciembre de 2019</w:t>
      </w:r>
      <w:r w:rsidR="003422F8">
        <w:rPr>
          <w:rFonts w:ascii="Arial" w:hAnsi="Arial" w:cs="Arial"/>
          <w:color w:val="000000"/>
          <w:sz w:val="24"/>
          <w:szCs w:val="24"/>
          <w:lang w:val="es-CO"/>
        </w:rPr>
        <w:t xml:space="preserve"> ―</w:t>
      </w:r>
      <w:r w:rsidR="002E612E">
        <w:rPr>
          <w:rFonts w:ascii="Arial" w:hAnsi="Arial" w:cs="Arial"/>
          <w:color w:val="000000"/>
          <w:sz w:val="24"/>
          <w:szCs w:val="24"/>
          <w:lang w:val="es-CO"/>
        </w:rPr>
        <w:t>a través del acuerdo No. 037 de 2018</w:t>
      </w:r>
      <w:r w:rsidR="003422F8">
        <w:rPr>
          <w:rFonts w:ascii="Arial" w:hAnsi="Arial" w:cs="Arial"/>
          <w:color w:val="000000"/>
          <w:sz w:val="24"/>
          <w:szCs w:val="24"/>
          <w:lang w:val="es-CO"/>
        </w:rPr>
        <w:t>―</w:t>
      </w:r>
      <w:r w:rsidR="007B28B5">
        <w:rPr>
          <w:rFonts w:ascii="Arial" w:hAnsi="Arial" w:cs="Arial"/>
          <w:color w:val="000000"/>
          <w:sz w:val="24"/>
          <w:szCs w:val="24"/>
          <w:lang w:val="es-CO"/>
        </w:rPr>
        <w:t xml:space="preserve">. Dijo </w:t>
      </w:r>
      <w:r w:rsidR="00942282">
        <w:rPr>
          <w:rFonts w:ascii="Arial" w:hAnsi="Arial" w:cs="Arial"/>
          <w:color w:val="000000"/>
          <w:sz w:val="24"/>
          <w:szCs w:val="24"/>
          <w:lang w:val="es-CO"/>
        </w:rPr>
        <w:t>que</w:t>
      </w:r>
      <w:r w:rsidR="00783E3B">
        <w:rPr>
          <w:rFonts w:ascii="Arial" w:hAnsi="Arial" w:cs="Arial"/>
          <w:color w:val="000000"/>
          <w:sz w:val="24"/>
          <w:szCs w:val="24"/>
          <w:lang w:val="es-CO"/>
        </w:rPr>
        <w:t>,</w:t>
      </w:r>
      <w:r w:rsidR="00942282">
        <w:rPr>
          <w:rFonts w:ascii="Arial" w:hAnsi="Arial" w:cs="Arial"/>
          <w:color w:val="000000"/>
          <w:sz w:val="24"/>
          <w:szCs w:val="24"/>
          <w:lang w:val="es-CO"/>
        </w:rPr>
        <w:t xml:space="preserve"> posteriormente</w:t>
      </w:r>
      <w:r w:rsidR="00783E3B">
        <w:rPr>
          <w:rFonts w:ascii="Arial" w:hAnsi="Arial" w:cs="Arial"/>
          <w:color w:val="000000"/>
          <w:sz w:val="24"/>
          <w:szCs w:val="24"/>
          <w:lang w:val="es-CO"/>
        </w:rPr>
        <w:t>,</w:t>
      </w:r>
      <w:r w:rsidR="00942282">
        <w:rPr>
          <w:rFonts w:ascii="Arial" w:hAnsi="Arial" w:cs="Arial"/>
          <w:color w:val="000000"/>
          <w:sz w:val="24"/>
          <w:szCs w:val="24"/>
          <w:lang w:val="es-CO"/>
        </w:rPr>
        <w:t xml:space="preserve"> prorrogó las mismas hasta el 31 de diciembre de 2020</w:t>
      </w:r>
      <w:r w:rsidR="00162688">
        <w:rPr>
          <w:rFonts w:ascii="Arial" w:hAnsi="Arial" w:cs="Arial"/>
          <w:color w:val="000000"/>
          <w:sz w:val="24"/>
          <w:szCs w:val="24"/>
          <w:lang w:val="es-CO"/>
        </w:rPr>
        <w:t xml:space="preserve"> ―</w:t>
      </w:r>
      <w:r w:rsidR="00942282">
        <w:rPr>
          <w:rFonts w:ascii="Arial" w:hAnsi="Arial" w:cs="Arial"/>
          <w:color w:val="000000"/>
          <w:sz w:val="24"/>
          <w:szCs w:val="24"/>
          <w:lang w:val="es-CO"/>
        </w:rPr>
        <w:t xml:space="preserve">mediante la </w:t>
      </w:r>
      <w:r w:rsidR="008F53C2">
        <w:rPr>
          <w:rFonts w:ascii="Arial" w:hAnsi="Arial" w:cs="Arial"/>
          <w:color w:val="000000"/>
          <w:sz w:val="24"/>
          <w:szCs w:val="24"/>
          <w:lang w:val="es-CO"/>
        </w:rPr>
        <w:t>expedición del Acuerdo No. 22 de 2020</w:t>
      </w:r>
      <w:r w:rsidR="00162688">
        <w:rPr>
          <w:rFonts w:ascii="Arial" w:hAnsi="Arial" w:cs="Arial"/>
          <w:color w:val="000000"/>
          <w:sz w:val="24"/>
          <w:szCs w:val="24"/>
          <w:lang w:val="es-CO"/>
        </w:rPr>
        <w:t>―</w:t>
      </w:r>
      <w:r w:rsidR="003422F8">
        <w:rPr>
          <w:rFonts w:ascii="Arial" w:hAnsi="Arial" w:cs="Arial"/>
          <w:color w:val="000000"/>
          <w:sz w:val="24"/>
          <w:szCs w:val="24"/>
          <w:lang w:val="es-CO"/>
        </w:rPr>
        <w:t>.</w:t>
      </w:r>
      <w:r w:rsidR="00783E3B">
        <w:rPr>
          <w:rFonts w:ascii="Arial" w:hAnsi="Arial" w:cs="Arial"/>
          <w:color w:val="000000"/>
          <w:sz w:val="24"/>
          <w:szCs w:val="24"/>
          <w:lang w:val="es-CO"/>
        </w:rPr>
        <w:t xml:space="preserve"> </w:t>
      </w:r>
    </w:p>
    <w:p w14:paraId="76AE153D" w14:textId="77777777" w:rsidR="004E674A" w:rsidRDefault="004E674A" w:rsidP="000000DE">
      <w:pPr>
        <w:pStyle w:val="Prrafodelista"/>
        <w:tabs>
          <w:tab w:val="left" w:pos="0"/>
        </w:tabs>
        <w:spacing w:line="276" w:lineRule="auto"/>
        <w:ind w:left="0" w:right="-233"/>
        <w:contextualSpacing/>
        <w:jc w:val="both"/>
        <w:rPr>
          <w:rFonts w:ascii="Arial" w:hAnsi="Arial" w:cs="Arial"/>
          <w:color w:val="000000"/>
          <w:sz w:val="24"/>
          <w:szCs w:val="24"/>
          <w:lang w:val="es-CO"/>
        </w:rPr>
      </w:pPr>
    </w:p>
    <w:p w14:paraId="39F79D30" w14:textId="2AD94F61" w:rsidR="003274F2" w:rsidRDefault="004E674A" w:rsidP="000000DE">
      <w:pPr>
        <w:pStyle w:val="Prrafodelista"/>
        <w:tabs>
          <w:tab w:val="left" w:pos="0"/>
        </w:tabs>
        <w:spacing w:line="276" w:lineRule="auto"/>
        <w:ind w:left="0" w:right="-233"/>
        <w:contextualSpacing/>
        <w:jc w:val="both"/>
        <w:rPr>
          <w:rFonts w:ascii="Arial" w:hAnsi="Arial" w:cs="Arial"/>
          <w:color w:val="000000"/>
          <w:sz w:val="22"/>
          <w:szCs w:val="22"/>
          <w:lang w:val="es-CO"/>
        </w:rPr>
      </w:pPr>
      <w:r>
        <w:rPr>
          <w:rFonts w:ascii="Arial" w:hAnsi="Arial" w:cs="Arial"/>
          <w:color w:val="000000"/>
          <w:sz w:val="24"/>
          <w:szCs w:val="24"/>
          <w:lang w:val="es-CO"/>
        </w:rPr>
        <w:t xml:space="preserve">3.3. </w:t>
      </w:r>
      <w:r w:rsidR="00783E3B">
        <w:rPr>
          <w:rFonts w:ascii="Arial" w:hAnsi="Arial" w:cs="Arial"/>
          <w:color w:val="000000"/>
          <w:sz w:val="24"/>
          <w:szCs w:val="24"/>
          <w:lang w:val="es-CO"/>
        </w:rPr>
        <w:t>Teniendo en cuenta lo anterior</w:t>
      </w:r>
      <w:r w:rsidR="00227C09">
        <w:rPr>
          <w:rFonts w:ascii="Arial" w:hAnsi="Arial" w:cs="Arial"/>
          <w:color w:val="000000"/>
          <w:sz w:val="24"/>
          <w:szCs w:val="24"/>
          <w:lang w:val="es-CO"/>
        </w:rPr>
        <w:t xml:space="preserve">, </w:t>
      </w:r>
      <w:r w:rsidR="004771E4">
        <w:rPr>
          <w:rFonts w:ascii="Arial" w:hAnsi="Arial" w:cs="Arial"/>
          <w:color w:val="000000"/>
          <w:sz w:val="24"/>
          <w:szCs w:val="24"/>
          <w:lang w:val="es-CO"/>
        </w:rPr>
        <w:t>indicó</w:t>
      </w:r>
      <w:r w:rsidR="004331DC">
        <w:rPr>
          <w:rFonts w:ascii="Arial" w:hAnsi="Arial" w:cs="Arial"/>
          <w:color w:val="000000"/>
          <w:sz w:val="24"/>
          <w:szCs w:val="24"/>
          <w:lang w:val="es-CO"/>
        </w:rPr>
        <w:t xml:space="preserve"> </w:t>
      </w:r>
      <w:r w:rsidR="00227C09">
        <w:rPr>
          <w:rFonts w:ascii="Arial" w:hAnsi="Arial" w:cs="Arial"/>
          <w:color w:val="000000"/>
          <w:sz w:val="24"/>
          <w:szCs w:val="24"/>
          <w:lang w:val="es-CO"/>
        </w:rPr>
        <w:t>que en el acuerdo demandado ―el No. 001 de 19 de febrero de 2021―</w:t>
      </w:r>
      <w:r w:rsidR="007B29B3">
        <w:rPr>
          <w:rFonts w:ascii="Arial" w:hAnsi="Arial" w:cs="Arial"/>
          <w:color w:val="000000"/>
          <w:sz w:val="24"/>
          <w:szCs w:val="24"/>
          <w:lang w:val="es-CO"/>
        </w:rPr>
        <w:t xml:space="preserve"> </w:t>
      </w:r>
      <w:r w:rsidR="004331DC">
        <w:rPr>
          <w:rFonts w:ascii="Arial" w:hAnsi="Arial" w:cs="Arial"/>
          <w:color w:val="000000"/>
          <w:sz w:val="24"/>
          <w:szCs w:val="24"/>
          <w:lang w:val="es-CO"/>
        </w:rPr>
        <w:t xml:space="preserve">hubo una indebida delimitación temporal de la facultad </w:t>
      </w:r>
      <w:r w:rsidR="004354F2">
        <w:rPr>
          <w:rFonts w:ascii="Arial" w:hAnsi="Arial" w:cs="Arial"/>
          <w:color w:val="000000"/>
          <w:sz w:val="24"/>
          <w:szCs w:val="24"/>
          <w:lang w:val="es-CO"/>
        </w:rPr>
        <w:t>otorgada por</w:t>
      </w:r>
      <w:r w:rsidR="007B29B3">
        <w:rPr>
          <w:rFonts w:ascii="Arial" w:hAnsi="Arial" w:cs="Arial"/>
          <w:color w:val="000000"/>
          <w:sz w:val="24"/>
          <w:szCs w:val="24"/>
          <w:lang w:val="es-CO"/>
        </w:rPr>
        <w:t>que “</w:t>
      </w:r>
      <w:r w:rsidR="007B29B3" w:rsidRPr="007B29B3">
        <w:rPr>
          <w:rFonts w:ascii="Arial" w:hAnsi="Arial" w:cs="Arial"/>
          <w:color w:val="000000"/>
          <w:sz w:val="24"/>
          <w:szCs w:val="24"/>
          <w:lang w:val="es-CO"/>
        </w:rPr>
        <w:t xml:space="preserve">se </w:t>
      </w:r>
      <w:proofErr w:type="spellStart"/>
      <w:r w:rsidR="007B29B3" w:rsidRPr="007B29B3">
        <w:rPr>
          <w:rFonts w:ascii="Arial" w:hAnsi="Arial" w:cs="Arial"/>
          <w:color w:val="000000"/>
          <w:sz w:val="24"/>
          <w:szCs w:val="24"/>
          <w:lang w:val="es-CO"/>
        </w:rPr>
        <w:t>pretend</w:t>
      </w:r>
      <w:proofErr w:type="spellEnd"/>
      <w:r w:rsidR="007B29B3">
        <w:rPr>
          <w:rFonts w:ascii="Arial" w:hAnsi="Arial" w:cs="Arial"/>
          <w:color w:val="000000"/>
          <w:sz w:val="24"/>
          <w:szCs w:val="24"/>
          <w:lang w:val="es-CO"/>
        </w:rPr>
        <w:t>[</w:t>
      </w:r>
      <w:proofErr w:type="spellStart"/>
      <w:r w:rsidR="007B29B3">
        <w:rPr>
          <w:rFonts w:ascii="Arial" w:hAnsi="Arial" w:cs="Arial"/>
          <w:color w:val="000000"/>
          <w:sz w:val="24"/>
          <w:szCs w:val="24"/>
          <w:lang w:val="es-CO"/>
        </w:rPr>
        <w:t>ió</w:t>
      </w:r>
      <w:proofErr w:type="spellEnd"/>
      <w:r w:rsidR="007B29B3">
        <w:rPr>
          <w:rFonts w:ascii="Arial" w:hAnsi="Arial" w:cs="Arial"/>
          <w:color w:val="000000"/>
          <w:sz w:val="24"/>
          <w:szCs w:val="24"/>
          <w:lang w:val="es-CO"/>
        </w:rPr>
        <w:t>]</w:t>
      </w:r>
      <w:r w:rsidR="007B29B3" w:rsidRPr="007B29B3">
        <w:rPr>
          <w:rFonts w:ascii="Arial" w:hAnsi="Arial" w:cs="Arial"/>
          <w:color w:val="000000"/>
          <w:sz w:val="24"/>
          <w:szCs w:val="24"/>
          <w:lang w:val="es-CO"/>
        </w:rPr>
        <w:t xml:space="preserve"> extender la facultad concedida hasta el 31 de diciembre pasado [entiéndase el año 2020]</w:t>
      </w:r>
      <w:r w:rsidR="007B29B3">
        <w:rPr>
          <w:rFonts w:ascii="Arial" w:hAnsi="Arial" w:cs="Arial"/>
          <w:color w:val="000000"/>
          <w:sz w:val="24"/>
          <w:szCs w:val="24"/>
          <w:lang w:val="es-CO"/>
        </w:rPr>
        <w:t>”</w:t>
      </w:r>
      <w:r w:rsidR="007B29B3">
        <w:rPr>
          <w:rStyle w:val="Refdenotaalpie"/>
          <w:rFonts w:ascii="Arial" w:hAnsi="Arial" w:cs="Arial"/>
          <w:color w:val="000000"/>
          <w:sz w:val="24"/>
          <w:szCs w:val="24"/>
          <w:lang w:val="es-CO"/>
        </w:rPr>
        <w:footnoteReference w:id="2"/>
      </w:r>
      <w:r w:rsidR="007B29B3" w:rsidRPr="007B29B3">
        <w:rPr>
          <w:rFonts w:ascii="Arial" w:hAnsi="Arial" w:cs="Arial"/>
          <w:color w:val="000000"/>
          <w:sz w:val="24"/>
          <w:szCs w:val="24"/>
          <w:lang w:val="es-CO"/>
        </w:rPr>
        <w:t xml:space="preserve">, lo que </w:t>
      </w:r>
      <w:r w:rsidR="00467BC5">
        <w:rPr>
          <w:rFonts w:ascii="Arial" w:hAnsi="Arial" w:cs="Arial"/>
          <w:color w:val="000000"/>
          <w:sz w:val="24"/>
          <w:szCs w:val="24"/>
          <w:lang w:val="es-CO"/>
        </w:rPr>
        <w:t xml:space="preserve">conllevaba </w:t>
      </w:r>
      <w:r w:rsidR="008740B7">
        <w:rPr>
          <w:rFonts w:ascii="Arial" w:hAnsi="Arial" w:cs="Arial"/>
          <w:color w:val="000000"/>
          <w:sz w:val="24"/>
          <w:szCs w:val="24"/>
          <w:lang w:val="es-CO"/>
        </w:rPr>
        <w:t xml:space="preserve">la </w:t>
      </w:r>
      <w:r w:rsidR="007B29B3" w:rsidRPr="007B29B3">
        <w:rPr>
          <w:rFonts w:ascii="Arial" w:hAnsi="Arial" w:cs="Arial"/>
          <w:color w:val="000000"/>
          <w:sz w:val="24"/>
          <w:szCs w:val="24"/>
          <w:lang w:val="es-CO"/>
        </w:rPr>
        <w:t>reanudación de un acto administrativo ya expirado</w:t>
      </w:r>
      <w:r w:rsidR="008740B7">
        <w:rPr>
          <w:rFonts w:ascii="Arial" w:hAnsi="Arial" w:cs="Arial"/>
          <w:color w:val="000000"/>
          <w:sz w:val="24"/>
          <w:szCs w:val="24"/>
          <w:lang w:val="es-CO"/>
        </w:rPr>
        <w:t>.</w:t>
      </w:r>
      <w:r w:rsidR="00FC5713">
        <w:rPr>
          <w:rFonts w:ascii="Arial" w:hAnsi="Arial" w:cs="Arial"/>
          <w:color w:val="000000"/>
          <w:sz w:val="22"/>
          <w:szCs w:val="22"/>
          <w:lang w:val="es-CO"/>
        </w:rPr>
        <w:t xml:space="preserve"> </w:t>
      </w:r>
    </w:p>
    <w:p w14:paraId="2183153B" w14:textId="3CD239EC" w:rsidR="00FC5713" w:rsidRDefault="00FC5713" w:rsidP="000000DE">
      <w:pPr>
        <w:pStyle w:val="Prrafodelista"/>
        <w:tabs>
          <w:tab w:val="left" w:pos="0"/>
        </w:tabs>
        <w:spacing w:line="276" w:lineRule="auto"/>
        <w:ind w:right="-233"/>
        <w:contextualSpacing/>
        <w:jc w:val="both"/>
        <w:rPr>
          <w:rFonts w:ascii="Arial" w:hAnsi="Arial" w:cs="Arial"/>
          <w:color w:val="000000"/>
          <w:sz w:val="22"/>
          <w:szCs w:val="22"/>
          <w:lang w:val="es-CO"/>
        </w:rPr>
      </w:pPr>
    </w:p>
    <w:p w14:paraId="3C5BDCEC" w14:textId="6326EA3F" w:rsidR="00EC5741" w:rsidRDefault="00FC5713" w:rsidP="000000DE">
      <w:pPr>
        <w:pStyle w:val="Prrafodelista"/>
        <w:tabs>
          <w:tab w:val="left" w:pos="0"/>
        </w:tabs>
        <w:spacing w:line="276" w:lineRule="auto"/>
        <w:ind w:left="0" w:right="-233"/>
        <w:contextualSpacing/>
        <w:jc w:val="both"/>
        <w:rPr>
          <w:rFonts w:ascii="Arial" w:hAnsi="Arial" w:cs="Arial"/>
          <w:color w:val="000000"/>
          <w:sz w:val="24"/>
          <w:szCs w:val="24"/>
          <w:lang w:val="es-CO"/>
        </w:rPr>
      </w:pPr>
      <w:r>
        <w:rPr>
          <w:rFonts w:ascii="Arial" w:hAnsi="Arial" w:cs="Arial"/>
          <w:color w:val="000000"/>
          <w:sz w:val="24"/>
          <w:szCs w:val="24"/>
          <w:lang w:val="es-CO"/>
        </w:rPr>
        <w:t>3.</w:t>
      </w:r>
      <w:r w:rsidR="004E674A">
        <w:rPr>
          <w:rFonts w:ascii="Arial" w:hAnsi="Arial" w:cs="Arial"/>
          <w:color w:val="000000"/>
          <w:sz w:val="24"/>
          <w:szCs w:val="24"/>
          <w:lang w:val="es-CO"/>
        </w:rPr>
        <w:t>4</w:t>
      </w:r>
      <w:r>
        <w:rPr>
          <w:rFonts w:ascii="Arial" w:hAnsi="Arial" w:cs="Arial"/>
          <w:color w:val="000000"/>
          <w:sz w:val="24"/>
          <w:szCs w:val="24"/>
          <w:lang w:val="es-CO"/>
        </w:rPr>
        <w:t xml:space="preserve">. Por lo anterior, </w:t>
      </w:r>
      <w:r w:rsidR="00E37F78">
        <w:rPr>
          <w:rFonts w:ascii="Arial" w:hAnsi="Arial" w:cs="Arial"/>
          <w:color w:val="000000"/>
          <w:sz w:val="24"/>
          <w:szCs w:val="24"/>
          <w:lang w:val="es-CO"/>
        </w:rPr>
        <w:t>consideró que dicho acto administrativo desconocía ‘los lineamientos establecidos</w:t>
      </w:r>
      <w:r w:rsidR="00E93087">
        <w:rPr>
          <w:rFonts w:ascii="Arial" w:hAnsi="Arial" w:cs="Arial"/>
          <w:color w:val="000000"/>
          <w:sz w:val="24"/>
          <w:szCs w:val="24"/>
          <w:lang w:val="es-CO"/>
        </w:rPr>
        <w:t xml:space="preserve">’ para la concesión de facultades </w:t>
      </w:r>
      <w:r w:rsidR="00E93087">
        <w:rPr>
          <w:rFonts w:ascii="Arial" w:hAnsi="Arial" w:cs="Arial"/>
          <w:i/>
          <w:iCs/>
          <w:color w:val="000000"/>
          <w:sz w:val="24"/>
          <w:szCs w:val="24"/>
          <w:lang w:val="es-CO"/>
        </w:rPr>
        <w:t xml:space="preserve">pro </w:t>
      </w:r>
      <w:r w:rsidR="00E93087" w:rsidRPr="00E93087">
        <w:rPr>
          <w:rFonts w:ascii="Arial" w:hAnsi="Arial" w:cs="Arial"/>
          <w:i/>
          <w:iCs/>
          <w:color w:val="000000"/>
          <w:sz w:val="24"/>
          <w:szCs w:val="24"/>
          <w:lang w:val="es-CO"/>
        </w:rPr>
        <w:t>tempore</w:t>
      </w:r>
      <w:r w:rsidR="00E7240D">
        <w:rPr>
          <w:rFonts w:ascii="Arial" w:hAnsi="Arial" w:cs="Arial"/>
          <w:color w:val="000000"/>
          <w:sz w:val="24"/>
          <w:szCs w:val="24"/>
          <w:lang w:val="es-CO"/>
        </w:rPr>
        <w:t xml:space="preserve">. </w:t>
      </w:r>
    </w:p>
    <w:p w14:paraId="4B4A092C" w14:textId="724EABA8" w:rsidR="00E7240D" w:rsidRDefault="00E7240D" w:rsidP="000000DE">
      <w:pPr>
        <w:pStyle w:val="Prrafodelista"/>
        <w:tabs>
          <w:tab w:val="left" w:pos="0"/>
        </w:tabs>
        <w:spacing w:line="276" w:lineRule="auto"/>
        <w:ind w:left="0" w:right="-233"/>
        <w:contextualSpacing/>
        <w:jc w:val="both"/>
        <w:rPr>
          <w:rFonts w:ascii="Arial" w:hAnsi="Arial" w:cs="Arial"/>
          <w:color w:val="000000"/>
          <w:sz w:val="24"/>
          <w:szCs w:val="24"/>
          <w:lang w:val="es-CO"/>
        </w:rPr>
      </w:pPr>
    </w:p>
    <w:p w14:paraId="3ECE7264" w14:textId="473468E5" w:rsidR="001A5435" w:rsidRPr="001B0C42" w:rsidRDefault="009914B9" w:rsidP="000000DE">
      <w:pPr>
        <w:spacing w:line="276" w:lineRule="auto"/>
        <w:ind w:right="-233"/>
        <w:contextualSpacing/>
        <w:jc w:val="both"/>
        <w:rPr>
          <w:rFonts w:ascii="Arial" w:hAnsi="Arial" w:cs="Arial"/>
          <w:color w:val="000000"/>
          <w:sz w:val="24"/>
          <w:szCs w:val="24"/>
          <w:lang w:val="es-CO"/>
        </w:rPr>
      </w:pPr>
      <w:r w:rsidRPr="009914B9">
        <w:rPr>
          <w:rFonts w:ascii="Arial" w:hAnsi="Arial" w:cs="Arial"/>
          <w:b/>
          <w:bCs/>
          <w:color w:val="000000"/>
          <w:sz w:val="24"/>
          <w:szCs w:val="24"/>
          <w:lang w:val="es-CO"/>
        </w:rPr>
        <w:t xml:space="preserve">Posición del </w:t>
      </w:r>
      <w:r w:rsidR="00E4700F">
        <w:rPr>
          <w:rFonts w:ascii="Arial" w:hAnsi="Arial" w:cs="Arial"/>
          <w:b/>
          <w:bCs/>
          <w:color w:val="000000"/>
          <w:sz w:val="24"/>
          <w:szCs w:val="24"/>
          <w:lang w:val="es-CO"/>
        </w:rPr>
        <w:t>m</w:t>
      </w:r>
      <w:r w:rsidRPr="009914B9">
        <w:rPr>
          <w:rFonts w:ascii="Arial" w:hAnsi="Arial" w:cs="Arial"/>
          <w:b/>
          <w:bCs/>
          <w:color w:val="000000"/>
          <w:sz w:val="24"/>
          <w:szCs w:val="24"/>
          <w:lang w:val="es-CO"/>
        </w:rPr>
        <w:t xml:space="preserve">unicipio </w:t>
      </w:r>
      <w:r w:rsidR="00421EA9">
        <w:rPr>
          <w:rFonts w:ascii="Arial" w:hAnsi="Arial" w:cs="Arial"/>
          <w:b/>
          <w:bCs/>
          <w:color w:val="000000"/>
          <w:sz w:val="24"/>
          <w:szCs w:val="24"/>
          <w:lang w:val="es-CO"/>
        </w:rPr>
        <w:t xml:space="preserve">de </w:t>
      </w:r>
      <w:r w:rsidR="00E4700F">
        <w:rPr>
          <w:rFonts w:ascii="Arial" w:hAnsi="Arial" w:cs="Arial"/>
          <w:b/>
          <w:bCs/>
          <w:color w:val="000000"/>
          <w:sz w:val="24"/>
          <w:szCs w:val="24"/>
          <w:lang w:val="es-CO"/>
        </w:rPr>
        <w:t>Tibaná</w:t>
      </w:r>
      <w:r w:rsidR="00E4700F">
        <w:rPr>
          <w:rStyle w:val="Refdenotaalpie"/>
          <w:rFonts w:ascii="Arial" w:hAnsi="Arial" w:cs="Arial"/>
          <w:b/>
          <w:bCs/>
          <w:color w:val="000000"/>
          <w:sz w:val="24"/>
          <w:szCs w:val="24"/>
          <w:lang w:val="es-CO"/>
        </w:rPr>
        <w:footnoteReference w:id="3"/>
      </w:r>
    </w:p>
    <w:p w14:paraId="11074E42" w14:textId="77777777" w:rsidR="001A5435" w:rsidRPr="001B0C42" w:rsidRDefault="001A5435" w:rsidP="000000DE">
      <w:pPr>
        <w:spacing w:line="276" w:lineRule="auto"/>
        <w:ind w:right="-233"/>
        <w:contextualSpacing/>
        <w:jc w:val="both"/>
        <w:rPr>
          <w:rFonts w:ascii="Arial" w:hAnsi="Arial" w:cs="Arial"/>
          <w:iCs/>
          <w:sz w:val="24"/>
          <w:szCs w:val="24"/>
          <w:lang w:val="es-CO"/>
        </w:rPr>
      </w:pPr>
    </w:p>
    <w:bookmarkEnd w:id="1"/>
    <w:p w14:paraId="5436E8B2" w14:textId="0525EF19" w:rsidR="00A11563" w:rsidRDefault="00722FDD" w:rsidP="000000DE">
      <w:pPr>
        <w:pStyle w:val="Prrafodelista"/>
        <w:tabs>
          <w:tab w:val="left" w:pos="0"/>
        </w:tabs>
        <w:spacing w:line="276" w:lineRule="auto"/>
        <w:ind w:left="0" w:right="-233"/>
        <w:contextualSpacing/>
        <w:jc w:val="both"/>
        <w:rPr>
          <w:rFonts w:ascii="Arial" w:hAnsi="Arial" w:cs="Arial"/>
          <w:color w:val="000000"/>
          <w:sz w:val="24"/>
          <w:szCs w:val="24"/>
          <w:lang w:val="es-CO"/>
        </w:rPr>
      </w:pPr>
      <w:r>
        <w:rPr>
          <w:rFonts w:ascii="Arial" w:hAnsi="Arial" w:cs="Arial"/>
          <w:color w:val="000000"/>
          <w:sz w:val="24"/>
          <w:szCs w:val="24"/>
          <w:lang w:val="es-CO"/>
        </w:rPr>
        <w:t xml:space="preserve">4. </w:t>
      </w:r>
      <w:r w:rsidR="00435003">
        <w:rPr>
          <w:rFonts w:ascii="Arial" w:hAnsi="Arial" w:cs="Arial"/>
          <w:color w:val="000000"/>
          <w:sz w:val="24"/>
          <w:szCs w:val="24"/>
          <w:lang w:val="es-CO"/>
        </w:rPr>
        <w:t>El apoderado del ente territorial s</w:t>
      </w:r>
      <w:r w:rsidR="009F620E">
        <w:rPr>
          <w:rFonts w:ascii="Arial" w:hAnsi="Arial" w:cs="Arial"/>
          <w:color w:val="000000"/>
          <w:sz w:val="24"/>
          <w:szCs w:val="24"/>
          <w:lang w:val="es-CO"/>
        </w:rPr>
        <w:t xml:space="preserve">olicitó denegar las pretensiones de la demanda. </w:t>
      </w:r>
    </w:p>
    <w:p w14:paraId="244F32B0" w14:textId="0D58449C" w:rsidR="009F620E" w:rsidRDefault="009F620E" w:rsidP="000000DE">
      <w:pPr>
        <w:pStyle w:val="Prrafodelista"/>
        <w:tabs>
          <w:tab w:val="left" w:pos="0"/>
        </w:tabs>
        <w:spacing w:line="276" w:lineRule="auto"/>
        <w:ind w:left="0" w:right="-233"/>
        <w:contextualSpacing/>
        <w:jc w:val="both"/>
        <w:rPr>
          <w:rFonts w:ascii="Arial" w:hAnsi="Arial" w:cs="Arial"/>
          <w:color w:val="000000"/>
          <w:sz w:val="24"/>
          <w:szCs w:val="24"/>
          <w:lang w:val="es-CO"/>
        </w:rPr>
      </w:pPr>
    </w:p>
    <w:p w14:paraId="0F059F1E" w14:textId="5EE26731" w:rsidR="0061745F" w:rsidRDefault="009F620E" w:rsidP="000000DE">
      <w:pPr>
        <w:pStyle w:val="Prrafodelista"/>
        <w:tabs>
          <w:tab w:val="left" w:pos="0"/>
        </w:tabs>
        <w:spacing w:line="276" w:lineRule="auto"/>
        <w:ind w:left="0" w:right="-233"/>
        <w:contextualSpacing/>
        <w:jc w:val="both"/>
        <w:rPr>
          <w:rFonts w:ascii="Arial" w:hAnsi="Arial" w:cs="Arial"/>
          <w:color w:val="000000"/>
          <w:sz w:val="24"/>
          <w:szCs w:val="24"/>
          <w:lang w:val="es-CO"/>
        </w:rPr>
      </w:pPr>
      <w:r>
        <w:rPr>
          <w:rFonts w:ascii="Arial" w:hAnsi="Arial" w:cs="Arial"/>
          <w:color w:val="000000"/>
          <w:sz w:val="24"/>
          <w:szCs w:val="24"/>
          <w:lang w:val="es-CO"/>
        </w:rPr>
        <w:t xml:space="preserve">4.1. </w:t>
      </w:r>
      <w:r w:rsidR="00435003">
        <w:rPr>
          <w:rFonts w:ascii="Arial" w:hAnsi="Arial" w:cs="Arial"/>
          <w:color w:val="000000"/>
          <w:sz w:val="24"/>
          <w:szCs w:val="24"/>
          <w:lang w:val="es-CO"/>
        </w:rPr>
        <w:t xml:space="preserve">Indicó que </w:t>
      </w:r>
      <w:r w:rsidR="005312E6">
        <w:rPr>
          <w:rFonts w:ascii="Arial" w:hAnsi="Arial" w:cs="Arial"/>
          <w:color w:val="000000"/>
          <w:sz w:val="24"/>
          <w:szCs w:val="24"/>
          <w:lang w:val="es-CO"/>
        </w:rPr>
        <w:t xml:space="preserve">es deber de las entidades territoriales hacer efectivo el derecho fundamental a la vivienda digna, para lo cual </w:t>
      </w:r>
      <w:r w:rsidR="003B0C44">
        <w:rPr>
          <w:rFonts w:ascii="Arial" w:hAnsi="Arial" w:cs="Arial"/>
          <w:color w:val="000000"/>
          <w:sz w:val="24"/>
          <w:szCs w:val="24"/>
          <w:lang w:val="es-CO"/>
        </w:rPr>
        <w:t xml:space="preserve">podían </w:t>
      </w:r>
      <w:r w:rsidR="005312E6">
        <w:rPr>
          <w:rFonts w:ascii="Arial" w:hAnsi="Arial" w:cs="Arial"/>
          <w:color w:val="000000"/>
          <w:sz w:val="24"/>
          <w:szCs w:val="24"/>
          <w:lang w:val="es-CO"/>
        </w:rPr>
        <w:t xml:space="preserve">promover planes de vivienda de interés social. Asimismo, </w:t>
      </w:r>
      <w:r w:rsidR="00A629D7">
        <w:rPr>
          <w:rFonts w:ascii="Arial" w:hAnsi="Arial" w:cs="Arial"/>
          <w:color w:val="000000"/>
          <w:sz w:val="24"/>
          <w:szCs w:val="24"/>
          <w:lang w:val="es-CO"/>
        </w:rPr>
        <w:t>reseñó</w:t>
      </w:r>
      <w:r w:rsidR="005312E6">
        <w:rPr>
          <w:rFonts w:ascii="Arial" w:hAnsi="Arial" w:cs="Arial"/>
          <w:color w:val="000000"/>
          <w:sz w:val="24"/>
          <w:szCs w:val="24"/>
          <w:lang w:val="es-CO"/>
        </w:rPr>
        <w:t xml:space="preserve"> </w:t>
      </w:r>
      <w:r w:rsidR="009131EA">
        <w:rPr>
          <w:rFonts w:ascii="Arial" w:hAnsi="Arial" w:cs="Arial"/>
          <w:color w:val="000000"/>
          <w:sz w:val="24"/>
          <w:szCs w:val="24"/>
          <w:lang w:val="es-CO"/>
        </w:rPr>
        <w:t xml:space="preserve">que era jurídicamente viable ofertar este tipo de programas, los cuales se podían </w:t>
      </w:r>
      <w:r w:rsidR="003B0C44">
        <w:rPr>
          <w:rFonts w:ascii="Arial" w:hAnsi="Arial" w:cs="Arial"/>
          <w:color w:val="000000"/>
          <w:sz w:val="24"/>
          <w:szCs w:val="24"/>
          <w:lang w:val="es-CO"/>
        </w:rPr>
        <w:t>‘apalancar’ con la “disposición de lotes y obras de urbanismo</w:t>
      </w:r>
      <w:r w:rsidR="00221A42">
        <w:rPr>
          <w:rFonts w:ascii="Arial" w:hAnsi="Arial" w:cs="Arial"/>
          <w:color w:val="000000"/>
          <w:sz w:val="24"/>
          <w:szCs w:val="24"/>
          <w:lang w:val="es-CO"/>
        </w:rPr>
        <w:t>”</w:t>
      </w:r>
      <w:r w:rsidR="00CA3070">
        <w:rPr>
          <w:rStyle w:val="Refdenotaalpie"/>
          <w:rFonts w:ascii="Arial" w:hAnsi="Arial" w:cs="Arial"/>
          <w:color w:val="000000"/>
          <w:sz w:val="24"/>
          <w:szCs w:val="24"/>
          <w:lang w:val="es-CO"/>
        </w:rPr>
        <w:footnoteReference w:id="4"/>
      </w:r>
      <w:r w:rsidR="0061745F">
        <w:rPr>
          <w:rFonts w:ascii="Arial" w:hAnsi="Arial" w:cs="Arial"/>
          <w:color w:val="000000"/>
          <w:sz w:val="24"/>
          <w:szCs w:val="24"/>
          <w:lang w:val="es-CO"/>
        </w:rPr>
        <w:t xml:space="preserve">, señalando que, para el efecto, </w:t>
      </w:r>
      <w:r w:rsidR="00716328">
        <w:rPr>
          <w:rFonts w:ascii="Arial" w:hAnsi="Arial" w:cs="Arial"/>
          <w:color w:val="000000"/>
          <w:sz w:val="24"/>
          <w:szCs w:val="24"/>
          <w:lang w:val="es-CO"/>
        </w:rPr>
        <w:t>era posible ‘aliarse’ con constructores para materializar este tipo de proyectos</w:t>
      </w:r>
      <w:r w:rsidR="0062315C">
        <w:rPr>
          <w:rFonts w:ascii="Arial" w:hAnsi="Arial" w:cs="Arial"/>
          <w:color w:val="000000"/>
          <w:sz w:val="24"/>
          <w:szCs w:val="24"/>
          <w:lang w:val="es-CO"/>
        </w:rPr>
        <w:t>,</w:t>
      </w:r>
      <w:r w:rsidR="00716328">
        <w:rPr>
          <w:rFonts w:ascii="Arial" w:hAnsi="Arial" w:cs="Arial"/>
          <w:color w:val="000000"/>
          <w:sz w:val="24"/>
          <w:szCs w:val="24"/>
          <w:lang w:val="es-CO"/>
        </w:rPr>
        <w:t xml:space="preserve"> según el Decreto 2190 de 2009, en concordancia con las Leyes 3 de 1991 y 388 de 1997. </w:t>
      </w:r>
    </w:p>
    <w:p w14:paraId="0FF7FC89" w14:textId="77777777" w:rsidR="0061745F" w:rsidRDefault="0061745F" w:rsidP="000000DE">
      <w:pPr>
        <w:pStyle w:val="Prrafodelista"/>
        <w:tabs>
          <w:tab w:val="left" w:pos="0"/>
        </w:tabs>
        <w:spacing w:line="276" w:lineRule="auto"/>
        <w:ind w:left="0" w:right="-233"/>
        <w:contextualSpacing/>
        <w:jc w:val="both"/>
        <w:rPr>
          <w:rFonts w:ascii="Arial" w:hAnsi="Arial" w:cs="Arial"/>
          <w:color w:val="000000"/>
          <w:sz w:val="24"/>
          <w:szCs w:val="24"/>
          <w:lang w:val="es-CO"/>
        </w:rPr>
      </w:pPr>
    </w:p>
    <w:p w14:paraId="60B10F8A" w14:textId="59251A5F" w:rsidR="007854DB" w:rsidRDefault="0061745F" w:rsidP="000000DE">
      <w:pPr>
        <w:pStyle w:val="Prrafodelista"/>
        <w:tabs>
          <w:tab w:val="left" w:pos="0"/>
        </w:tabs>
        <w:spacing w:line="276" w:lineRule="auto"/>
        <w:ind w:left="0" w:right="-233"/>
        <w:contextualSpacing/>
        <w:jc w:val="both"/>
        <w:rPr>
          <w:rFonts w:ascii="Arial" w:hAnsi="Arial" w:cs="Arial"/>
          <w:color w:val="000000"/>
          <w:sz w:val="24"/>
          <w:szCs w:val="24"/>
          <w:lang w:val="es-CO"/>
        </w:rPr>
      </w:pPr>
      <w:r>
        <w:rPr>
          <w:rFonts w:ascii="Arial" w:hAnsi="Arial" w:cs="Arial"/>
          <w:color w:val="000000"/>
          <w:sz w:val="24"/>
          <w:szCs w:val="24"/>
          <w:lang w:val="es-CO"/>
        </w:rPr>
        <w:t xml:space="preserve">4.2. </w:t>
      </w:r>
      <w:r w:rsidR="00251D19">
        <w:rPr>
          <w:rFonts w:ascii="Arial" w:hAnsi="Arial" w:cs="Arial"/>
          <w:color w:val="000000"/>
          <w:sz w:val="24"/>
          <w:szCs w:val="24"/>
          <w:lang w:val="es-CO"/>
        </w:rPr>
        <w:t>Relató que a través del Acuerdo municipal No. 037 de 2018</w:t>
      </w:r>
      <w:r w:rsidR="004F3986">
        <w:rPr>
          <w:rFonts w:ascii="Arial" w:hAnsi="Arial" w:cs="Arial"/>
          <w:color w:val="000000"/>
          <w:sz w:val="24"/>
          <w:szCs w:val="24"/>
          <w:lang w:val="es-CO"/>
        </w:rPr>
        <w:t xml:space="preserve"> ―vigente hasta el 31 de diciembre de 2019―</w:t>
      </w:r>
      <w:r w:rsidR="00251D19">
        <w:rPr>
          <w:rFonts w:ascii="Arial" w:hAnsi="Arial" w:cs="Arial"/>
          <w:color w:val="000000"/>
          <w:sz w:val="24"/>
          <w:szCs w:val="24"/>
          <w:lang w:val="es-CO"/>
        </w:rPr>
        <w:t xml:space="preserve">, </w:t>
      </w:r>
      <w:r w:rsidR="00950ECC">
        <w:rPr>
          <w:rFonts w:ascii="Arial" w:hAnsi="Arial" w:cs="Arial"/>
          <w:color w:val="000000"/>
          <w:sz w:val="24"/>
          <w:szCs w:val="24"/>
          <w:lang w:val="es-CO"/>
        </w:rPr>
        <w:t xml:space="preserve">se concedieron facultades al alcalde para </w:t>
      </w:r>
      <w:r w:rsidR="00450A06">
        <w:rPr>
          <w:rFonts w:ascii="Arial" w:hAnsi="Arial" w:cs="Arial"/>
          <w:color w:val="000000"/>
          <w:sz w:val="24"/>
          <w:szCs w:val="24"/>
          <w:lang w:val="es-CO"/>
        </w:rPr>
        <w:t>‘</w:t>
      </w:r>
      <w:r w:rsidR="00950ECC">
        <w:rPr>
          <w:rFonts w:ascii="Arial" w:hAnsi="Arial" w:cs="Arial"/>
          <w:color w:val="000000"/>
          <w:sz w:val="24"/>
          <w:szCs w:val="24"/>
          <w:lang w:val="es-CO"/>
        </w:rPr>
        <w:t>constituir</w:t>
      </w:r>
      <w:r w:rsidR="00450A06">
        <w:rPr>
          <w:rFonts w:ascii="Arial" w:hAnsi="Arial" w:cs="Arial"/>
          <w:color w:val="000000"/>
          <w:sz w:val="24"/>
          <w:szCs w:val="24"/>
          <w:lang w:val="es-CO"/>
        </w:rPr>
        <w:t>’</w:t>
      </w:r>
      <w:r w:rsidR="00950ECC">
        <w:rPr>
          <w:rFonts w:ascii="Arial" w:hAnsi="Arial" w:cs="Arial"/>
          <w:color w:val="000000"/>
          <w:sz w:val="24"/>
          <w:szCs w:val="24"/>
          <w:lang w:val="es-CO"/>
        </w:rPr>
        <w:t xml:space="preserve"> un proyecto de vivienda de interés social</w:t>
      </w:r>
      <w:r w:rsidR="004230AC">
        <w:rPr>
          <w:rFonts w:ascii="Arial" w:hAnsi="Arial" w:cs="Arial"/>
          <w:color w:val="000000"/>
          <w:sz w:val="24"/>
          <w:szCs w:val="24"/>
          <w:lang w:val="es-CO"/>
        </w:rPr>
        <w:t xml:space="preserve">, </w:t>
      </w:r>
      <w:r w:rsidR="00DF1A11">
        <w:rPr>
          <w:rFonts w:ascii="Arial" w:hAnsi="Arial" w:cs="Arial"/>
          <w:color w:val="000000"/>
          <w:sz w:val="24"/>
          <w:szCs w:val="24"/>
          <w:lang w:val="es-CO"/>
        </w:rPr>
        <w:t xml:space="preserve">para </w:t>
      </w:r>
      <w:r w:rsidR="00251D19" w:rsidRPr="00251D19">
        <w:rPr>
          <w:rFonts w:ascii="Arial" w:hAnsi="Arial" w:cs="Arial"/>
          <w:color w:val="000000"/>
          <w:sz w:val="24"/>
          <w:szCs w:val="24"/>
          <w:lang w:val="es-CO"/>
        </w:rPr>
        <w:t xml:space="preserve">seleccionar un </w:t>
      </w:r>
      <w:r w:rsidR="00DF1A11">
        <w:rPr>
          <w:rFonts w:ascii="Arial" w:hAnsi="Arial" w:cs="Arial"/>
          <w:color w:val="000000"/>
          <w:sz w:val="24"/>
          <w:szCs w:val="24"/>
          <w:lang w:val="es-CO"/>
        </w:rPr>
        <w:t>‘</w:t>
      </w:r>
      <w:r w:rsidR="00251D19" w:rsidRPr="00251D19">
        <w:rPr>
          <w:rFonts w:ascii="Arial" w:hAnsi="Arial" w:cs="Arial"/>
          <w:color w:val="000000"/>
          <w:sz w:val="24"/>
          <w:szCs w:val="24"/>
          <w:lang w:val="es-CO"/>
        </w:rPr>
        <w:t>inversionista,</w:t>
      </w:r>
      <w:r w:rsidR="00DF1A11">
        <w:rPr>
          <w:rFonts w:ascii="Arial" w:hAnsi="Arial" w:cs="Arial"/>
          <w:color w:val="000000"/>
          <w:sz w:val="24"/>
          <w:szCs w:val="24"/>
          <w:lang w:val="es-CO"/>
        </w:rPr>
        <w:t xml:space="preserve"> </w:t>
      </w:r>
      <w:r w:rsidR="00251D19" w:rsidRPr="00251D19">
        <w:rPr>
          <w:rFonts w:ascii="Arial" w:hAnsi="Arial" w:cs="Arial"/>
          <w:color w:val="000000"/>
          <w:sz w:val="24"/>
          <w:szCs w:val="24"/>
          <w:lang w:val="es-CO"/>
        </w:rPr>
        <w:t>cooperante</w:t>
      </w:r>
      <w:r w:rsidR="004F3986">
        <w:rPr>
          <w:rFonts w:ascii="Arial" w:hAnsi="Arial" w:cs="Arial"/>
          <w:color w:val="000000"/>
          <w:sz w:val="24"/>
          <w:szCs w:val="24"/>
          <w:lang w:val="es-CO"/>
        </w:rPr>
        <w:t xml:space="preserve"> y </w:t>
      </w:r>
      <w:r w:rsidR="00251D19" w:rsidRPr="00251D19">
        <w:rPr>
          <w:rFonts w:ascii="Arial" w:hAnsi="Arial" w:cs="Arial"/>
          <w:color w:val="000000"/>
          <w:sz w:val="24"/>
          <w:szCs w:val="24"/>
          <w:lang w:val="es-CO"/>
        </w:rPr>
        <w:t>constructor</w:t>
      </w:r>
      <w:r w:rsidR="00DF1A11">
        <w:rPr>
          <w:rFonts w:ascii="Arial" w:hAnsi="Arial" w:cs="Arial"/>
          <w:color w:val="000000"/>
          <w:sz w:val="24"/>
          <w:szCs w:val="24"/>
          <w:lang w:val="es-CO"/>
        </w:rPr>
        <w:t>’</w:t>
      </w:r>
      <w:r w:rsidR="004F3986">
        <w:rPr>
          <w:rFonts w:ascii="Arial" w:hAnsi="Arial" w:cs="Arial"/>
          <w:color w:val="000000"/>
          <w:sz w:val="24"/>
          <w:szCs w:val="24"/>
          <w:lang w:val="es-CO"/>
        </w:rPr>
        <w:t>,</w:t>
      </w:r>
      <w:r w:rsidR="00014DF2">
        <w:rPr>
          <w:rFonts w:ascii="Arial" w:hAnsi="Arial" w:cs="Arial"/>
          <w:color w:val="000000"/>
          <w:sz w:val="24"/>
          <w:szCs w:val="24"/>
          <w:lang w:val="es-CO"/>
        </w:rPr>
        <w:t xml:space="preserve"> y para entregar “</w:t>
      </w:r>
      <w:r w:rsidR="00251D19" w:rsidRPr="00251D19">
        <w:rPr>
          <w:rFonts w:ascii="Arial" w:hAnsi="Arial" w:cs="Arial"/>
          <w:color w:val="000000"/>
          <w:sz w:val="24"/>
          <w:szCs w:val="24"/>
          <w:lang w:val="es-CO"/>
        </w:rPr>
        <w:t>como subsidio el valor correspondiente a cada</w:t>
      </w:r>
      <w:r w:rsidR="00014DF2">
        <w:rPr>
          <w:rFonts w:ascii="Arial" w:hAnsi="Arial" w:cs="Arial"/>
          <w:color w:val="000000"/>
          <w:sz w:val="24"/>
          <w:szCs w:val="24"/>
          <w:lang w:val="es-CO"/>
        </w:rPr>
        <w:t xml:space="preserve"> </w:t>
      </w:r>
      <w:r w:rsidR="00251D19" w:rsidRPr="00251D19">
        <w:rPr>
          <w:rFonts w:ascii="Arial" w:hAnsi="Arial" w:cs="Arial"/>
          <w:color w:val="000000"/>
          <w:sz w:val="24"/>
          <w:szCs w:val="24"/>
          <w:lang w:val="es-CO"/>
        </w:rPr>
        <w:t xml:space="preserve">lote </w:t>
      </w:r>
      <w:r w:rsidR="00D77268">
        <w:rPr>
          <w:rFonts w:ascii="Arial" w:hAnsi="Arial" w:cs="Arial"/>
          <w:color w:val="000000"/>
          <w:sz w:val="24"/>
          <w:szCs w:val="24"/>
          <w:lang w:val="es-CO"/>
        </w:rPr>
        <w:t xml:space="preserve">(…) </w:t>
      </w:r>
      <w:r w:rsidR="00251D19" w:rsidRPr="00251D19">
        <w:rPr>
          <w:rFonts w:ascii="Arial" w:hAnsi="Arial" w:cs="Arial"/>
          <w:color w:val="000000"/>
          <w:sz w:val="24"/>
          <w:szCs w:val="24"/>
          <w:lang w:val="es-CO"/>
        </w:rPr>
        <w:t>a los beneficiarios</w:t>
      </w:r>
      <w:r w:rsidR="00D77268">
        <w:rPr>
          <w:rFonts w:ascii="Arial" w:hAnsi="Arial" w:cs="Arial"/>
          <w:color w:val="000000"/>
          <w:sz w:val="24"/>
          <w:szCs w:val="24"/>
          <w:lang w:val="es-CO"/>
        </w:rPr>
        <w:t>”</w:t>
      </w:r>
      <w:r w:rsidR="00D77268">
        <w:rPr>
          <w:rStyle w:val="Refdenotaalpie"/>
          <w:rFonts w:ascii="Arial" w:hAnsi="Arial" w:cs="Arial"/>
          <w:color w:val="000000"/>
          <w:sz w:val="24"/>
          <w:szCs w:val="24"/>
          <w:lang w:val="es-CO"/>
        </w:rPr>
        <w:footnoteReference w:id="5"/>
      </w:r>
      <w:r w:rsidR="001266EC">
        <w:rPr>
          <w:rFonts w:ascii="Arial" w:hAnsi="Arial" w:cs="Arial"/>
          <w:color w:val="000000"/>
          <w:sz w:val="24"/>
          <w:szCs w:val="24"/>
          <w:lang w:val="es-CO"/>
        </w:rPr>
        <w:t xml:space="preserve">. Además, anotó </w:t>
      </w:r>
      <w:r w:rsidR="003C6789">
        <w:rPr>
          <w:rFonts w:ascii="Arial" w:hAnsi="Arial" w:cs="Arial"/>
          <w:color w:val="000000"/>
          <w:sz w:val="24"/>
          <w:szCs w:val="24"/>
          <w:lang w:val="es-CO"/>
        </w:rPr>
        <w:t>que, nuevamente, tales facultades se volvieron a conferir a través del Acuerdo No. 002 de 2020 ―hasta el 31 de diciembre de dicha anualidad―.</w:t>
      </w:r>
    </w:p>
    <w:p w14:paraId="64F67093" w14:textId="5D49A5D8" w:rsidR="00307E28" w:rsidRDefault="00307E28" w:rsidP="000000DE">
      <w:pPr>
        <w:pStyle w:val="Prrafodelista"/>
        <w:tabs>
          <w:tab w:val="left" w:pos="0"/>
        </w:tabs>
        <w:spacing w:line="276" w:lineRule="auto"/>
        <w:ind w:left="0" w:right="-233"/>
        <w:contextualSpacing/>
        <w:jc w:val="both"/>
        <w:rPr>
          <w:rFonts w:ascii="Arial" w:hAnsi="Arial" w:cs="Arial"/>
          <w:color w:val="000000"/>
          <w:sz w:val="24"/>
          <w:szCs w:val="24"/>
          <w:lang w:val="es-CO"/>
        </w:rPr>
      </w:pPr>
    </w:p>
    <w:p w14:paraId="1764762E" w14:textId="33325791" w:rsidR="001266EC" w:rsidRDefault="00307E28" w:rsidP="000000DE">
      <w:pPr>
        <w:pStyle w:val="Prrafodelista"/>
        <w:tabs>
          <w:tab w:val="left" w:pos="0"/>
        </w:tabs>
        <w:spacing w:line="276" w:lineRule="auto"/>
        <w:ind w:left="0" w:right="-233"/>
        <w:contextualSpacing/>
        <w:jc w:val="both"/>
        <w:rPr>
          <w:rFonts w:ascii="Arial" w:hAnsi="Arial" w:cs="Arial"/>
          <w:color w:val="000000"/>
          <w:sz w:val="24"/>
          <w:szCs w:val="24"/>
          <w:lang w:val="es-CO"/>
        </w:rPr>
      </w:pPr>
      <w:r>
        <w:rPr>
          <w:rFonts w:ascii="Arial" w:hAnsi="Arial" w:cs="Arial"/>
          <w:color w:val="000000"/>
          <w:sz w:val="24"/>
          <w:szCs w:val="24"/>
          <w:lang w:val="es-CO"/>
        </w:rPr>
        <w:t xml:space="preserve">4.3. </w:t>
      </w:r>
      <w:r w:rsidR="003C6789">
        <w:rPr>
          <w:rFonts w:ascii="Arial" w:hAnsi="Arial" w:cs="Arial"/>
          <w:color w:val="000000"/>
          <w:sz w:val="24"/>
          <w:szCs w:val="24"/>
          <w:lang w:val="es-CO"/>
        </w:rPr>
        <w:t>En tal contexto, precisó que el acuerdo municipal demandado, expedido el día 13 de febrero de 2021, tenía como única finalidad la culminación del proyecto de vivienda de interés social</w:t>
      </w:r>
      <w:r w:rsidR="00A629D7">
        <w:rPr>
          <w:rFonts w:ascii="Arial" w:hAnsi="Arial" w:cs="Arial"/>
          <w:color w:val="000000"/>
          <w:sz w:val="24"/>
          <w:szCs w:val="24"/>
          <w:lang w:val="es-CO"/>
        </w:rPr>
        <w:t xml:space="preserve"> ―atrás referido―</w:t>
      </w:r>
      <w:r w:rsidR="00822C94">
        <w:rPr>
          <w:rFonts w:ascii="Arial" w:hAnsi="Arial" w:cs="Arial"/>
          <w:color w:val="000000"/>
          <w:sz w:val="24"/>
          <w:szCs w:val="24"/>
          <w:lang w:val="es-CO"/>
        </w:rPr>
        <w:t xml:space="preserve">; </w:t>
      </w:r>
      <w:r w:rsidR="001266EC">
        <w:rPr>
          <w:rFonts w:ascii="Arial" w:hAnsi="Arial" w:cs="Arial"/>
          <w:color w:val="000000"/>
          <w:sz w:val="24"/>
          <w:szCs w:val="24"/>
          <w:lang w:val="es-CO"/>
        </w:rPr>
        <w:t xml:space="preserve">y señaló </w:t>
      </w:r>
      <w:r w:rsidR="00822C94">
        <w:rPr>
          <w:rFonts w:ascii="Arial" w:hAnsi="Arial" w:cs="Arial"/>
          <w:color w:val="000000"/>
          <w:sz w:val="24"/>
          <w:szCs w:val="24"/>
          <w:lang w:val="es-CO"/>
        </w:rPr>
        <w:t xml:space="preserve">que éste se había </w:t>
      </w:r>
      <w:r w:rsidR="00822C94">
        <w:rPr>
          <w:rFonts w:ascii="Arial" w:hAnsi="Arial" w:cs="Arial"/>
          <w:color w:val="000000"/>
          <w:sz w:val="24"/>
          <w:szCs w:val="24"/>
          <w:lang w:val="es-CO"/>
        </w:rPr>
        <w:lastRenderedPageBreak/>
        <w:t>atrasado debido a la emergencia sanitaria declarada por el Gobierno nacional</w:t>
      </w:r>
      <w:r w:rsidR="00200B14">
        <w:rPr>
          <w:rFonts w:ascii="Arial" w:hAnsi="Arial" w:cs="Arial"/>
          <w:color w:val="000000"/>
          <w:sz w:val="24"/>
          <w:szCs w:val="24"/>
          <w:lang w:val="es-CO"/>
        </w:rPr>
        <w:t>, lo que había imposibilitado su culminación en los términos inicialmente establecidos.</w:t>
      </w:r>
    </w:p>
    <w:p w14:paraId="6F3384EA" w14:textId="77777777" w:rsidR="001266EC" w:rsidRDefault="001266EC" w:rsidP="000000DE">
      <w:pPr>
        <w:pStyle w:val="Prrafodelista"/>
        <w:tabs>
          <w:tab w:val="left" w:pos="0"/>
        </w:tabs>
        <w:spacing w:line="276" w:lineRule="auto"/>
        <w:ind w:left="0" w:right="-233"/>
        <w:contextualSpacing/>
        <w:jc w:val="both"/>
        <w:rPr>
          <w:rFonts w:ascii="Arial" w:hAnsi="Arial" w:cs="Arial"/>
          <w:color w:val="000000"/>
          <w:sz w:val="24"/>
          <w:szCs w:val="24"/>
          <w:lang w:val="es-CO"/>
        </w:rPr>
      </w:pPr>
    </w:p>
    <w:p w14:paraId="6F052D76" w14:textId="77777777" w:rsidR="001A5435" w:rsidRPr="001B0C42" w:rsidRDefault="001A5435" w:rsidP="000000DE">
      <w:pPr>
        <w:spacing w:line="276" w:lineRule="auto"/>
        <w:ind w:right="-233"/>
        <w:contextualSpacing/>
        <w:jc w:val="center"/>
        <w:rPr>
          <w:rFonts w:ascii="Arial" w:hAnsi="Arial" w:cs="Arial"/>
          <w:b/>
          <w:iCs/>
          <w:sz w:val="24"/>
          <w:szCs w:val="24"/>
          <w:lang w:val="es-CO"/>
        </w:rPr>
      </w:pPr>
      <w:r w:rsidRPr="001B0C42">
        <w:rPr>
          <w:rFonts w:ascii="Arial" w:hAnsi="Arial" w:cs="Arial"/>
          <w:b/>
          <w:iCs/>
          <w:sz w:val="24"/>
          <w:szCs w:val="24"/>
          <w:lang w:val="es-CO"/>
        </w:rPr>
        <w:t>II. CONSIDERACIONES</w:t>
      </w:r>
    </w:p>
    <w:p w14:paraId="34ADF484" w14:textId="77777777" w:rsidR="001A5435" w:rsidRPr="001B0C42" w:rsidRDefault="001A5435" w:rsidP="000000DE">
      <w:pPr>
        <w:spacing w:line="276" w:lineRule="auto"/>
        <w:ind w:right="-233"/>
        <w:contextualSpacing/>
        <w:jc w:val="both"/>
        <w:rPr>
          <w:rFonts w:ascii="Arial" w:hAnsi="Arial" w:cs="Arial"/>
          <w:b/>
          <w:iCs/>
          <w:sz w:val="24"/>
          <w:szCs w:val="24"/>
          <w:lang w:val="es-CO"/>
        </w:rPr>
      </w:pPr>
    </w:p>
    <w:p w14:paraId="497015D1" w14:textId="77777777" w:rsidR="009C57F8" w:rsidRPr="00783110" w:rsidRDefault="009C57F8" w:rsidP="000000DE">
      <w:pPr>
        <w:spacing w:line="276" w:lineRule="auto"/>
        <w:ind w:right="50"/>
        <w:contextualSpacing/>
        <w:jc w:val="both"/>
        <w:rPr>
          <w:rFonts w:ascii="Arial" w:hAnsi="Arial" w:cs="Arial"/>
          <w:b/>
          <w:iCs/>
          <w:sz w:val="24"/>
          <w:szCs w:val="24"/>
        </w:rPr>
      </w:pPr>
      <w:r w:rsidRPr="00783110">
        <w:rPr>
          <w:rFonts w:ascii="Arial" w:hAnsi="Arial" w:cs="Arial"/>
          <w:b/>
          <w:iCs/>
          <w:sz w:val="24"/>
          <w:szCs w:val="24"/>
        </w:rPr>
        <w:t>P</w:t>
      </w:r>
      <w:r>
        <w:rPr>
          <w:rFonts w:ascii="Arial" w:hAnsi="Arial" w:cs="Arial"/>
          <w:b/>
          <w:iCs/>
          <w:sz w:val="24"/>
          <w:szCs w:val="24"/>
        </w:rPr>
        <w:t>resupuestos de la acción de invalidez de los acuerdos municipales</w:t>
      </w:r>
    </w:p>
    <w:p w14:paraId="6C01CFAF" w14:textId="77777777" w:rsidR="009C57F8" w:rsidRDefault="009C57F8" w:rsidP="000000DE">
      <w:pPr>
        <w:pStyle w:val="Sangra3detindependiente1"/>
        <w:spacing w:line="276" w:lineRule="auto"/>
        <w:ind w:left="720" w:right="-233" w:firstLine="0"/>
        <w:contextualSpacing/>
        <w:jc w:val="both"/>
        <w:rPr>
          <w:rFonts w:cs="Arial"/>
          <w:b/>
          <w:spacing w:val="-3"/>
          <w:sz w:val="24"/>
          <w:szCs w:val="24"/>
        </w:rPr>
      </w:pPr>
    </w:p>
    <w:p w14:paraId="1C8967D5" w14:textId="745F9C22" w:rsidR="009C57F8" w:rsidRPr="00783110" w:rsidRDefault="00D64F86" w:rsidP="000000DE">
      <w:pPr>
        <w:tabs>
          <w:tab w:val="left" w:pos="6663"/>
        </w:tabs>
        <w:spacing w:line="276" w:lineRule="auto"/>
        <w:ind w:right="50"/>
        <w:contextualSpacing/>
        <w:jc w:val="both"/>
        <w:rPr>
          <w:rFonts w:ascii="Arial" w:hAnsi="Arial" w:cs="Arial"/>
          <w:color w:val="000000"/>
          <w:sz w:val="24"/>
          <w:szCs w:val="24"/>
          <w:lang w:val="es-ES_tradnl"/>
        </w:rPr>
      </w:pPr>
      <w:r>
        <w:rPr>
          <w:rFonts w:ascii="Arial" w:hAnsi="Arial" w:cs="Arial"/>
          <w:color w:val="000000"/>
          <w:sz w:val="24"/>
          <w:szCs w:val="24"/>
        </w:rPr>
        <w:t xml:space="preserve">5. </w:t>
      </w:r>
      <w:r w:rsidR="009C57F8" w:rsidRPr="00783110">
        <w:rPr>
          <w:rFonts w:ascii="Arial" w:hAnsi="Arial" w:cs="Arial"/>
          <w:color w:val="000000"/>
          <w:sz w:val="24"/>
          <w:szCs w:val="24"/>
        </w:rPr>
        <w:t>L</w:t>
      </w:r>
      <w:r w:rsidR="009C57F8" w:rsidRPr="00783110">
        <w:rPr>
          <w:rFonts w:ascii="Arial" w:hAnsi="Arial" w:cs="Arial"/>
          <w:color w:val="000000"/>
          <w:sz w:val="24"/>
          <w:szCs w:val="24"/>
          <w:lang w:val="es-ES_tradnl"/>
        </w:rPr>
        <w:t>a</w:t>
      </w:r>
      <w:r w:rsidR="009C57F8" w:rsidRPr="00783110">
        <w:rPr>
          <w:rFonts w:ascii="Arial" w:hAnsi="Arial" w:cs="Arial"/>
          <w:i/>
          <w:color w:val="000000"/>
          <w:sz w:val="24"/>
          <w:szCs w:val="24"/>
          <w:lang w:val="es-ES_tradnl"/>
        </w:rPr>
        <w:t xml:space="preserve"> </w:t>
      </w:r>
      <w:r w:rsidR="009C57F8" w:rsidRPr="00783110">
        <w:rPr>
          <w:rFonts w:ascii="Arial" w:hAnsi="Arial" w:cs="Arial"/>
          <w:color w:val="000000"/>
          <w:sz w:val="24"/>
          <w:szCs w:val="24"/>
          <w:lang w:val="es-ES_tradnl"/>
        </w:rPr>
        <w:t xml:space="preserve">acción de revisión de los actos de los </w:t>
      </w:r>
      <w:r w:rsidR="009C57F8">
        <w:rPr>
          <w:rFonts w:ascii="Arial" w:hAnsi="Arial" w:cs="Arial"/>
          <w:color w:val="000000"/>
          <w:sz w:val="24"/>
          <w:szCs w:val="24"/>
          <w:lang w:val="es-ES_tradnl"/>
        </w:rPr>
        <w:t>c</w:t>
      </w:r>
      <w:r w:rsidR="009C57F8" w:rsidRPr="00783110">
        <w:rPr>
          <w:rFonts w:ascii="Arial" w:hAnsi="Arial" w:cs="Arial"/>
          <w:color w:val="000000"/>
          <w:sz w:val="24"/>
          <w:szCs w:val="24"/>
          <w:lang w:val="es-ES_tradnl"/>
        </w:rPr>
        <w:t xml:space="preserve">oncejos </w:t>
      </w:r>
      <w:r w:rsidR="009C57F8">
        <w:rPr>
          <w:rFonts w:ascii="Arial" w:hAnsi="Arial" w:cs="Arial"/>
          <w:color w:val="000000"/>
          <w:sz w:val="24"/>
          <w:szCs w:val="24"/>
          <w:lang w:val="es-ES_tradnl"/>
        </w:rPr>
        <w:t>m</w:t>
      </w:r>
      <w:r w:rsidR="009C57F8" w:rsidRPr="00783110">
        <w:rPr>
          <w:rFonts w:ascii="Arial" w:hAnsi="Arial" w:cs="Arial"/>
          <w:color w:val="000000"/>
          <w:sz w:val="24"/>
          <w:szCs w:val="24"/>
          <w:lang w:val="es-ES_tradnl"/>
        </w:rPr>
        <w:t>unicipales y de los alcaldes se encuentra establecida en el numeral 10° del artículo 305 de la Constitución Política, al señalar las funciones de los gobernadores. Dicha facultad es igualmente concordante con lo que al efecto prevé el artículo 118 del Decreto 1333 de 1986</w:t>
      </w:r>
      <w:r w:rsidR="009C57F8" w:rsidRPr="00783110">
        <w:rPr>
          <w:rStyle w:val="Refdenotaalpie"/>
          <w:rFonts w:ascii="Arial" w:hAnsi="Arial" w:cs="Arial"/>
          <w:color w:val="000000"/>
          <w:sz w:val="24"/>
          <w:szCs w:val="24"/>
          <w:lang w:val="es-ES_tradnl"/>
        </w:rPr>
        <w:footnoteReference w:id="6"/>
      </w:r>
      <w:r w:rsidR="009C57F8" w:rsidRPr="00783110">
        <w:rPr>
          <w:rFonts w:ascii="Arial" w:hAnsi="Arial" w:cs="Arial"/>
          <w:color w:val="000000"/>
          <w:sz w:val="24"/>
          <w:szCs w:val="24"/>
          <w:lang w:val="es-ES_tradnl"/>
        </w:rPr>
        <w:t>, en cuanto a las funciones del referido representante legal de la entidad territorial seccional.</w:t>
      </w:r>
    </w:p>
    <w:p w14:paraId="5E612893" w14:textId="77777777" w:rsidR="009C57F8" w:rsidRPr="00783110" w:rsidRDefault="009C57F8" w:rsidP="000000DE">
      <w:pPr>
        <w:tabs>
          <w:tab w:val="left" w:pos="6663"/>
        </w:tabs>
        <w:spacing w:line="276" w:lineRule="auto"/>
        <w:ind w:right="50"/>
        <w:contextualSpacing/>
        <w:jc w:val="both"/>
        <w:rPr>
          <w:rFonts w:ascii="Arial" w:hAnsi="Arial" w:cs="Arial"/>
          <w:color w:val="000000"/>
          <w:sz w:val="24"/>
          <w:szCs w:val="24"/>
          <w:lang w:val="es-ES_tradnl"/>
        </w:rPr>
      </w:pPr>
    </w:p>
    <w:p w14:paraId="505E7335" w14:textId="26217ED4" w:rsidR="009C57F8" w:rsidRPr="00783110" w:rsidRDefault="00D64F86" w:rsidP="000000DE">
      <w:pPr>
        <w:tabs>
          <w:tab w:val="left" w:pos="6663"/>
        </w:tabs>
        <w:spacing w:line="276" w:lineRule="auto"/>
        <w:ind w:right="5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6. </w:t>
      </w:r>
      <w:r w:rsidR="009C57F8" w:rsidRPr="00783110">
        <w:rPr>
          <w:rFonts w:ascii="Arial" w:hAnsi="Arial" w:cs="Arial"/>
          <w:color w:val="000000"/>
          <w:sz w:val="24"/>
          <w:szCs w:val="24"/>
          <w:lang w:val="es-ES_tradnl"/>
        </w:rPr>
        <w:t xml:space="preserve">Las potestades conferidas al gobernador suponen el envío por parte del alcalde municipal, de </w:t>
      </w:r>
      <w:r w:rsidR="009C57F8">
        <w:rPr>
          <w:rFonts w:ascii="Arial" w:hAnsi="Arial" w:cs="Arial"/>
          <w:color w:val="000000"/>
          <w:sz w:val="24"/>
          <w:szCs w:val="24"/>
          <w:lang w:val="es-ES_tradnl"/>
        </w:rPr>
        <w:t xml:space="preserve">la </w:t>
      </w:r>
      <w:r w:rsidR="009C57F8" w:rsidRPr="00783110">
        <w:rPr>
          <w:rFonts w:ascii="Arial" w:hAnsi="Arial" w:cs="Arial"/>
          <w:color w:val="000000"/>
          <w:sz w:val="24"/>
          <w:szCs w:val="24"/>
          <w:lang w:val="es-ES_tradnl"/>
        </w:rPr>
        <w:t>copia del acuerdo pertinente, para su respectiva revisión, tal como lo prevé el artículo 117 del Decreto 1333 de 1986.</w:t>
      </w:r>
    </w:p>
    <w:p w14:paraId="52768FFE" w14:textId="77777777" w:rsidR="009C57F8" w:rsidRPr="00783110" w:rsidRDefault="009C57F8" w:rsidP="000000DE">
      <w:pPr>
        <w:tabs>
          <w:tab w:val="left" w:pos="6663"/>
        </w:tabs>
        <w:spacing w:line="276" w:lineRule="auto"/>
        <w:ind w:left="567" w:right="50"/>
        <w:contextualSpacing/>
        <w:jc w:val="both"/>
        <w:rPr>
          <w:rFonts w:ascii="Arial" w:hAnsi="Arial" w:cs="Arial"/>
          <w:i/>
          <w:color w:val="000000"/>
          <w:sz w:val="24"/>
          <w:szCs w:val="24"/>
          <w:lang w:val="es-ES_tradnl"/>
        </w:rPr>
      </w:pPr>
    </w:p>
    <w:p w14:paraId="297EF803" w14:textId="2371AC7D" w:rsidR="009C57F8" w:rsidRPr="00783110" w:rsidRDefault="00D64F86" w:rsidP="000000DE">
      <w:pPr>
        <w:tabs>
          <w:tab w:val="left" w:pos="6663"/>
        </w:tabs>
        <w:spacing w:line="276" w:lineRule="auto"/>
        <w:ind w:right="5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7. </w:t>
      </w:r>
      <w:r w:rsidR="009C57F8" w:rsidRPr="00783110">
        <w:rPr>
          <w:rFonts w:ascii="Arial" w:hAnsi="Arial" w:cs="Arial"/>
          <w:color w:val="000000"/>
          <w:sz w:val="24"/>
          <w:szCs w:val="24"/>
          <w:lang w:val="es-ES_tradnl"/>
        </w:rPr>
        <w:t xml:space="preserve">En ejercicio de la facultad de revisión de los acuerdos municipales, cuando el gobernador del departamento </w:t>
      </w:r>
      <w:r w:rsidR="009C57F8">
        <w:rPr>
          <w:rFonts w:ascii="Arial" w:hAnsi="Arial" w:cs="Arial"/>
          <w:color w:val="000000"/>
          <w:sz w:val="24"/>
          <w:szCs w:val="24"/>
          <w:lang w:val="es-ES_tradnl"/>
        </w:rPr>
        <w:t xml:space="preserve">encuentra </w:t>
      </w:r>
      <w:r w:rsidR="009C57F8" w:rsidRPr="00783110">
        <w:rPr>
          <w:rFonts w:ascii="Arial" w:hAnsi="Arial" w:cs="Arial"/>
          <w:color w:val="000000"/>
          <w:sz w:val="24"/>
          <w:szCs w:val="24"/>
          <w:lang w:val="es-ES_tradnl"/>
        </w:rPr>
        <w:t xml:space="preserve">que el </w:t>
      </w:r>
      <w:r w:rsidR="009C57F8">
        <w:rPr>
          <w:rFonts w:ascii="Arial" w:hAnsi="Arial" w:cs="Arial"/>
          <w:color w:val="000000"/>
          <w:sz w:val="24"/>
          <w:szCs w:val="24"/>
          <w:lang w:val="es-ES_tradnl"/>
        </w:rPr>
        <w:t>a</w:t>
      </w:r>
      <w:r w:rsidR="009C57F8" w:rsidRPr="00783110">
        <w:rPr>
          <w:rFonts w:ascii="Arial" w:hAnsi="Arial" w:cs="Arial"/>
          <w:color w:val="000000"/>
          <w:sz w:val="24"/>
          <w:szCs w:val="24"/>
          <w:lang w:val="es-ES_tradnl"/>
        </w:rPr>
        <w:t xml:space="preserve">cuerdo </w:t>
      </w:r>
      <w:r w:rsidR="009C57F8">
        <w:rPr>
          <w:rFonts w:ascii="Arial" w:hAnsi="Arial" w:cs="Arial"/>
          <w:color w:val="000000"/>
          <w:sz w:val="24"/>
          <w:szCs w:val="24"/>
          <w:lang w:val="es-ES_tradnl"/>
        </w:rPr>
        <w:t>m</w:t>
      </w:r>
      <w:r w:rsidR="009C57F8" w:rsidRPr="00783110">
        <w:rPr>
          <w:rFonts w:ascii="Arial" w:hAnsi="Arial" w:cs="Arial"/>
          <w:color w:val="000000"/>
          <w:sz w:val="24"/>
          <w:szCs w:val="24"/>
          <w:lang w:val="es-ES_tradnl"/>
        </w:rPr>
        <w:t xml:space="preserve">unicipal sometido a su estudio </w:t>
      </w:r>
      <w:r w:rsidR="009C57F8">
        <w:rPr>
          <w:rFonts w:ascii="Arial" w:hAnsi="Arial" w:cs="Arial"/>
          <w:color w:val="000000"/>
          <w:sz w:val="24"/>
          <w:szCs w:val="24"/>
          <w:lang w:val="es-ES_tradnl"/>
        </w:rPr>
        <w:t xml:space="preserve">es </w:t>
      </w:r>
      <w:r w:rsidR="009C57F8" w:rsidRPr="00783110">
        <w:rPr>
          <w:rFonts w:ascii="Arial" w:hAnsi="Arial" w:cs="Arial"/>
          <w:color w:val="000000"/>
          <w:sz w:val="24"/>
          <w:szCs w:val="24"/>
          <w:lang w:val="es-ES_tradnl"/>
        </w:rPr>
        <w:t>contrario a la Constitución, la ley o las ordenanzas, puede remitirlo dentro de los 20 días siguientes al Tribunal de lo Contencioso Administrativo</w:t>
      </w:r>
      <w:r w:rsidR="009C57F8">
        <w:rPr>
          <w:rFonts w:ascii="Arial" w:hAnsi="Arial" w:cs="Arial"/>
          <w:color w:val="000000"/>
          <w:sz w:val="24"/>
          <w:szCs w:val="24"/>
          <w:lang w:val="es-ES_tradnl"/>
        </w:rPr>
        <w:t>,</w:t>
      </w:r>
      <w:r w:rsidR="009C57F8" w:rsidRPr="00783110">
        <w:rPr>
          <w:rFonts w:ascii="Arial" w:hAnsi="Arial" w:cs="Arial"/>
          <w:color w:val="000000"/>
          <w:sz w:val="24"/>
          <w:szCs w:val="24"/>
          <w:lang w:val="es-ES_tradnl"/>
        </w:rPr>
        <w:t xml:space="preserve"> para que</w:t>
      </w:r>
      <w:r w:rsidR="000000DE">
        <w:rPr>
          <w:rFonts w:ascii="Arial" w:hAnsi="Arial" w:cs="Arial"/>
          <w:color w:val="000000"/>
          <w:sz w:val="24"/>
          <w:szCs w:val="24"/>
          <w:lang w:val="es-ES_tradnl"/>
        </w:rPr>
        <w:t xml:space="preserve"> éste </w:t>
      </w:r>
      <w:r w:rsidR="009C57F8" w:rsidRPr="00783110">
        <w:rPr>
          <w:rFonts w:ascii="Arial" w:hAnsi="Arial" w:cs="Arial"/>
          <w:color w:val="000000"/>
          <w:sz w:val="24"/>
          <w:szCs w:val="24"/>
          <w:lang w:val="es-ES_tradnl"/>
        </w:rPr>
        <w:t>decida sobre su validez y surta el trámite pertinente, en la forma dispuesta en los artículos 119 y siguientes del Decreto 1333 de 1986.</w:t>
      </w:r>
    </w:p>
    <w:p w14:paraId="06FD64C8" w14:textId="77777777" w:rsidR="009C57F8" w:rsidRPr="00783110" w:rsidRDefault="009C57F8" w:rsidP="000000DE">
      <w:pPr>
        <w:tabs>
          <w:tab w:val="left" w:pos="6663"/>
        </w:tabs>
        <w:spacing w:line="276" w:lineRule="auto"/>
        <w:ind w:right="50"/>
        <w:contextualSpacing/>
        <w:jc w:val="both"/>
        <w:rPr>
          <w:rFonts w:ascii="Arial" w:hAnsi="Arial" w:cs="Arial"/>
          <w:color w:val="000000"/>
          <w:sz w:val="24"/>
          <w:szCs w:val="24"/>
          <w:lang w:val="es-ES_tradnl"/>
        </w:rPr>
      </w:pPr>
    </w:p>
    <w:p w14:paraId="42101064" w14:textId="21E9E6B5" w:rsidR="009C57F8" w:rsidRPr="00783110" w:rsidRDefault="00D64F86" w:rsidP="000000DE">
      <w:pPr>
        <w:tabs>
          <w:tab w:val="left" w:pos="6663"/>
        </w:tabs>
        <w:spacing w:line="276" w:lineRule="auto"/>
        <w:ind w:right="50"/>
        <w:contextualSpacing/>
        <w:jc w:val="both"/>
        <w:rPr>
          <w:rFonts w:ascii="Arial" w:hAnsi="Arial" w:cs="Arial"/>
          <w:i/>
          <w:iCs/>
          <w:color w:val="000000"/>
          <w:sz w:val="24"/>
          <w:szCs w:val="24"/>
          <w:shd w:val="clear" w:color="auto" w:fill="FFFFFF"/>
        </w:rPr>
      </w:pPr>
      <w:r>
        <w:rPr>
          <w:rFonts w:ascii="Arial" w:hAnsi="Arial" w:cs="Arial"/>
          <w:color w:val="000000"/>
          <w:sz w:val="24"/>
          <w:szCs w:val="24"/>
          <w:shd w:val="clear" w:color="auto" w:fill="FFFFFF"/>
        </w:rPr>
        <w:t xml:space="preserve">8. </w:t>
      </w:r>
      <w:r w:rsidR="009C57F8">
        <w:rPr>
          <w:rFonts w:ascii="Arial" w:hAnsi="Arial" w:cs="Arial"/>
          <w:color w:val="000000"/>
          <w:sz w:val="24"/>
          <w:szCs w:val="24"/>
          <w:shd w:val="clear" w:color="auto" w:fill="FFFFFF"/>
        </w:rPr>
        <w:t>L</w:t>
      </w:r>
      <w:r w:rsidR="009C57F8" w:rsidRPr="00783110">
        <w:rPr>
          <w:rFonts w:ascii="Arial" w:hAnsi="Arial" w:cs="Arial"/>
          <w:color w:val="000000"/>
          <w:sz w:val="24"/>
          <w:szCs w:val="24"/>
          <w:shd w:val="clear" w:color="auto" w:fill="FFFFFF"/>
        </w:rPr>
        <w:t>as anteriores previsiones resultan concordantes con lo dispuesto por el artículo 74 de la Ley 11 de 1986</w:t>
      </w:r>
      <w:r w:rsidR="009C57F8" w:rsidRPr="00783110">
        <w:rPr>
          <w:rStyle w:val="Refdenotaalpie"/>
          <w:rFonts w:ascii="Arial" w:hAnsi="Arial" w:cs="Arial"/>
          <w:color w:val="000000"/>
          <w:sz w:val="24"/>
          <w:szCs w:val="24"/>
          <w:shd w:val="clear" w:color="auto" w:fill="FFFFFF"/>
        </w:rPr>
        <w:footnoteReference w:id="7"/>
      </w:r>
      <w:r w:rsidR="009C57F8" w:rsidRPr="00783110">
        <w:rPr>
          <w:rFonts w:ascii="Arial" w:hAnsi="Arial" w:cs="Arial"/>
          <w:color w:val="000000"/>
          <w:sz w:val="24"/>
          <w:szCs w:val="24"/>
          <w:shd w:val="clear" w:color="auto" w:fill="FFFFFF"/>
        </w:rPr>
        <w:t xml:space="preserve">, el cual señala que, </w:t>
      </w:r>
      <w:r w:rsidR="009C57F8" w:rsidRPr="368ECF32">
        <w:rPr>
          <w:rFonts w:ascii="Arial" w:hAnsi="Arial" w:cs="Arial"/>
          <w:color w:val="000000"/>
          <w:sz w:val="24"/>
          <w:szCs w:val="24"/>
          <w:shd w:val="clear" w:color="auto" w:fill="FFFFFF"/>
        </w:rPr>
        <w:t xml:space="preserve">“el Gobernador enviará al Tribunal copia del Acuerdo acompañado de un escrito que contenga los requisitos señalados en los numerales 2 a 5 del artículo 137 del Código Contencioso Administrativo (Decreto 01 de 1984). El mismo día en que el Gobernador remita el Acuerdo al Tribunal, enviará copia de su escrito a los respectivos </w:t>
      </w:r>
      <w:r w:rsidR="3704F283" w:rsidRPr="368ECF32">
        <w:rPr>
          <w:rFonts w:ascii="Arial" w:hAnsi="Arial" w:cs="Arial"/>
          <w:color w:val="000000"/>
          <w:sz w:val="24"/>
          <w:szCs w:val="24"/>
          <w:shd w:val="clear" w:color="auto" w:fill="FFFFFF"/>
        </w:rPr>
        <w:t>alcaldes</w:t>
      </w:r>
      <w:r w:rsidR="009C57F8" w:rsidRPr="368ECF32">
        <w:rPr>
          <w:rFonts w:ascii="Arial" w:hAnsi="Arial" w:cs="Arial"/>
          <w:color w:val="000000"/>
          <w:sz w:val="24"/>
          <w:szCs w:val="24"/>
          <w:shd w:val="clear" w:color="auto" w:fill="FFFFFF"/>
        </w:rPr>
        <w:t xml:space="preserve">, </w:t>
      </w:r>
      <w:r w:rsidR="5D942CEE" w:rsidRPr="368ECF32">
        <w:rPr>
          <w:rFonts w:ascii="Arial" w:hAnsi="Arial" w:cs="Arial"/>
          <w:color w:val="000000"/>
          <w:sz w:val="24"/>
          <w:szCs w:val="24"/>
          <w:shd w:val="clear" w:color="auto" w:fill="FFFFFF"/>
        </w:rPr>
        <w:t>p</w:t>
      </w:r>
      <w:r w:rsidR="009C57F8" w:rsidRPr="368ECF32">
        <w:rPr>
          <w:rFonts w:ascii="Arial" w:hAnsi="Arial" w:cs="Arial"/>
          <w:color w:val="000000"/>
          <w:sz w:val="24"/>
          <w:szCs w:val="24"/>
          <w:shd w:val="clear" w:color="auto" w:fill="FFFFFF"/>
        </w:rPr>
        <w:t xml:space="preserve">ersonero y </w:t>
      </w:r>
      <w:r w:rsidR="3E9C87AA" w:rsidRPr="368ECF32">
        <w:rPr>
          <w:rFonts w:ascii="Arial" w:hAnsi="Arial" w:cs="Arial"/>
          <w:color w:val="000000"/>
          <w:sz w:val="24"/>
          <w:szCs w:val="24"/>
          <w:shd w:val="clear" w:color="auto" w:fill="FFFFFF"/>
        </w:rPr>
        <w:t>presidente</w:t>
      </w:r>
      <w:r w:rsidR="009C57F8" w:rsidRPr="368ECF32">
        <w:rPr>
          <w:rFonts w:ascii="Arial" w:hAnsi="Arial" w:cs="Arial"/>
          <w:color w:val="000000"/>
          <w:sz w:val="24"/>
          <w:szCs w:val="24"/>
          <w:shd w:val="clear" w:color="auto" w:fill="FFFFFF"/>
        </w:rPr>
        <w:t xml:space="preserve"> del Concejo para que éstos, si lo consideran necesario, intervengan en el proceso”.</w:t>
      </w:r>
    </w:p>
    <w:p w14:paraId="7D51ADF5" w14:textId="77777777" w:rsidR="009C57F8" w:rsidRPr="00783110" w:rsidRDefault="009C57F8" w:rsidP="000000DE">
      <w:pPr>
        <w:tabs>
          <w:tab w:val="left" w:pos="6663"/>
        </w:tabs>
        <w:spacing w:line="276" w:lineRule="auto"/>
        <w:ind w:right="50"/>
        <w:contextualSpacing/>
        <w:jc w:val="both"/>
        <w:rPr>
          <w:rFonts w:ascii="Arial" w:hAnsi="Arial" w:cs="Arial"/>
          <w:color w:val="000000"/>
          <w:sz w:val="24"/>
          <w:szCs w:val="24"/>
          <w:shd w:val="clear" w:color="auto" w:fill="FFFFFF"/>
        </w:rPr>
      </w:pPr>
    </w:p>
    <w:p w14:paraId="418B83D8" w14:textId="4F271C58" w:rsidR="009C57F8" w:rsidRPr="00783110" w:rsidRDefault="00D64F86" w:rsidP="000000DE">
      <w:pPr>
        <w:tabs>
          <w:tab w:val="left" w:pos="6663"/>
        </w:tabs>
        <w:spacing w:line="276" w:lineRule="auto"/>
        <w:ind w:right="5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9. </w:t>
      </w:r>
      <w:r w:rsidR="009C57F8" w:rsidRPr="00783110">
        <w:rPr>
          <w:rFonts w:ascii="Arial" w:hAnsi="Arial" w:cs="Arial"/>
          <w:color w:val="000000"/>
          <w:sz w:val="24"/>
          <w:szCs w:val="24"/>
          <w:lang w:val="es-ES_tradnl"/>
        </w:rPr>
        <w:t>Lo anterior, mediante trámite sumario, en el que se produce decisión que hace tránsito a cosa juzgada, respecto de las disposiciones que fueron estudiadas y contra dicha sentencia no procede recurso alguno, conforme a lo dispuesto en el numeral 4º del artículo 151 del CPACA que señala que dicho trámite se adelantará en única instancia.</w:t>
      </w:r>
    </w:p>
    <w:p w14:paraId="204DC86B" w14:textId="77777777" w:rsidR="009C57F8" w:rsidRDefault="009C57F8" w:rsidP="000000DE">
      <w:pPr>
        <w:tabs>
          <w:tab w:val="left" w:pos="6663"/>
        </w:tabs>
        <w:spacing w:line="276" w:lineRule="auto"/>
        <w:ind w:right="50"/>
        <w:contextualSpacing/>
        <w:jc w:val="both"/>
        <w:rPr>
          <w:rFonts w:ascii="Arial" w:hAnsi="Arial" w:cs="Arial"/>
          <w:color w:val="000000"/>
          <w:sz w:val="24"/>
          <w:szCs w:val="24"/>
          <w:lang w:val="es-ES_tradnl"/>
        </w:rPr>
      </w:pPr>
    </w:p>
    <w:p w14:paraId="630E6744" w14:textId="1739A93F" w:rsidR="009C57F8" w:rsidRPr="00783110" w:rsidRDefault="00D64F86" w:rsidP="000000DE">
      <w:pPr>
        <w:tabs>
          <w:tab w:val="left" w:pos="6663"/>
        </w:tabs>
        <w:spacing w:line="276" w:lineRule="auto"/>
        <w:ind w:right="50"/>
        <w:contextualSpacing/>
        <w:jc w:val="both"/>
        <w:rPr>
          <w:rFonts w:ascii="Arial" w:hAnsi="Arial" w:cs="Arial"/>
          <w:color w:val="000000"/>
          <w:sz w:val="24"/>
          <w:szCs w:val="24"/>
          <w:lang w:val="es-ES_tradnl"/>
        </w:rPr>
      </w:pPr>
      <w:r>
        <w:rPr>
          <w:rFonts w:ascii="Arial" w:hAnsi="Arial" w:cs="Arial"/>
          <w:color w:val="000000"/>
          <w:sz w:val="24"/>
          <w:szCs w:val="24"/>
          <w:lang w:val="es-ES_tradnl"/>
        </w:rPr>
        <w:lastRenderedPageBreak/>
        <w:t xml:space="preserve">10. </w:t>
      </w:r>
      <w:r w:rsidR="009C57F8" w:rsidRPr="00783110">
        <w:rPr>
          <w:rFonts w:ascii="Arial" w:hAnsi="Arial" w:cs="Arial"/>
          <w:color w:val="000000"/>
          <w:sz w:val="24"/>
          <w:szCs w:val="24"/>
          <w:lang w:val="es-ES_tradnl"/>
        </w:rPr>
        <w:t>En el presente asunto, la remisión del acuerdo se efectuó en la oportunidad prevista por el legislador,</w:t>
      </w:r>
      <w:r w:rsidR="009C57F8">
        <w:rPr>
          <w:rFonts w:ascii="Arial" w:hAnsi="Arial" w:cs="Arial"/>
          <w:color w:val="000000"/>
          <w:sz w:val="24"/>
          <w:szCs w:val="24"/>
          <w:lang w:val="es-ES_tradnl"/>
        </w:rPr>
        <w:t xml:space="preserve"> tal y como quedó establecido en el auto admisorio de la demanda</w:t>
      </w:r>
      <w:r w:rsidR="003238A6">
        <w:rPr>
          <w:rStyle w:val="Refdenotaalpie"/>
          <w:rFonts w:ascii="Arial" w:hAnsi="Arial" w:cs="Arial"/>
          <w:color w:val="000000"/>
          <w:sz w:val="24"/>
          <w:szCs w:val="24"/>
          <w:lang w:val="es-ES_tradnl"/>
        </w:rPr>
        <w:footnoteReference w:id="8"/>
      </w:r>
      <w:r w:rsidR="009C57F8" w:rsidRPr="00783110">
        <w:rPr>
          <w:rFonts w:ascii="Arial" w:hAnsi="Arial" w:cs="Arial"/>
          <w:color w:val="000000"/>
          <w:sz w:val="24"/>
          <w:szCs w:val="24"/>
          <w:lang w:val="es-ES_tradnl"/>
        </w:rPr>
        <w:t>.</w:t>
      </w:r>
    </w:p>
    <w:p w14:paraId="3A9C96F6" w14:textId="77777777" w:rsidR="009C57F8" w:rsidRPr="0065777D" w:rsidRDefault="009C57F8" w:rsidP="000000DE">
      <w:pPr>
        <w:pStyle w:val="Sangra3detindependiente1"/>
        <w:spacing w:line="276" w:lineRule="auto"/>
        <w:ind w:left="720" w:right="-233" w:firstLine="0"/>
        <w:contextualSpacing/>
        <w:jc w:val="both"/>
        <w:rPr>
          <w:rFonts w:cs="Arial"/>
          <w:b/>
          <w:spacing w:val="-3"/>
          <w:sz w:val="24"/>
          <w:szCs w:val="24"/>
        </w:rPr>
      </w:pPr>
    </w:p>
    <w:p w14:paraId="2E8173E4" w14:textId="77777777" w:rsidR="00035B5C" w:rsidRPr="005B23EA" w:rsidRDefault="00035B5C" w:rsidP="000000DE">
      <w:pPr>
        <w:spacing w:line="276" w:lineRule="auto"/>
        <w:contextualSpacing/>
        <w:jc w:val="both"/>
        <w:rPr>
          <w:rFonts w:ascii="Arial" w:hAnsi="Arial" w:cs="Arial"/>
          <w:b/>
          <w:bCs/>
          <w:sz w:val="24"/>
          <w:szCs w:val="24"/>
          <w:lang w:val="es-CO"/>
        </w:rPr>
      </w:pPr>
      <w:bookmarkStart w:id="2" w:name="_Hlk53137704"/>
      <w:r w:rsidRPr="5AEB69D0">
        <w:rPr>
          <w:rFonts w:ascii="Arial" w:hAnsi="Arial" w:cs="Arial"/>
          <w:b/>
          <w:bCs/>
          <w:sz w:val="24"/>
          <w:szCs w:val="24"/>
          <w:lang w:val="es-CO"/>
        </w:rPr>
        <w:t>A</w:t>
      </w:r>
      <w:r>
        <w:rPr>
          <w:rFonts w:ascii="Arial" w:hAnsi="Arial" w:cs="Arial"/>
          <w:b/>
          <w:bCs/>
          <w:sz w:val="24"/>
          <w:szCs w:val="24"/>
          <w:lang w:val="es-CO"/>
        </w:rPr>
        <w:t>nálisis y decisión de la Sala</w:t>
      </w:r>
    </w:p>
    <w:p w14:paraId="49EEEA6F" w14:textId="77777777" w:rsidR="001A5435" w:rsidRPr="001B0C42" w:rsidRDefault="001A5435" w:rsidP="000000DE">
      <w:pPr>
        <w:pStyle w:val="Prrafodelista"/>
        <w:tabs>
          <w:tab w:val="left" w:pos="0"/>
        </w:tabs>
        <w:spacing w:line="276" w:lineRule="auto"/>
        <w:ind w:left="0" w:right="-233"/>
        <w:contextualSpacing/>
        <w:jc w:val="both"/>
        <w:rPr>
          <w:rFonts w:ascii="Arial" w:hAnsi="Arial" w:cs="Arial"/>
          <w:bCs/>
          <w:iCs/>
          <w:color w:val="000000"/>
          <w:sz w:val="24"/>
          <w:szCs w:val="24"/>
        </w:rPr>
      </w:pPr>
    </w:p>
    <w:bookmarkEnd w:id="2"/>
    <w:p w14:paraId="3517397C" w14:textId="68AF129F" w:rsidR="00A601E0" w:rsidRDefault="00D64F86" w:rsidP="000000DE">
      <w:pPr>
        <w:pStyle w:val="Prrafodelista"/>
        <w:spacing w:line="276" w:lineRule="auto"/>
        <w:ind w:left="0"/>
        <w:contextualSpacing/>
        <w:jc w:val="both"/>
        <w:rPr>
          <w:rFonts w:ascii="Arial" w:hAnsi="Arial" w:cs="Arial"/>
          <w:sz w:val="24"/>
          <w:szCs w:val="24"/>
          <w:lang w:val="es-CO"/>
        </w:rPr>
      </w:pPr>
      <w:r>
        <w:rPr>
          <w:rFonts w:ascii="Arial" w:hAnsi="Arial" w:cs="Arial"/>
          <w:sz w:val="24"/>
          <w:szCs w:val="24"/>
          <w:lang w:val="es-CO"/>
        </w:rPr>
        <w:t xml:space="preserve">11. </w:t>
      </w:r>
      <w:r w:rsidR="001A5435" w:rsidRPr="00EE10CF">
        <w:rPr>
          <w:rFonts w:ascii="Arial" w:hAnsi="Arial" w:cs="Arial"/>
          <w:sz w:val="24"/>
          <w:szCs w:val="24"/>
          <w:lang w:val="es-CO"/>
        </w:rPr>
        <w:t>La Sala declarará</w:t>
      </w:r>
      <w:bookmarkStart w:id="3" w:name="_Hlk50367959"/>
      <w:r w:rsidR="00C20314" w:rsidRPr="00EE10CF">
        <w:rPr>
          <w:rFonts w:ascii="Arial" w:hAnsi="Arial" w:cs="Arial"/>
          <w:sz w:val="24"/>
          <w:szCs w:val="24"/>
          <w:lang w:val="es-CO"/>
        </w:rPr>
        <w:t xml:space="preserve"> </w:t>
      </w:r>
      <w:r w:rsidR="00EE10CF" w:rsidRPr="00EE10CF">
        <w:rPr>
          <w:rFonts w:ascii="Arial" w:hAnsi="Arial" w:cs="Arial"/>
          <w:sz w:val="24"/>
          <w:szCs w:val="24"/>
          <w:lang w:val="es-CO"/>
        </w:rPr>
        <w:t xml:space="preserve">la invalidez </w:t>
      </w:r>
      <w:r w:rsidR="00E372AA">
        <w:rPr>
          <w:rFonts w:ascii="Arial" w:hAnsi="Arial" w:cs="Arial"/>
          <w:sz w:val="24"/>
          <w:szCs w:val="24"/>
          <w:lang w:val="es-CO"/>
        </w:rPr>
        <w:t xml:space="preserve">del Acuerdo No. 001 de 19 de febrero de 2021, ya que </w:t>
      </w:r>
      <w:r w:rsidR="00C764D9">
        <w:rPr>
          <w:rFonts w:ascii="Arial" w:hAnsi="Arial" w:cs="Arial"/>
          <w:sz w:val="24"/>
          <w:szCs w:val="24"/>
          <w:lang w:val="es-CO"/>
        </w:rPr>
        <w:t xml:space="preserve">el Concejo del municipio de Tibaná </w:t>
      </w:r>
      <w:r w:rsidR="00E372AA" w:rsidRPr="0076489C">
        <w:rPr>
          <w:rFonts w:ascii="Arial" w:hAnsi="Arial" w:cs="Arial"/>
          <w:sz w:val="24"/>
          <w:szCs w:val="24"/>
          <w:lang w:val="es-CO"/>
        </w:rPr>
        <w:t>prorrogó ilegalmente</w:t>
      </w:r>
      <w:r w:rsidR="007934FC">
        <w:rPr>
          <w:rFonts w:ascii="Arial" w:hAnsi="Arial" w:cs="Arial"/>
          <w:sz w:val="24"/>
          <w:szCs w:val="24"/>
          <w:lang w:val="es-CO"/>
        </w:rPr>
        <w:t>,</w:t>
      </w:r>
      <w:r w:rsidR="00E372AA" w:rsidRPr="0076489C">
        <w:rPr>
          <w:rFonts w:ascii="Arial" w:hAnsi="Arial" w:cs="Arial"/>
          <w:sz w:val="24"/>
          <w:szCs w:val="24"/>
          <w:lang w:val="es-CO"/>
        </w:rPr>
        <w:t xml:space="preserve"> de manera sucesiva</w:t>
      </w:r>
      <w:r w:rsidR="007934FC">
        <w:rPr>
          <w:rFonts w:ascii="Arial" w:hAnsi="Arial" w:cs="Arial"/>
          <w:sz w:val="24"/>
          <w:szCs w:val="24"/>
          <w:lang w:val="es-CO"/>
        </w:rPr>
        <w:t>,</w:t>
      </w:r>
      <w:r w:rsidR="00E372AA" w:rsidRPr="0076489C">
        <w:rPr>
          <w:rFonts w:ascii="Arial" w:hAnsi="Arial" w:cs="Arial"/>
          <w:sz w:val="24"/>
          <w:szCs w:val="24"/>
          <w:lang w:val="es-CO"/>
        </w:rPr>
        <w:t xml:space="preserve"> una facultad que </w:t>
      </w:r>
      <w:r w:rsidR="00C764D9">
        <w:rPr>
          <w:rFonts w:ascii="Arial" w:hAnsi="Arial" w:cs="Arial"/>
          <w:sz w:val="24"/>
          <w:szCs w:val="24"/>
          <w:lang w:val="es-CO"/>
        </w:rPr>
        <w:t>solo podía otorgar al alcalde por una única vez. Asimismo</w:t>
      </w:r>
      <w:r w:rsidR="00E372AA">
        <w:rPr>
          <w:rFonts w:ascii="Arial" w:hAnsi="Arial" w:cs="Arial"/>
          <w:sz w:val="24"/>
          <w:szCs w:val="24"/>
          <w:lang w:val="es-CO"/>
        </w:rPr>
        <w:t xml:space="preserve">, </w:t>
      </w:r>
      <w:r w:rsidR="000419E0">
        <w:rPr>
          <w:rFonts w:ascii="Arial" w:hAnsi="Arial" w:cs="Arial"/>
          <w:sz w:val="24"/>
          <w:szCs w:val="24"/>
          <w:lang w:val="es-CO"/>
        </w:rPr>
        <w:t xml:space="preserve">en razón de su conexidad inescindible respecto del </w:t>
      </w:r>
      <w:r w:rsidR="00C764D9">
        <w:rPr>
          <w:rFonts w:ascii="Arial" w:hAnsi="Arial" w:cs="Arial"/>
          <w:sz w:val="24"/>
          <w:szCs w:val="24"/>
          <w:lang w:val="es-CO"/>
        </w:rPr>
        <w:t xml:space="preserve">aparte anulado del </w:t>
      </w:r>
      <w:r w:rsidR="000419E0">
        <w:rPr>
          <w:rFonts w:ascii="Arial" w:hAnsi="Arial" w:cs="Arial"/>
          <w:sz w:val="24"/>
          <w:szCs w:val="24"/>
          <w:lang w:val="es-CO"/>
        </w:rPr>
        <w:t xml:space="preserve">artículo 1, </w:t>
      </w:r>
      <w:r w:rsidR="00C764D9">
        <w:rPr>
          <w:rFonts w:ascii="Arial" w:hAnsi="Arial" w:cs="Arial"/>
          <w:sz w:val="24"/>
          <w:szCs w:val="24"/>
          <w:lang w:val="es-CO"/>
        </w:rPr>
        <w:t>también se declarará la invalidez d</w:t>
      </w:r>
      <w:r w:rsidR="000419E0">
        <w:rPr>
          <w:rFonts w:ascii="Arial" w:hAnsi="Arial" w:cs="Arial"/>
          <w:sz w:val="24"/>
          <w:szCs w:val="24"/>
          <w:lang w:val="es-CO"/>
        </w:rPr>
        <w:t>e</w:t>
      </w:r>
      <w:r w:rsidR="00BD6AB2">
        <w:rPr>
          <w:rFonts w:ascii="Arial" w:hAnsi="Arial" w:cs="Arial"/>
          <w:sz w:val="24"/>
          <w:szCs w:val="24"/>
          <w:lang w:val="es-CO"/>
        </w:rPr>
        <w:t xml:space="preserve"> las demás disposiciones de</w:t>
      </w:r>
      <w:r w:rsidR="000419E0">
        <w:rPr>
          <w:rFonts w:ascii="Arial" w:hAnsi="Arial" w:cs="Arial"/>
          <w:sz w:val="24"/>
          <w:szCs w:val="24"/>
          <w:lang w:val="es-CO"/>
        </w:rPr>
        <w:t xml:space="preserve">l acto administrativo objeto de control judicial. </w:t>
      </w:r>
    </w:p>
    <w:p w14:paraId="2F57053F" w14:textId="3871216C" w:rsidR="00225873" w:rsidRDefault="00225873" w:rsidP="000000DE">
      <w:pPr>
        <w:pStyle w:val="Prrafodelista"/>
        <w:spacing w:line="276" w:lineRule="auto"/>
        <w:ind w:left="0"/>
        <w:contextualSpacing/>
        <w:jc w:val="both"/>
        <w:rPr>
          <w:rFonts w:ascii="Arial" w:hAnsi="Arial" w:cs="Arial"/>
          <w:sz w:val="24"/>
          <w:szCs w:val="24"/>
          <w:lang w:val="es-CO"/>
        </w:rPr>
      </w:pPr>
    </w:p>
    <w:p w14:paraId="4F94E62E" w14:textId="68546429" w:rsidR="008A71AC" w:rsidRDefault="00794786" w:rsidP="000000DE">
      <w:pPr>
        <w:pStyle w:val="Prrafodelista"/>
        <w:tabs>
          <w:tab w:val="left" w:pos="0"/>
        </w:tabs>
        <w:spacing w:line="276" w:lineRule="auto"/>
        <w:ind w:left="0" w:right="-233"/>
        <w:contextualSpacing/>
        <w:jc w:val="both"/>
        <w:rPr>
          <w:rFonts w:ascii="Arial" w:hAnsi="Arial" w:cs="Arial"/>
          <w:color w:val="000000" w:themeColor="text1"/>
          <w:sz w:val="24"/>
          <w:szCs w:val="24"/>
        </w:rPr>
      </w:pPr>
      <w:r>
        <w:rPr>
          <w:rFonts w:ascii="Arial" w:hAnsi="Arial" w:cs="Arial"/>
          <w:color w:val="000000" w:themeColor="text1"/>
          <w:sz w:val="24"/>
          <w:szCs w:val="24"/>
        </w:rPr>
        <w:t>1</w:t>
      </w:r>
      <w:r w:rsidR="00C20314">
        <w:rPr>
          <w:rFonts w:ascii="Arial" w:hAnsi="Arial" w:cs="Arial"/>
          <w:color w:val="000000" w:themeColor="text1"/>
          <w:sz w:val="24"/>
          <w:szCs w:val="24"/>
        </w:rPr>
        <w:t xml:space="preserve">2. </w:t>
      </w:r>
      <w:r w:rsidR="000000DE" w:rsidRPr="000D16A4">
        <w:rPr>
          <w:rFonts w:ascii="Arial" w:hAnsi="Arial" w:cs="Arial"/>
          <w:color w:val="000000" w:themeColor="text1"/>
          <w:sz w:val="24"/>
          <w:szCs w:val="24"/>
        </w:rPr>
        <w:t xml:space="preserve">Cabe anotar que </w:t>
      </w:r>
      <w:r w:rsidR="000000DE" w:rsidRPr="000D16A4">
        <w:rPr>
          <w:rFonts w:ascii="Arial" w:hAnsi="Arial" w:cs="Arial"/>
          <w:color w:val="000000"/>
          <w:sz w:val="24"/>
          <w:szCs w:val="24"/>
        </w:rPr>
        <w:t>la competencia de este Tribunal en el marco de la validez de los acuerdos municipales se limita a examinar su</w:t>
      </w:r>
      <w:r w:rsidR="000000DE">
        <w:rPr>
          <w:rFonts w:ascii="Arial" w:hAnsi="Arial" w:cs="Arial"/>
          <w:color w:val="000000"/>
          <w:sz w:val="24"/>
          <w:szCs w:val="24"/>
        </w:rPr>
        <w:t xml:space="preserve"> conformidad con el ordenamiento jurídico solamente </w:t>
      </w:r>
      <w:r w:rsidR="000000DE" w:rsidRPr="000D16A4">
        <w:rPr>
          <w:rFonts w:ascii="Arial" w:hAnsi="Arial" w:cs="Arial"/>
          <w:color w:val="000000"/>
          <w:sz w:val="24"/>
          <w:szCs w:val="24"/>
        </w:rPr>
        <w:t xml:space="preserve">por los cargos que se formulan y en atención a las normas invocadas como infringidas, sin que sea dable </w:t>
      </w:r>
      <w:r w:rsidR="000000DE" w:rsidRPr="000D16A4">
        <w:rPr>
          <w:rFonts w:ascii="Arial" w:hAnsi="Arial" w:cs="Arial"/>
          <w:color w:val="000000" w:themeColor="text1"/>
          <w:sz w:val="24"/>
          <w:szCs w:val="24"/>
        </w:rPr>
        <w:t>abordar un estudio</w:t>
      </w:r>
      <w:r w:rsidR="000000DE">
        <w:rPr>
          <w:rFonts w:ascii="Arial" w:hAnsi="Arial" w:cs="Arial"/>
          <w:color w:val="000000" w:themeColor="text1"/>
          <w:sz w:val="24"/>
          <w:szCs w:val="24"/>
        </w:rPr>
        <w:t xml:space="preserve"> integral</w:t>
      </w:r>
      <w:r w:rsidR="000000DE" w:rsidRPr="000D16A4">
        <w:rPr>
          <w:rFonts w:ascii="Arial" w:hAnsi="Arial" w:cs="Arial"/>
          <w:color w:val="000000" w:themeColor="text1"/>
          <w:sz w:val="24"/>
          <w:szCs w:val="24"/>
        </w:rPr>
        <w:t xml:space="preserve"> de legalidad</w:t>
      </w:r>
      <w:r w:rsidR="000000DE">
        <w:rPr>
          <w:rFonts w:ascii="Arial" w:hAnsi="Arial" w:cs="Arial"/>
          <w:color w:val="000000" w:themeColor="text1"/>
          <w:sz w:val="24"/>
          <w:szCs w:val="24"/>
        </w:rPr>
        <w:t>,</w:t>
      </w:r>
      <w:r w:rsidR="000000DE" w:rsidRPr="000D16A4">
        <w:rPr>
          <w:rFonts w:ascii="Arial" w:hAnsi="Arial" w:cs="Arial"/>
          <w:color w:val="000000" w:themeColor="text1"/>
          <w:sz w:val="24"/>
          <w:szCs w:val="24"/>
        </w:rPr>
        <w:t xml:space="preserve"> ni un análisis de conveniencia</w:t>
      </w:r>
      <w:r w:rsidR="000000DE">
        <w:rPr>
          <w:rFonts w:ascii="Arial" w:hAnsi="Arial" w:cs="Arial"/>
          <w:color w:val="000000" w:themeColor="text1"/>
          <w:sz w:val="24"/>
          <w:szCs w:val="24"/>
        </w:rPr>
        <w:t xml:space="preserve">, los cuales </w:t>
      </w:r>
      <w:r w:rsidR="000000DE" w:rsidRPr="000D16A4">
        <w:rPr>
          <w:rFonts w:ascii="Arial" w:hAnsi="Arial" w:cs="Arial"/>
          <w:color w:val="000000" w:themeColor="text1"/>
          <w:sz w:val="24"/>
          <w:szCs w:val="24"/>
        </w:rPr>
        <w:t>escapan al debate judicial del presente medio de control</w:t>
      </w:r>
      <w:r w:rsidR="008A71AC" w:rsidRPr="0096756A">
        <w:rPr>
          <w:rFonts w:ascii="Arial" w:hAnsi="Arial" w:cs="Arial"/>
          <w:color w:val="000000" w:themeColor="text1"/>
          <w:sz w:val="24"/>
          <w:szCs w:val="24"/>
        </w:rPr>
        <w:t>.</w:t>
      </w:r>
    </w:p>
    <w:p w14:paraId="6ECFF31C" w14:textId="3AAE75B4" w:rsidR="005B777D" w:rsidRDefault="005B777D" w:rsidP="000000DE">
      <w:pPr>
        <w:pStyle w:val="Prrafodelista"/>
        <w:tabs>
          <w:tab w:val="left" w:pos="0"/>
        </w:tabs>
        <w:spacing w:line="276" w:lineRule="auto"/>
        <w:ind w:left="0" w:right="-233"/>
        <w:contextualSpacing/>
        <w:jc w:val="both"/>
        <w:rPr>
          <w:rFonts w:ascii="Arial" w:hAnsi="Arial" w:cs="Arial"/>
          <w:color w:val="000000" w:themeColor="text1"/>
          <w:sz w:val="24"/>
          <w:szCs w:val="24"/>
        </w:rPr>
      </w:pPr>
    </w:p>
    <w:p w14:paraId="05BE0D91" w14:textId="57A2E1FC" w:rsidR="008A71AC" w:rsidRPr="001B0C42" w:rsidRDefault="00755E7C" w:rsidP="000000DE">
      <w:pPr>
        <w:pStyle w:val="Prrafodelista"/>
        <w:tabs>
          <w:tab w:val="left" w:pos="0"/>
        </w:tabs>
        <w:spacing w:line="276" w:lineRule="auto"/>
        <w:ind w:left="0" w:right="-233"/>
        <w:contextualSpacing/>
        <w:jc w:val="both"/>
        <w:rPr>
          <w:rFonts w:ascii="Arial" w:hAnsi="Arial" w:cs="Arial"/>
          <w:bCs/>
          <w:iCs/>
          <w:color w:val="000000"/>
          <w:sz w:val="24"/>
          <w:szCs w:val="24"/>
          <w:lang w:val="es-CO"/>
        </w:rPr>
      </w:pPr>
      <w:r>
        <w:rPr>
          <w:rFonts w:ascii="Arial" w:hAnsi="Arial" w:cs="Arial"/>
          <w:bCs/>
          <w:iCs/>
          <w:color w:val="000000"/>
          <w:sz w:val="24"/>
          <w:szCs w:val="24"/>
          <w:lang w:val="es-ES_tradnl"/>
        </w:rPr>
        <w:t>1</w:t>
      </w:r>
      <w:r w:rsidR="00794786">
        <w:rPr>
          <w:rFonts w:ascii="Arial" w:hAnsi="Arial" w:cs="Arial"/>
          <w:bCs/>
          <w:iCs/>
          <w:color w:val="000000"/>
          <w:sz w:val="24"/>
          <w:szCs w:val="24"/>
          <w:lang w:val="es-ES_tradnl"/>
        </w:rPr>
        <w:t>3</w:t>
      </w:r>
      <w:r>
        <w:rPr>
          <w:rFonts w:ascii="Arial" w:hAnsi="Arial" w:cs="Arial"/>
          <w:bCs/>
          <w:iCs/>
          <w:color w:val="000000"/>
          <w:sz w:val="24"/>
          <w:szCs w:val="24"/>
          <w:lang w:val="es-ES_tradnl"/>
        </w:rPr>
        <w:t xml:space="preserve">. </w:t>
      </w:r>
      <w:r w:rsidR="008A71AC" w:rsidRPr="001B0C42">
        <w:rPr>
          <w:rFonts w:ascii="Arial" w:hAnsi="Arial" w:cs="Arial"/>
          <w:bCs/>
          <w:iCs/>
          <w:color w:val="000000"/>
          <w:sz w:val="24"/>
          <w:szCs w:val="24"/>
          <w:lang w:val="es-ES_tradnl"/>
        </w:rPr>
        <w:t>Sobre este aspecto, resultan aplicables las consideraciones de la Corte Constitucional expuestas en la Sentencia C-1036 de 2003</w:t>
      </w:r>
      <w:r w:rsidR="008A71AC" w:rsidRPr="001B0C42">
        <w:rPr>
          <w:rStyle w:val="Refdenotaalpie"/>
          <w:rFonts w:ascii="Arial" w:hAnsi="Arial" w:cs="Arial"/>
          <w:bCs/>
          <w:iCs/>
          <w:color w:val="000000"/>
          <w:sz w:val="24"/>
          <w:szCs w:val="24"/>
          <w:lang w:val="es-ES_tradnl"/>
        </w:rPr>
        <w:footnoteReference w:id="9"/>
      </w:r>
      <w:r w:rsidR="008A71AC" w:rsidRPr="001B0C42">
        <w:rPr>
          <w:rFonts w:ascii="Arial" w:hAnsi="Arial" w:cs="Arial"/>
          <w:bCs/>
          <w:iCs/>
          <w:color w:val="000000"/>
          <w:sz w:val="24"/>
          <w:szCs w:val="24"/>
          <w:lang w:val="es-ES_tradnl"/>
        </w:rPr>
        <w:t xml:space="preserve"> y </w:t>
      </w:r>
      <w:r w:rsidR="008A71AC" w:rsidRPr="001B0C42">
        <w:rPr>
          <w:rFonts w:ascii="Arial" w:hAnsi="Arial" w:cs="Arial"/>
          <w:bCs/>
          <w:iCs/>
          <w:color w:val="000000"/>
          <w:sz w:val="24"/>
          <w:szCs w:val="24"/>
        </w:rPr>
        <w:t>C-256 de 1997</w:t>
      </w:r>
      <w:r w:rsidR="008A71AC" w:rsidRPr="001B0C42">
        <w:rPr>
          <w:rStyle w:val="Refdenotaalpie"/>
          <w:rFonts w:ascii="Arial" w:hAnsi="Arial" w:cs="Arial"/>
          <w:bCs/>
          <w:iCs/>
          <w:color w:val="000000"/>
          <w:sz w:val="24"/>
          <w:szCs w:val="24"/>
        </w:rPr>
        <w:footnoteReference w:id="10"/>
      </w:r>
      <w:r w:rsidR="008A71AC" w:rsidRPr="001B0C42">
        <w:rPr>
          <w:rFonts w:ascii="Arial" w:hAnsi="Arial" w:cs="Arial"/>
          <w:bCs/>
          <w:iCs/>
          <w:color w:val="000000"/>
          <w:sz w:val="24"/>
          <w:szCs w:val="24"/>
        </w:rPr>
        <w:t xml:space="preserve">. </w:t>
      </w:r>
    </w:p>
    <w:p w14:paraId="671B146B" w14:textId="77777777" w:rsidR="008A71AC" w:rsidRPr="001B0C42" w:rsidRDefault="008A71AC" w:rsidP="000000DE">
      <w:pPr>
        <w:pStyle w:val="Prrafodelista"/>
        <w:tabs>
          <w:tab w:val="left" w:pos="0"/>
        </w:tabs>
        <w:spacing w:line="276" w:lineRule="auto"/>
        <w:ind w:left="0" w:right="-233"/>
        <w:contextualSpacing/>
        <w:jc w:val="both"/>
        <w:rPr>
          <w:rFonts w:ascii="Arial" w:hAnsi="Arial" w:cs="Arial"/>
          <w:bCs/>
          <w:iCs/>
          <w:color w:val="000000"/>
          <w:sz w:val="24"/>
          <w:szCs w:val="24"/>
          <w:lang w:val="es-CO"/>
        </w:rPr>
      </w:pPr>
    </w:p>
    <w:p w14:paraId="2D22FC51" w14:textId="232B30E5" w:rsidR="006445E5" w:rsidRDefault="00794786" w:rsidP="000000DE">
      <w:pPr>
        <w:pStyle w:val="Prrafodelista"/>
        <w:spacing w:line="276" w:lineRule="auto"/>
        <w:ind w:left="0" w:right="-233"/>
        <w:contextualSpacing/>
        <w:jc w:val="both"/>
        <w:rPr>
          <w:rFonts w:ascii="Arial" w:hAnsi="Arial" w:cs="Arial"/>
          <w:b/>
          <w:bCs/>
          <w:iCs/>
          <w:color w:val="000000"/>
          <w:sz w:val="24"/>
          <w:szCs w:val="24"/>
          <w:lang w:val="es-CO"/>
        </w:rPr>
      </w:pPr>
      <w:r>
        <w:rPr>
          <w:rFonts w:ascii="Arial" w:hAnsi="Arial" w:cs="Arial"/>
          <w:b/>
          <w:bCs/>
          <w:iCs/>
          <w:color w:val="000000"/>
          <w:sz w:val="24"/>
          <w:szCs w:val="24"/>
          <w:lang w:val="es-CO"/>
        </w:rPr>
        <w:t>Hechos probados</w:t>
      </w:r>
    </w:p>
    <w:p w14:paraId="0458E686" w14:textId="61904B24" w:rsidR="00C07441" w:rsidRDefault="00C07441" w:rsidP="000000DE">
      <w:pPr>
        <w:pStyle w:val="Prrafodelista"/>
        <w:spacing w:line="276" w:lineRule="auto"/>
        <w:ind w:left="0" w:right="-233"/>
        <w:contextualSpacing/>
        <w:jc w:val="both"/>
        <w:rPr>
          <w:rFonts w:ascii="Arial" w:hAnsi="Arial" w:cs="Arial"/>
          <w:b/>
          <w:bCs/>
          <w:iCs/>
          <w:color w:val="000000"/>
          <w:sz w:val="24"/>
          <w:szCs w:val="24"/>
          <w:lang w:val="es-CO"/>
        </w:rPr>
      </w:pPr>
    </w:p>
    <w:p w14:paraId="02F89D4A" w14:textId="26285BAD" w:rsidR="00452DB9" w:rsidRDefault="00794786"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bookmarkStart w:id="4" w:name="_Hlk75352597"/>
      <w:r>
        <w:rPr>
          <w:rFonts w:ascii="Arial" w:hAnsi="Arial" w:cs="Arial"/>
          <w:color w:val="000000"/>
          <w:sz w:val="24"/>
          <w:szCs w:val="24"/>
          <w:lang w:val="es-CO" w:bidi="es-ES"/>
        </w:rPr>
        <w:t>14. Con respecto al único cargo de invalidez propuesto por el departamento de Boyacá, la Sala encuentra acreditado lo siguiente:</w:t>
      </w:r>
    </w:p>
    <w:p w14:paraId="7551C367" w14:textId="5CC2322A" w:rsidR="00775460" w:rsidRDefault="00775460"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4B3E6B78" w14:textId="175D61D9" w:rsidR="00452DB9" w:rsidRDefault="00452DB9"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15. El 21 de diciembre de 2018, el Concejo municipal de Tibaná expidió el Acuerdo No. 037</w:t>
      </w:r>
      <w:r w:rsidR="0050560C">
        <w:rPr>
          <w:rStyle w:val="Refdenotaalpie"/>
          <w:rFonts w:ascii="Arial" w:hAnsi="Arial" w:cs="Arial"/>
          <w:color w:val="000000"/>
          <w:sz w:val="24"/>
          <w:szCs w:val="24"/>
          <w:lang w:val="es-CO" w:bidi="es-ES"/>
        </w:rPr>
        <w:footnoteReference w:id="11"/>
      </w:r>
      <w:r>
        <w:rPr>
          <w:rFonts w:ascii="Arial" w:hAnsi="Arial" w:cs="Arial"/>
          <w:color w:val="000000"/>
          <w:sz w:val="24"/>
          <w:szCs w:val="24"/>
          <w:lang w:val="es-CO" w:bidi="es-ES"/>
        </w:rPr>
        <w:t>, a través del cual resolvió</w:t>
      </w:r>
      <w:r w:rsidR="0050560C">
        <w:rPr>
          <w:rFonts w:ascii="Arial" w:hAnsi="Arial" w:cs="Arial"/>
          <w:color w:val="000000"/>
          <w:sz w:val="24"/>
          <w:szCs w:val="24"/>
          <w:lang w:val="es-CO" w:bidi="es-ES"/>
        </w:rPr>
        <w:t>:</w:t>
      </w:r>
    </w:p>
    <w:p w14:paraId="747F899C" w14:textId="5BCF2653" w:rsidR="00AF0C9D" w:rsidRDefault="00AF0C9D"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193EA1B5" w14:textId="77777777" w:rsidR="00541762" w:rsidRDefault="00AF0C9D"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AF0C9D">
        <w:rPr>
          <w:rFonts w:ascii="Arial" w:hAnsi="Arial" w:cs="Arial"/>
          <w:color w:val="000000"/>
          <w:sz w:val="22"/>
          <w:szCs w:val="22"/>
          <w:lang w:val="es-CO" w:bidi="es-ES"/>
        </w:rPr>
        <w:t xml:space="preserve">“ARTICULO 1°: </w:t>
      </w:r>
      <w:r w:rsidRPr="0076416E">
        <w:rPr>
          <w:rFonts w:ascii="Arial" w:hAnsi="Arial" w:cs="Arial"/>
          <w:color w:val="000000"/>
          <w:sz w:val="22"/>
          <w:szCs w:val="22"/>
          <w:u w:val="single"/>
          <w:lang w:val="es-CO" w:bidi="es-ES"/>
        </w:rPr>
        <w:t>Facultar al Ejecutivo</w:t>
      </w:r>
      <w:r w:rsidRPr="00AF0C9D">
        <w:rPr>
          <w:rFonts w:ascii="Arial" w:hAnsi="Arial" w:cs="Arial"/>
          <w:color w:val="000000"/>
          <w:sz w:val="22"/>
          <w:szCs w:val="22"/>
          <w:lang w:val="es-CO" w:bidi="es-ES"/>
        </w:rPr>
        <w:t xml:space="preserve"> Municipal de Tibaná, </w:t>
      </w:r>
      <w:r w:rsidRPr="0076416E">
        <w:rPr>
          <w:rFonts w:ascii="Arial" w:hAnsi="Arial" w:cs="Arial"/>
          <w:color w:val="000000"/>
          <w:sz w:val="22"/>
          <w:szCs w:val="22"/>
          <w:u w:val="single"/>
          <w:lang w:val="es-CO" w:bidi="es-ES"/>
        </w:rPr>
        <w:t>para constituir urbanización para proyecto de vivienda de interés social</w:t>
      </w:r>
      <w:r w:rsidRPr="00AF0C9D">
        <w:rPr>
          <w:rFonts w:ascii="Arial" w:hAnsi="Arial" w:cs="Arial"/>
          <w:color w:val="000000"/>
          <w:sz w:val="22"/>
          <w:szCs w:val="22"/>
          <w:lang w:val="es-CO" w:bidi="es-ES"/>
        </w:rPr>
        <w:t xml:space="preserve">, sobre el predio altos del viento adquirido para tal fin por el Municipio, </w:t>
      </w:r>
      <w:r w:rsidRPr="0076416E">
        <w:rPr>
          <w:rFonts w:ascii="Arial" w:hAnsi="Arial" w:cs="Arial"/>
          <w:color w:val="000000"/>
          <w:sz w:val="22"/>
          <w:szCs w:val="22"/>
          <w:u w:val="single"/>
          <w:lang w:val="es-CO" w:bidi="es-ES"/>
        </w:rPr>
        <w:t>para seleccionar un Inversionista</w:t>
      </w:r>
      <w:r w:rsidRPr="00AF0C9D">
        <w:rPr>
          <w:rFonts w:ascii="Arial" w:hAnsi="Arial" w:cs="Arial"/>
          <w:color w:val="000000"/>
          <w:sz w:val="22"/>
          <w:szCs w:val="22"/>
          <w:lang w:val="es-CO" w:bidi="es-ES"/>
        </w:rPr>
        <w:t xml:space="preserve">, cooperante, constructor para la conformación de una unión temporal que desarrolle el proyecto de vivienda de interés social urbano del Municipio de Tibaná </w:t>
      </w:r>
      <w:r w:rsidRPr="0076416E">
        <w:rPr>
          <w:rFonts w:ascii="Arial" w:hAnsi="Arial" w:cs="Arial"/>
          <w:color w:val="000000"/>
          <w:sz w:val="22"/>
          <w:szCs w:val="22"/>
          <w:u w:val="single"/>
          <w:lang w:val="es-CO" w:bidi="es-ES"/>
        </w:rPr>
        <w:t>y para que entregue como subsidio el valor correspondiente a cada lote</w:t>
      </w:r>
      <w:r w:rsidRPr="00AF0C9D">
        <w:rPr>
          <w:rFonts w:ascii="Arial" w:hAnsi="Arial" w:cs="Arial"/>
          <w:color w:val="000000"/>
          <w:sz w:val="22"/>
          <w:szCs w:val="22"/>
          <w:lang w:val="es-CO" w:bidi="es-ES"/>
        </w:rPr>
        <w:t xml:space="preserve"> urbanizado a los beneficiarios que cumplan con los requisitos establecidos por el Ministerio de Vivienda Ciudad y Territorio</w:t>
      </w:r>
      <w:r w:rsidR="00541762">
        <w:rPr>
          <w:rFonts w:ascii="Arial" w:hAnsi="Arial" w:cs="Arial"/>
          <w:color w:val="000000"/>
          <w:sz w:val="22"/>
          <w:szCs w:val="22"/>
          <w:lang w:val="es-CO" w:bidi="es-ES"/>
        </w:rPr>
        <w:t xml:space="preserve">. </w:t>
      </w:r>
    </w:p>
    <w:p w14:paraId="1221DF81" w14:textId="77777777" w:rsidR="00541762" w:rsidRDefault="0054176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0B290B41" w14:textId="77777777" w:rsidR="00541762" w:rsidRDefault="0054176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Pr>
          <w:rFonts w:ascii="Arial" w:hAnsi="Arial" w:cs="Arial"/>
          <w:color w:val="000000"/>
          <w:sz w:val="22"/>
          <w:szCs w:val="22"/>
          <w:lang w:val="es-CO" w:bidi="es-ES"/>
        </w:rPr>
        <w:t>(…)</w:t>
      </w:r>
    </w:p>
    <w:p w14:paraId="0EF975A4" w14:textId="77777777" w:rsidR="00541762" w:rsidRDefault="0054176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475700E9" w14:textId="42414B1E" w:rsidR="00541762" w:rsidRPr="008746CA" w:rsidRDefault="00541762" w:rsidP="000000DE">
      <w:pPr>
        <w:pStyle w:val="Prrafodelista"/>
        <w:tabs>
          <w:tab w:val="left" w:pos="0"/>
        </w:tabs>
        <w:spacing w:line="276" w:lineRule="auto"/>
        <w:ind w:right="-233"/>
        <w:contextualSpacing/>
        <w:jc w:val="both"/>
        <w:rPr>
          <w:rFonts w:ascii="Arial" w:hAnsi="Arial" w:cs="Arial"/>
          <w:color w:val="000000"/>
          <w:sz w:val="22"/>
          <w:szCs w:val="22"/>
          <w:u w:val="single"/>
          <w:lang w:val="es-CO" w:bidi="es-ES"/>
        </w:rPr>
      </w:pPr>
      <w:r w:rsidRPr="00541762">
        <w:rPr>
          <w:rFonts w:ascii="Arial" w:hAnsi="Arial" w:cs="Arial"/>
          <w:color w:val="000000"/>
          <w:sz w:val="22"/>
          <w:szCs w:val="22"/>
          <w:lang w:val="es-CO" w:bidi="es-ES"/>
        </w:rPr>
        <w:t>ARTICULO 3. Las facultades concedidas en el presente Acuerdo rigen a partir</w:t>
      </w:r>
      <w:r>
        <w:rPr>
          <w:rFonts w:ascii="Arial" w:hAnsi="Arial" w:cs="Arial"/>
          <w:color w:val="000000"/>
          <w:sz w:val="22"/>
          <w:szCs w:val="22"/>
          <w:lang w:val="es-CO" w:bidi="es-ES"/>
        </w:rPr>
        <w:t xml:space="preserve"> </w:t>
      </w:r>
      <w:r w:rsidRPr="00541762">
        <w:rPr>
          <w:rFonts w:ascii="Arial" w:hAnsi="Arial" w:cs="Arial"/>
          <w:color w:val="000000"/>
          <w:sz w:val="22"/>
          <w:szCs w:val="22"/>
          <w:lang w:val="es-CO" w:bidi="es-ES"/>
        </w:rPr>
        <w:t>de</w:t>
      </w:r>
      <w:r>
        <w:rPr>
          <w:rFonts w:ascii="Arial" w:hAnsi="Arial" w:cs="Arial"/>
          <w:color w:val="000000"/>
          <w:sz w:val="22"/>
          <w:szCs w:val="22"/>
          <w:lang w:val="es-CO" w:bidi="es-ES"/>
        </w:rPr>
        <w:t xml:space="preserve"> </w:t>
      </w:r>
      <w:r w:rsidRPr="00541762">
        <w:rPr>
          <w:rFonts w:ascii="Arial" w:hAnsi="Arial" w:cs="Arial"/>
          <w:color w:val="000000"/>
          <w:sz w:val="22"/>
          <w:szCs w:val="22"/>
          <w:lang w:val="es-CO" w:bidi="es-ES"/>
        </w:rPr>
        <w:t xml:space="preserve">la fecha de su sanción y publicación y </w:t>
      </w:r>
      <w:r w:rsidRPr="008746CA">
        <w:rPr>
          <w:rFonts w:ascii="Arial" w:hAnsi="Arial" w:cs="Arial"/>
          <w:color w:val="000000"/>
          <w:sz w:val="22"/>
          <w:szCs w:val="22"/>
          <w:u w:val="single"/>
          <w:lang w:val="es-CO" w:bidi="es-ES"/>
        </w:rPr>
        <w:t>hasta el (31) de diciembre de dos mil</w:t>
      </w:r>
    </w:p>
    <w:p w14:paraId="34FE1359" w14:textId="644435D5" w:rsidR="00AF0C9D" w:rsidRDefault="0054176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8746CA">
        <w:rPr>
          <w:rFonts w:ascii="Arial" w:hAnsi="Arial" w:cs="Arial"/>
          <w:color w:val="000000"/>
          <w:sz w:val="22"/>
          <w:szCs w:val="22"/>
          <w:u w:val="single"/>
          <w:lang w:val="es-CO" w:bidi="es-ES"/>
        </w:rPr>
        <w:t>diecinueve (2019)</w:t>
      </w:r>
      <w:r w:rsidR="00AF0C9D" w:rsidRPr="00AF0C9D">
        <w:rPr>
          <w:rFonts w:ascii="Arial" w:hAnsi="Arial" w:cs="Arial"/>
          <w:color w:val="000000"/>
          <w:sz w:val="22"/>
          <w:szCs w:val="22"/>
          <w:lang w:val="es-CO" w:bidi="es-ES"/>
        </w:rPr>
        <w:t>”</w:t>
      </w:r>
      <w:r w:rsidR="008746CA">
        <w:rPr>
          <w:rFonts w:ascii="Arial" w:hAnsi="Arial" w:cs="Arial"/>
          <w:color w:val="000000"/>
          <w:sz w:val="22"/>
          <w:szCs w:val="22"/>
          <w:lang w:val="es-CO" w:bidi="es-ES"/>
        </w:rPr>
        <w:t xml:space="preserve"> (subrayas fuera de Sala)</w:t>
      </w:r>
      <w:r w:rsidR="00AF0C9D" w:rsidRPr="00AF0C9D">
        <w:rPr>
          <w:rFonts w:ascii="Arial" w:hAnsi="Arial" w:cs="Arial"/>
          <w:color w:val="000000"/>
          <w:sz w:val="22"/>
          <w:szCs w:val="22"/>
          <w:lang w:val="es-CO" w:bidi="es-ES"/>
        </w:rPr>
        <w:t>.</w:t>
      </w:r>
    </w:p>
    <w:p w14:paraId="27D217AE" w14:textId="41E325E2" w:rsidR="0049172A" w:rsidRDefault="0049172A"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07DB558B" w14:textId="19A60EA3" w:rsidR="00452DB9" w:rsidRDefault="00150B1C"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1</w:t>
      </w:r>
      <w:r w:rsidR="00330975">
        <w:rPr>
          <w:rFonts w:ascii="Arial" w:hAnsi="Arial" w:cs="Arial"/>
          <w:color w:val="000000"/>
          <w:sz w:val="24"/>
          <w:szCs w:val="24"/>
          <w:lang w:val="es-CO" w:bidi="es-ES"/>
        </w:rPr>
        <w:t>6</w:t>
      </w:r>
      <w:r>
        <w:rPr>
          <w:rFonts w:ascii="Arial" w:hAnsi="Arial" w:cs="Arial"/>
          <w:color w:val="000000"/>
          <w:sz w:val="24"/>
          <w:szCs w:val="24"/>
          <w:lang w:val="es-CO" w:bidi="es-ES"/>
        </w:rPr>
        <w:t xml:space="preserve">. </w:t>
      </w:r>
      <w:r w:rsidR="005910FE">
        <w:rPr>
          <w:rFonts w:ascii="Arial" w:hAnsi="Arial" w:cs="Arial"/>
          <w:color w:val="000000"/>
          <w:sz w:val="24"/>
          <w:szCs w:val="24"/>
          <w:lang w:val="es-CO" w:bidi="es-ES"/>
        </w:rPr>
        <w:t xml:space="preserve">Posteriormente, el 18 de febrero de 2020, el Concejo del </w:t>
      </w:r>
      <w:r w:rsidR="002660B7">
        <w:rPr>
          <w:rFonts w:ascii="Arial" w:hAnsi="Arial" w:cs="Arial"/>
          <w:color w:val="000000"/>
          <w:sz w:val="24"/>
          <w:szCs w:val="24"/>
          <w:lang w:val="es-CO" w:bidi="es-ES"/>
        </w:rPr>
        <w:t xml:space="preserve">ente territorial en cita </w:t>
      </w:r>
      <w:r w:rsidR="00E661CD">
        <w:rPr>
          <w:rFonts w:ascii="Arial" w:hAnsi="Arial" w:cs="Arial"/>
          <w:color w:val="000000"/>
          <w:sz w:val="24"/>
          <w:szCs w:val="24"/>
          <w:lang w:val="es-CO" w:bidi="es-ES"/>
        </w:rPr>
        <w:t>expidió el Acuerdo No. 002</w:t>
      </w:r>
      <w:r w:rsidR="00825738">
        <w:rPr>
          <w:rStyle w:val="Refdenotaalpie"/>
          <w:rFonts w:ascii="Arial" w:hAnsi="Arial" w:cs="Arial"/>
          <w:color w:val="000000"/>
          <w:sz w:val="24"/>
          <w:szCs w:val="24"/>
          <w:lang w:val="es-CO" w:bidi="es-ES"/>
        </w:rPr>
        <w:footnoteReference w:id="12"/>
      </w:r>
      <w:r w:rsidR="002A05B4">
        <w:rPr>
          <w:rFonts w:ascii="Arial" w:hAnsi="Arial" w:cs="Arial"/>
          <w:color w:val="000000"/>
          <w:sz w:val="24"/>
          <w:szCs w:val="24"/>
          <w:lang w:val="es-CO" w:bidi="es-ES"/>
        </w:rPr>
        <w:t xml:space="preserve">, </w:t>
      </w:r>
      <w:r w:rsidR="00E661CD">
        <w:rPr>
          <w:rFonts w:ascii="Arial" w:hAnsi="Arial" w:cs="Arial"/>
          <w:color w:val="000000"/>
          <w:sz w:val="24"/>
          <w:szCs w:val="24"/>
          <w:lang w:val="es-CO" w:bidi="es-ES"/>
        </w:rPr>
        <w:t xml:space="preserve">a través del cual </w:t>
      </w:r>
      <w:r w:rsidR="005910FE">
        <w:rPr>
          <w:rFonts w:ascii="Arial" w:hAnsi="Arial" w:cs="Arial"/>
          <w:color w:val="000000"/>
          <w:sz w:val="24"/>
          <w:szCs w:val="24"/>
          <w:lang w:val="es-CO" w:bidi="es-ES"/>
        </w:rPr>
        <w:t xml:space="preserve">resolvió </w:t>
      </w:r>
      <w:r w:rsidR="00DB7F17">
        <w:rPr>
          <w:rFonts w:ascii="Arial" w:hAnsi="Arial" w:cs="Arial"/>
          <w:color w:val="000000"/>
          <w:sz w:val="24"/>
          <w:szCs w:val="24"/>
          <w:lang w:val="es-CO" w:bidi="es-ES"/>
        </w:rPr>
        <w:t xml:space="preserve">facultar nuevamente “al ejecutivo municipal (…) para que </w:t>
      </w:r>
      <w:r w:rsidR="00DB7F17" w:rsidRPr="00DB7F17">
        <w:rPr>
          <w:rFonts w:ascii="Arial" w:hAnsi="Arial" w:cs="Arial"/>
          <w:color w:val="000000"/>
          <w:sz w:val="24"/>
          <w:szCs w:val="24"/>
          <w:u w:val="single"/>
          <w:lang w:val="es-CO" w:bidi="es-ES"/>
        </w:rPr>
        <w:t>continúe</w:t>
      </w:r>
      <w:r w:rsidR="00DB7F17">
        <w:rPr>
          <w:rFonts w:ascii="Arial" w:hAnsi="Arial" w:cs="Arial"/>
          <w:color w:val="000000"/>
          <w:sz w:val="24"/>
          <w:szCs w:val="24"/>
          <w:lang w:val="es-CO" w:bidi="es-ES"/>
        </w:rPr>
        <w:t xml:space="preserve"> con la construcción</w:t>
      </w:r>
      <w:r w:rsidR="002A05B4">
        <w:rPr>
          <w:rFonts w:ascii="Arial" w:hAnsi="Arial" w:cs="Arial"/>
          <w:color w:val="000000"/>
          <w:sz w:val="24"/>
          <w:szCs w:val="24"/>
          <w:lang w:val="es-CO" w:bidi="es-ES"/>
        </w:rPr>
        <w:t>” de la urbanización a la que se hizo referencia en el Acuerdo No. 037 de 2018</w:t>
      </w:r>
      <w:r w:rsidR="00691802">
        <w:rPr>
          <w:rFonts w:ascii="Arial" w:hAnsi="Arial" w:cs="Arial"/>
          <w:color w:val="000000"/>
          <w:sz w:val="24"/>
          <w:szCs w:val="24"/>
          <w:lang w:val="es-CO" w:bidi="es-ES"/>
        </w:rPr>
        <w:t xml:space="preserve">, señalando que las facultades concedidas </w:t>
      </w:r>
      <w:r w:rsidR="00825738">
        <w:rPr>
          <w:rFonts w:ascii="Arial" w:hAnsi="Arial" w:cs="Arial"/>
          <w:color w:val="000000"/>
          <w:sz w:val="24"/>
          <w:szCs w:val="24"/>
          <w:lang w:val="es-CO" w:bidi="es-ES"/>
        </w:rPr>
        <w:t>regirían “a partir de la fecha de su sanción y p</w:t>
      </w:r>
      <w:r w:rsidR="00E73471">
        <w:rPr>
          <w:rFonts w:ascii="Arial" w:hAnsi="Arial" w:cs="Arial"/>
          <w:color w:val="000000"/>
          <w:sz w:val="24"/>
          <w:szCs w:val="24"/>
          <w:lang w:val="es-CO" w:bidi="es-ES"/>
        </w:rPr>
        <w:t>ublicación</w:t>
      </w:r>
      <w:r w:rsidR="00770EE1">
        <w:rPr>
          <w:rStyle w:val="Refdenotaalpie"/>
          <w:rFonts w:ascii="Arial" w:hAnsi="Arial" w:cs="Arial"/>
          <w:color w:val="000000"/>
          <w:sz w:val="24"/>
          <w:szCs w:val="24"/>
          <w:lang w:val="es-CO" w:bidi="es-ES"/>
        </w:rPr>
        <w:footnoteReference w:id="13"/>
      </w:r>
      <w:r w:rsidR="00E73471">
        <w:rPr>
          <w:rFonts w:ascii="Arial" w:hAnsi="Arial" w:cs="Arial"/>
          <w:color w:val="000000"/>
          <w:sz w:val="24"/>
          <w:szCs w:val="24"/>
          <w:lang w:val="es-CO" w:bidi="es-ES"/>
        </w:rPr>
        <w:t xml:space="preserve"> y hasta el 31 de diciembre de dos mil veinte (2020)”</w:t>
      </w:r>
      <w:r w:rsidR="00E73471">
        <w:rPr>
          <w:rStyle w:val="Refdenotaalpie"/>
          <w:rFonts w:ascii="Arial" w:hAnsi="Arial" w:cs="Arial"/>
          <w:color w:val="000000"/>
          <w:sz w:val="24"/>
          <w:szCs w:val="24"/>
          <w:lang w:val="es-CO" w:bidi="es-ES"/>
        </w:rPr>
        <w:footnoteReference w:id="14"/>
      </w:r>
      <w:r w:rsidR="00E73471">
        <w:rPr>
          <w:rFonts w:ascii="Arial" w:hAnsi="Arial" w:cs="Arial"/>
          <w:color w:val="000000"/>
          <w:sz w:val="24"/>
          <w:szCs w:val="24"/>
          <w:lang w:val="es-CO" w:bidi="es-ES"/>
        </w:rPr>
        <w:t>.</w:t>
      </w:r>
      <w:r w:rsidR="00AE2FAC">
        <w:rPr>
          <w:rFonts w:ascii="Arial" w:hAnsi="Arial" w:cs="Arial"/>
          <w:color w:val="000000"/>
          <w:sz w:val="24"/>
          <w:szCs w:val="24"/>
          <w:lang w:val="es-CO" w:bidi="es-ES"/>
        </w:rPr>
        <w:t xml:space="preserve"> Sobre el punto, se destaca que en el acta de debate que se llevó a cabo el 16 de febrero de 2020, se dejó constancia de lo siguiente: </w:t>
      </w:r>
    </w:p>
    <w:p w14:paraId="1D4537AB" w14:textId="037569E0" w:rsidR="00AE2FAC" w:rsidRDefault="00AE2FAC"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4A6B662E" w14:textId="25A77588" w:rsidR="00AE2FAC" w:rsidRPr="00613708" w:rsidRDefault="00AE2FAC"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613708">
        <w:rPr>
          <w:rFonts w:ascii="Arial" w:hAnsi="Arial" w:cs="Arial"/>
          <w:color w:val="000000"/>
          <w:sz w:val="22"/>
          <w:szCs w:val="22"/>
          <w:lang w:val="es-CO" w:bidi="es-ES"/>
        </w:rPr>
        <w:t>“(…)</w:t>
      </w:r>
      <w:r w:rsidR="00F27FEB" w:rsidRPr="00613708">
        <w:rPr>
          <w:rFonts w:ascii="Arial" w:hAnsi="Arial" w:cs="Arial"/>
          <w:color w:val="000000"/>
          <w:sz w:val="22"/>
          <w:szCs w:val="22"/>
          <w:lang w:val="es-CO" w:bidi="es-ES"/>
        </w:rPr>
        <w:t xml:space="preserve"> El honorable concejal </w:t>
      </w:r>
      <w:r w:rsidR="00DF174E" w:rsidRPr="00613708">
        <w:rPr>
          <w:rFonts w:ascii="Arial" w:hAnsi="Arial" w:cs="Arial"/>
          <w:color w:val="000000"/>
          <w:sz w:val="22"/>
          <w:szCs w:val="22"/>
          <w:lang w:val="es-CO" w:bidi="es-ES"/>
        </w:rPr>
        <w:t>CARLOS GALINDO hace sugerencia en cuanto al encabezado del proyecto se debe corregir la palabra ‘construya’ por ‘continúe con la construcción de la urbanización’, el honorable PRESIDENTE indica que está de acuerdo [con] su antecesor</w:t>
      </w:r>
      <w:r w:rsidR="00613708" w:rsidRPr="00613708">
        <w:rPr>
          <w:rFonts w:ascii="Arial" w:hAnsi="Arial" w:cs="Arial"/>
          <w:color w:val="000000"/>
          <w:sz w:val="22"/>
          <w:szCs w:val="22"/>
          <w:lang w:val="es-CO" w:bidi="es-ES"/>
        </w:rPr>
        <w:t xml:space="preserve"> respecto al encabezado, y posteriormente cerró la discusión del proyecto y lo sometió a votación (…) el proyecto que[</w:t>
      </w:r>
      <w:proofErr w:type="spellStart"/>
      <w:r w:rsidR="00613708" w:rsidRPr="00613708">
        <w:rPr>
          <w:rFonts w:ascii="Arial" w:hAnsi="Arial" w:cs="Arial"/>
          <w:color w:val="000000"/>
          <w:sz w:val="22"/>
          <w:szCs w:val="22"/>
          <w:lang w:val="es-CO" w:bidi="es-ES"/>
        </w:rPr>
        <w:t>dó</w:t>
      </w:r>
      <w:proofErr w:type="spellEnd"/>
      <w:r w:rsidR="00613708" w:rsidRPr="00613708">
        <w:rPr>
          <w:rFonts w:ascii="Arial" w:hAnsi="Arial" w:cs="Arial"/>
          <w:color w:val="000000"/>
          <w:sz w:val="22"/>
          <w:szCs w:val="22"/>
          <w:lang w:val="es-CO" w:bidi="es-ES"/>
        </w:rPr>
        <w:t>] aprobado por unanimidad (…)</w:t>
      </w:r>
      <w:r w:rsidRPr="00613708">
        <w:rPr>
          <w:rFonts w:ascii="Arial" w:hAnsi="Arial" w:cs="Arial"/>
          <w:color w:val="000000"/>
          <w:sz w:val="22"/>
          <w:szCs w:val="22"/>
          <w:lang w:val="es-CO" w:bidi="es-ES"/>
        </w:rPr>
        <w:t>”</w:t>
      </w:r>
      <w:r w:rsidRPr="00613708">
        <w:rPr>
          <w:rStyle w:val="Refdenotaalpie"/>
          <w:rFonts w:ascii="Arial" w:hAnsi="Arial" w:cs="Arial"/>
          <w:color w:val="000000"/>
          <w:sz w:val="22"/>
          <w:szCs w:val="22"/>
          <w:lang w:val="es-CO" w:bidi="es-ES"/>
        </w:rPr>
        <w:footnoteReference w:id="15"/>
      </w:r>
      <w:r w:rsidR="00613708" w:rsidRPr="00613708">
        <w:rPr>
          <w:rFonts w:ascii="Arial" w:hAnsi="Arial" w:cs="Arial"/>
          <w:color w:val="000000"/>
          <w:sz w:val="22"/>
          <w:szCs w:val="22"/>
          <w:lang w:val="es-CO" w:bidi="es-ES"/>
        </w:rPr>
        <w:t>.</w:t>
      </w:r>
    </w:p>
    <w:p w14:paraId="43F4F27E" w14:textId="2707A384" w:rsidR="00AB286C" w:rsidRDefault="00AB286C"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0EB796A4" w14:textId="24FDDD46" w:rsidR="0022541C" w:rsidRDefault="002660B7"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 xml:space="preserve">17. </w:t>
      </w:r>
      <w:r w:rsidR="00F170FC">
        <w:rPr>
          <w:rFonts w:ascii="Arial" w:hAnsi="Arial" w:cs="Arial"/>
          <w:color w:val="000000"/>
          <w:sz w:val="24"/>
          <w:szCs w:val="24"/>
          <w:lang w:val="es-CO" w:bidi="es-ES"/>
        </w:rPr>
        <w:t>Luego, e</w:t>
      </w:r>
      <w:r w:rsidR="0022541C">
        <w:rPr>
          <w:rFonts w:ascii="Arial" w:hAnsi="Arial" w:cs="Arial"/>
          <w:color w:val="000000"/>
          <w:sz w:val="24"/>
          <w:szCs w:val="24"/>
          <w:lang w:val="es-CO" w:bidi="es-ES"/>
        </w:rPr>
        <w:t>l 19 de febrero de 2021, el Concejo del municipio de Tibaná expidió el Acuerdo No. 001</w:t>
      </w:r>
      <w:r w:rsidR="00AB286C">
        <w:rPr>
          <w:rFonts w:ascii="Arial" w:hAnsi="Arial" w:cs="Arial"/>
          <w:color w:val="000000"/>
          <w:sz w:val="24"/>
          <w:szCs w:val="24"/>
          <w:lang w:val="es-CO" w:bidi="es-ES"/>
        </w:rPr>
        <w:t xml:space="preserve"> ―</w:t>
      </w:r>
      <w:r w:rsidR="003D37F0">
        <w:rPr>
          <w:rFonts w:ascii="Arial" w:hAnsi="Arial" w:cs="Arial"/>
          <w:color w:val="000000"/>
          <w:sz w:val="24"/>
          <w:szCs w:val="24"/>
          <w:lang w:val="es-CO" w:bidi="es-ES"/>
        </w:rPr>
        <w:t xml:space="preserve">el cual se demanda en </w:t>
      </w:r>
      <w:r w:rsidR="00AB286C">
        <w:rPr>
          <w:rFonts w:ascii="Arial" w:hAnsi="Arial" w:cs="Arial"/>
          <w:color w:val="000000"/>
          <w:sz w:val="24"/>
          <w:szCs w:val="24"/>
          <w:lang w:val="es-CO" w:bidi="es-ES"/>
        </w:rPr>
        <w:t>presente proceso―</w:t>
      </w:r>
      <w:r w:rsidR="0022541C">
        <w:rPr>
          <w:rFonts w:ascii="Arial" w:hAnsi="Arial" w:cs="Arial"/>
          <w:color w:val="000000"/>
          <w:sz w:val="24"/>
          <w:szCs w:val="24"/>
          <w:lang w:val="es-CO" w:bidi="es-ES"/>
        </w:rPr>
        <w:t xml:space="preserve">, “POR EL CUAL SE OTORGAN FACULTADES AL EJECUTIVO MUNICIPAL </w:t>
      </w:r>
      <w:r w:rsidR="0022541C">
        <w:rPr>
          <w:rFonts w:ascii="Arial" w:hAnsi="Arial" w:cs="Arial"/>
          <w:color w:val="000000"/>
          <w:sz w:val="24"/>
          <w:szCs w:val="24"/>
          <w:u w:val="single"/>
          <w:lang w:val="es-CO" w:bidi="es-ES"/>
        </w:rPr>
        <w:t>PARA QUE CONTINÚE</w:t>
      </w:r>
      <w:r w:rsidR="0022541C">
        <w:rPr>
          <w:rFonts w:ascii="Arial" w:hAnsi="Arial" w:cs="Arial"/>
          <w:color w:val="000000"/>
          <w:sz w:val="24"/>
          <w:szCs w:val="24"/>
          <w:lang w:val="es-CO" w:bidi="es-ES"/>
        </w:rPr>
        <w:t xml:space="preserve"> CON LA CONSTRUCCIÓN DE UNA URBANIZACIÓN </w:t>
      </w:r>
      <w:r w:rsidR="0022541C" w:rsidRPr="0083142A">
        <w:rPr>
          <w:rFonts w:ascii="Arial" w:hAnsi="Arial" w:cs="Arial"/>
          <w:color w:val="000000"/>
          <w:sz w:val="24"/>
          <w:szCs w:val="24"/>
          <w:u w:val="single"/>
          <w:lang w:val="es-CO" w:bidi="es-ES"/>
        </w:rPr>
        <w:t>Y ENTREGA SUBSIDIO</w:t>
      </w:r>
      <w:r w:rsidR="0022541C">
        <w:rPr>
          <w:rFonts w:ascii="Arial" w:hAnsi="Arial" w:cs="Arial"/>
          <w:color w:val="000000"/>
          <w:sz w:val="24"/>
          <w:szCs w:val="24"/>
          <w:lang w:val="es-CO" w:bidi="es-ES"/>
        </w:rPr>
        <w:t xml:space="preserve"> EN EL PROYECTO </w:t>
      </w:r>
      <w:r w:rsidR="00A15F7E">
        <w:rPr>
          <w:rFonts w:ascii="Arial" w:hAnsi="Arial" w:cs="Arial"/>
          <w:color w:val="000000"/>
          <w:sz w:val="24"/>
          <w:szCs w:val="24"/>
          <w:lang w:val="es-CO" w:bidi="es-ES"/>
        </w:rPr>
        <w:t>DE VIVIENDA DE INTERÉS SOCIAL URBANO DEL MUNICIPIO DE TIBANÁ”</w:t>
      </w:r>
      <w:r w:rsidR="00A15F7E">
        <w:rPr>
          <w:rStyle w:val="Refdenotaalpie"/>
          <w:rFonts w:ascii="Arial" w:hAnsi="Arial" w:cs="Arial"/>
          <w:color w:val="000000"/>
          <w:sz w:val="24"/>
          <w:szCs w:val="24"/>
          <w:lang w:val="es-CO" w:bidi="es-ES"/>
        </w:rPr>
        <w:footnoteReference w:id="16"/>
      </w:r>
      <w:r w:rsidR="00A72D30">
        <w:rPr>
          <w:rFonts w:ascii="Arial" w:hAnsi="Arial" w:cs="Arial"/>
          <w:color w:val="000000"/>
          <w:sz w:val="24"/>
          <w:szCs w:val="24"/>
          <w:lang w:val="es-CO" w:bidi="es-ES"/>
        </w:rPr>
        <w:t xml:space="preserve">. De dicho acto administrativo se destaca: </w:t>
      </w:r>
    </w:p>
    <w:p w14:paraId="52F13061" w14:textId="09D9CD16" w:rsidR="00A72D30" w:rsidRDefault="00A72D30"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70241C48" w14:textId="22EEE823" w:rsidR="00247E01" w:rsidRDefault="00A72D30"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1</w:t>
      </w:r>
      <w:r w:rsidR="003D37F0">
        <w:rPr>
          <w:rFonts w:ascii="Arial" w:hAnsi="Arial" w:cs="Arial"/>
          <w:color w:val="000000"/>
          <w:sz w:val="24"/>
          <w:szCs w:val="24"/>
          <w:lang w:val="es-CO" w:bidi="es-ES"/>
        </w:rPr>
        <w:t>7</w:t>
      </w:r>
      <w:r>
        <w:rPr>
          <w:rFonts w:ascii="Arial" w:hAnsi="Arial" w:cs="Arial"/>
          <w:color w:val="000000"/>
          <w:sz w:val="24"/>
          <w:szCs w:val="24"/>
          <w:lang w:val="es-CO" w:bidi="es-ES"/>
        </w:rPr>
        <w:t xml:space="preserve">.1. </w:t>
      </w:r>
      <w:r w:rsidR="00247E01">
        <w:rPr>
          <w:rFonts w:ascii="Arial" w:hAnsi="Arial" w:cs="Arial"/>
          <w:color w:val="000000"/>
          <w:sz w:val="24"/>
          <w:szCs w:val="24"/>
          <w:lang w:val="es-CO" w:bidi="es-ES"/>
        </w:rPr>
        <w:t>En las consideraciones generales se indicó:</w:t>
      </w:r>
    </w:p>
    <w:p w14:paraId="11907251" w14:textId="77777777" w:rsidR="00247E01" w:rsidRDefault="00247E01"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74DB9B33" w14:textId="2EE0E3D1" w:rsidR="00247E01" w:rsidRPr="00551C40" w:rsidRDefault="00247E01"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551C40">
        <w:rPr>
          <w:rFonts w:ascii="Arial" w:hAnsi="Arial" w:cs="Arial"/>
          <w:color w:val="000000"/>
          <w:sz w:val="22"/>
          <w:szCs w:val="22"/>
          <w:lang w:val="es-CO" w:bidi="es-ES"/>
        </w:rPr>
        <w:lastRenderedPageBreak/>
        <w:t>“</w:t>
      </w:r>
      <w:r w:rsidR="000F1EB4">
        <w:rPr>
          <w:rFonts w:ascii="Arial" w:hAnsi="Arial" w:cs="Arial"/>
          <w:color w:val="000000"/>
          <w:sz w:val="22"/>
          <w:szCs w:val="22"/>
          <w:lang w:val="es-CO" w:bidi="es-ES"/>
        </w:rPr>
        <w:t xml:space="preserve">(…) </w:t>
      </w:r>
      <w:r w:rsidRPr="00551C40">
        <w:rPr>
          <w:rFonts w:ascii="Arial" w:hAnsi="Arial" w:cs="Arial"/>
          <w:color w:val="000000"/>
          <w:sz w:val="22"/>
          <w:szCs w:val="22"/>
          <w:lang w:val="es-CO" w:bidi="es-ES"/>
        </w:rPr>
        <w:t>f) Que el municipio de Tibaná, cuenta con un lote "Altos del Viento", predio adquirido por el municipio de Tibaná en mayo de 2017, para la construcción de viviendas</w:t>
      </w:r>
      <w:r w:rsidR="004B75F3" w:rsidRPr="00551C40">
        <w:rPr>
          <w:rFonts w:ascii="Arial" w:hAnsi="Arial" w:cs="Arial"/>
          <w:color w:val="000000"/>
          <w:sz w:val="22"/>
          <w:szCs w:val="22"/>
          <w:lang w:val="es-CO" w:bidi="es-ES"/>
        </w:rPr>
        <w:t xml:space="preserve"> a </w:t>
      </w:r>
      <w:r w:rsidRPr="00551C40">
        <w:rPr>
          <w:rFonts w:ascii="Arial" w:hAnsi="Arial" w:cs="Arial"/>
          <w:color w:val="000000"/>
          <w:sz w:val="22"/>
          <w:szCs w:val="22"/>
          <w:lang w:val="es-CO" w:bidi="es-ES"/>
        </w:rPr>
        <w:t>disposición de la comunidad como vivienda VIS.</w:t>
      </w:r>
    </w:p>
    <w:p w14:paraId="01B279FB" w14:textId="77777777" w:rsidR="004B75F3" w:rsidRPr="00551C40" w:rsidRDefault="004B75F3"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3A55F161" w14:textId="6B4C7948" w:rsidR="00247E01" w:rsidRPr="00551C40" w:rsidRDefault="00247E01"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551C40">
        <w:rPr>
          <w:rFonts w:ascii="Arial" w:hAnsi="Arial" w:cs="Arial"/>
          <w:color w:val="000000"/>
          <w:sz w:val="22"/>
          <w:szCs w:val="22"/>
          <w:lang w:val="es-CO" w:bidi="es-ES"/>
        </w:rPr>
        <w:t>g) Que el municipio de Tibaná aportar</w:t>
      </w:r>
      <w:r w:rsidR="004B75F3" w:rsidRPr="00551C40">
        <w:rPr>
          <w:rFonts w:ascii="Arial" w:hAnsi="Arial" w:cs="Arial"/>
          <w:color w:val="000000"/>
          <w:sz w:val="22"/>
          <w:szCs w:val="22"/>
          <w:lang w:val="es-CO" w:bidi="es-ES"/>
        </w:rPr>
        <w:t>á</w:t>
      </w:r>
      <w:r w:rsidRPr="00551C40">
        <w:rPr>
          <w:rFonts w:ascii="Arial" w:hAnsi="Arial" w:cs="Arial"/>
          <w:color w:val="000000"/>
          <w:sz w:val="22"/>
          <w:szCs w:val="22"/>
          <w:lang w:val="es-CO" w:bidi="es-ES"/>
        </w:rPr>
        <w:t xml:space="preserve"> el lote de "Altos del Viento" avaluado en</w:t>
      </w:r>
      <w:r w:rsidR="004B75F3" w:rsidRPr="00551C40">
        <w:rPr>
          <w:rFonts w:ascii="Arial" w:hAnsi="Arial" w:cs="Arial"/>
          <w:color w:val="000000"/>
          <w:sz w:val="22"/>
          <w:szCs w:val="22"/>
          <w:lang w:val="es-CO" w:bidi="es-ES"/>
        </w:rPr>
        <w:t xml:space="preserve"> </w:t>
      </w:r>
      <w:r w:rsidRPr="00551C40">
        <w:rPr>
          <w:rFonts w:ascii="Arial" w:hAnsi="Arial" w:cs="Arial"/>
          <w:color w:val="000000"/>
          <w:sz w:val="22"/>
          <w:szCs w:val="22"/>
          <w:lang w:val="es-CO" w:bidi="es-ES"/>
        </w:rPr>
        <w:t>QUINIENTOS CUARENTA Y SEIS MILLONES CUATROCIENTOS DIECISÉIS MIL</w:t>
      </w:r>
      <w:r w:rsidR="004B75F3" w:rsidRPr="00551C40">
        <w:rPr>
          <w:rFonts w:ascii="Arial" w:hAnsi="Arial" w:cs="Arial"/>
          <w:color w:val="000000"/>
          <w:sz w:val="22"/>
          <w:szCs w:val="22"/>
          <w:lang w:val="es-CO" w:bidi="es-ES"/>
        </w:rPr>
        <w:t xml:space="preserve"> </w:t>
      </w:r>
      <w:r w:rsidRPr="00551C40">
        <w:rPr>
          <w:rFonts w:ascii="Arial" w:hAnsi="Arial" w:cs="Arial"/>
          <w:color w:val="000000"/>
          <w:sz w:val="22"/>
          <w:szCs w:val="22"/>
          <w:lang w:val="es-CO" w:bidi="es-ES"/>
        </w:rPr>
        <w:t>TRESCIENTOS PESOS M/CTE ($546.416.300), valor que será dividido por el númer</w:t>
      </w:r>
      <w:r w:rsidR="004B75F3" w:rsidRPr="00551C40">
        <w:rPr>
          <w:rFonts w:ascii="Arial" w:hAnsi="Arial" w:cs="Arial"/>
          <w:color w:val="000000"/>
          <w:sz w:val="22"/>
          <w:szCs w:val="22"/>
          <w:lang w:val="es-CO" w:bidi="es-ES"/>
        </w:rPr>
        <w:t xml:space="preserve">o </w:t>
      </w:r>
      <w:r w:rsidRPr="00551C40">
        <w:rPr>
          <w:rFonts w:ascii="Arial" w:hAnsi="Arial" w:cs="Arial"/>
          <w:color w:val="000000"/>
          <w:sz w:val="22"/>
          <w:szCs w:val="22"/>
          <w:lang w:val="es-CO" w:bidi="es-ES"/>
        </w:rPr>
        <w:t xml:space="preserve">de viviendas objeto del proceso de </w:t>
      </w:r>
      <w:r w:rsidR="004B75F3" w:rsidRPr="00551C40">
        <w:rPr>
          <w:rFonts w:ascii="Arial" w:hAnsi="Arial" w:cs="Arial"/>
          <w:color w:val="000000"/>
          <w:sz w:val="22"/>
          <w:szCs w:val="22"/>
          <w:lang w:val="es-CO" w:bidi="es-ES"/>
        </w:rPr>
        <w:t xml:space="preserve">selección </w:t>
      </w:r>
      <w:r w:rsidRPr="00551C40">
        <w:rPr>
          <w:rFonts w:ascii="Arial" w:hAnsi="Arial" w:cs="Arial"/>
          <w:color w:val="000000"/>
          <w:sz w:val="22"/>
          <w:szCs w:val="22"/>
          <w:lang w:val="es-CO" w:bidi="es-ES"/>
        </w:rPr>
        <w:t>que se adelantar</w:t>
      </w:r>
      <w:r w:rsidR="004B75F3" w:rsidRPr="00551C40">
        <w:rPr>
          <w:rFonts w:ascii="Arial" w:hAnsi="Arial" w:cs="Arial"/>
          <w:color w:val="000000"/>
          <w:sz w:val="22"/>
          <w:szCs w:val="22"/>
          <w:lang w:val="es-CO" w:bidi="es-ES"/>
        </w:rPr>
        <w:t>á</w:t>
      </w:r>
      <w:r w:rsidRPr="00551C40">
        <w:rPr>
          <w:rFonts w:ascii="Arial" w:hAnsi="Arial" w:cs="Arial"/>
          <w:color w:val="000000"/>
          <w:sz w:val="22"/>
          <w:szCs w:val="22"/>
          <w:lang w:val="es-CO" w:bidi="es-ES"/>
        </w:rPr>
        <w:t xml:space="preserve"> lo que permit</w:t>
      </w:r>
      <w:r w:rsidR="004B75F3" w:rsidRPr="00551C40">
        <w:rPr>
          <w:rFonts w:ascii="Arial" w:hAnsi="Arial" w:cs="Arial"/>
          <w:color w:val="000000"/>
          <w:sz w:val="22"/>
          <w:szCs w:val="22"/>
          <w:lang w:val="es-CO" w:bidi="es-ES"/>
        </w:rPr>
        <w:t xml:space="preserve">e </w:t>
      </w:r>
      <w:r w:rsidRPr="00551C40">
        <w:rPr>
          <w:rFonts w:ascii="Arial" w:hAnsi="Arial" w:cs="Arial"/>
          <w:color w:val="000000"/>
          <w:sz w:val="22"/>
          <w:szCs w:val="22"/>
          <w:lang w:val="es-CO" w:bidi="es-ES"/>
        </w:rPr>
        <w:t>determinar un aporte del municipio por vivienda.</w:t>
      </w:r>
    </w:p>
    <w:p w14:paraId="6FD5C0B4" w14:textId="764EBBD6" w:rsidR="004B75F3" w:rsidRPr="00551C40" w:rsidRDefault="004B75F3"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039D824A" w14:textId="699DC709" w:rsidR="00A72D30" w:rsidRPr="00551C40" w:rsidRDefault="00247E01"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551C40">
        <w:rPr>
          <w:rFonts w:ascii="Arial" w:hAnsi="Arial" w:cs="Arial"/>
          <w:color w:val="000000"/>
          <w:sz w:val="22"/>
          <w:szCs w:val="22"/>
          <w:lang w:val="es-CO" w:bidi="es-ES"/>
        </w:rPr>
        <w:t>h) Que el municipio de Tibaná requiere realizar un proceso de constitución d</w:t>
      </w:r>
      <w:r w:rsidR="00BF5A55" w:rsidRPr="00551C40">
        <w:rPr>
          <w:rFonts w:ascii="Arial" w:hAnsi="Arial" w:cs="Arial"/>
          <w:color w:val="000000"/>
          <w:sz w:val="22"/>
          <w:szCs w:val="22"/>
          <w:lang w:val="es-CO" w:bidi="es-ES"/>
        </w:rPr>
        <w:t xml:space="preserve">e </w:t>
      </w:r>
      <w:r w:rsidRPr="00551C40">
        <w:rPr>
          <w:rFonts w:ascii="Arial" w:hAnsi="Arial" w:cs="Arial"/>
          <w:color w:val="000000"/>
          <w:sz w:val="22"/>
          <w:szCs w:val="22"/>
          <w:lang w:val="es-CO" w:bidi="es-ES"/>
        </w:rPr>
        <w:t>urbanización que le permite seleccionar un inversionista cooperante, constructor par</w:t>
      </w:r>
      <w:r w:rsidR="00BF5A55" w:rsidRPr="00551C40">
        <w:rPr>
          <w:rFonts w:ascii="Arial" w:hAnsi="Arial" w:cs="Arial"/>
          <w:color w:val="000000"/>
          <w:sz w:val="22"/>
          <w:szCs w:val="22"/>
          <w:lang w:val="es-CO" w:bidi="es-ES"/>
        </w:rPr>
        <w:t xml:space="preserve">a </w:t>
      </w:r>
      <w:r w:rsidRPr="00551C40">
        <w:rPr>
          <w:rFonts w:ascii="Arial" w:hAnsi="Arial" w:cs="Arial"/>
          <w:color w:val="000000"/>
          <w:sz w:val="22"/>
          <w:szCs w:val="22"/>
          <w:lang w:val="es-CO" w:bidi="es-ES"/>
        </w:rPr>
        <w:t>l</w:t>
      </w:r>
      <w:r w:rsidR="00BF5A55" w:rsidRPr="00551C40">
        <w:rPr>
          <w:rFonts w:ascii="Arial" w:hAnsi="Arial" w:cs="Arial"/>
          <w:color w:val="000000"/>
          <w:sz w:val="22"/>
          <w:szCs w:val="22"/>
          <w:lang w:val="es-CO" w:bidi="es-ES"/>
        </w:rPr>
        <w:t>a</w:t>
      </w:r>
      <w:r w:rsidRPr="00551C40">
        <w:rPr>
          <w:rFonts w:ascii="Arial" w:hAnsi="Arial" w:cs="Arial"/>
          <w:color w:val="000000"/>
          <w:sz w:val="22"/>
          <w:szCs w:val="22"/>
          <w:lang w:val="es-CO" w:bidi="es-ES"/>
        </w:rPr>
        <w:t xml:space="preserve"> conformación de una unión temporal que desarrolle el proyecto de vivienda d</w:t>
      </w:r>
      <w:r w:rsidR="00BF5A55" w:rsidRPr="00551C40">
        <w:rPr>
          <w:rFonts w:ascii="Arial" w:hAnsi="Arial" w:cs="Arial"/>
          <w:color w:val="000000"/>
          <w:sz w:val="22"/>
          <w:szCs w:val="22"/>
          <w:lang w:val="es-CO" w:bidi="es-ES"/>
        </w:rPr>
        <w:t xml:space="preserve">e </w:t>
      </w:r>
      <w:r w:rsidRPr="00551C40">
        <w:rPr>
          <w:rFonts w:ascii="Arial" w:hAnsi="Arial" w:cs="Arial"/>
          <w:color w:val="000000"/>
          <w:sz w:val="22"/>
          <w:szCs w:val="22"/>
          <w:lang w:val="es-CO" w:bidi="es-ES"/>
        </w:rPr>
        <w:t>interés social urbano del municipio de Tibaná y posterior entrega de los lotes co</w:t>
      </w:r>
      <w:r w:rsidR="00BF5A55" w:rsidRPr="00551C40">
        <w:rPr>
          <w:rFonts w:ascii="Arial" w:hAnsi="Arial" w:cs="Arial"/>
          <w:color w:val="000000"/>
          <w:sz w:val="22"/>
          <w:szCs w:val="22"/>
          <w:lang w:val="es-CO" w:bidi="es-ES"/>
        </w:rPr>
        <w:t xml:space="preserve">n </w:t>
      </w:r>
      <w:r w:rsidRPr="00551C40">
        <w:rPr>
          <w:rFonts w:ascii="Arial" w:hAnsi="Arial" w:cs="Arial"/>
          <w:color w:val="000000"/>
          <w:sz w:val="22"/>
          <w:szCs w:val="22"/>
          <w:lang w:val="es-CO" w:bidi="es-ES"/>
        </w:rPr>
        <w:t xml:space="preserve">subsidio al proyecto de vivienda. </w:t>
      </w:r>
    </w:p>
    <w:p w14:paraId="64E9A49F" w14:textId="725D475E" w:rsidR="00BF5A55" w:rsidRPr="00551C40" w:rsidRDefault="00BF5A55"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7F87D8A8" w14:textId="14C39937" w:rsidR="00BF5A55" w:rsidRPr="00551C40" w:rsidRDefault="001D101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551C40">
        <w:rPr>
          <w:rFonts w:ascii="Arial" w:hAnsi="Arial" w:cs="Arial"/>
          <w:color w:val="000000"/>
          <w:sz w:val="22"/>
          <w:szCs w:val="22"/>
          <w:lang w:val="es-CO" w:bidi="es-ES"/>
        </w:rPr>
        <w:t xml:space="preserve">(…) </w:t>
      </w:r>
    </w:p>
    <w:p w14:paraId="2ED998BD" w14:textId="6CC5689E" w:rsidR="001D101E" w:rsidRPr="00551C40" w:rsidRDefault="001D101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2203B41C" w14:textId="7E8AEBF6" w:rsidR="001D101E" w:rsidRPr="00551C40" w:rsidRDefault="001D101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551C40">
        <w:rPr>
          <w:rFonts w:ascii="Arial" w:hAnsi="Arial" w:cs="Arial"/>
          <w:color w:val="000000"/>
          <w:sz w:val="22"/>
          <w:szCs w:val="22"/>
          <w:lang w:val="es-CO" w:bidi="es-ES"/>
        </w:rPr>
        <w:t>k) Que el municipio de Tiban</w:t>
      </w:r>
      <w:r w:rsidR="00B14EEA" w:rsidRPr="00551C40">
        <w:rPr>
          <w:rFonts w:ascii="Arial" w:hAnsi="Arial" w:cs="Arial"/>
          <w:color w:val="000000"/>
          <w:sz w:val="22"/>
          <w:szCs w:val="22"/>
          <w:lang w:val="es-CO" w:bidi="es-ES"/>
        </w:rPr>
        <w:t xml:space="preserve">á mediante contrato de mínima cuantía IMC 091-2018, seleccionó </w:t>
      </w:r>
      <w:r w:rsidRPr="00551C40">
        <w:rPr>
          <w:rFonts w:ascii="Arial" w:hAnsi="Arial" w:cs="Arial"/>
          <w:color w:val="000000"/>
          <w:sz w:val="22"/>
          <w:szCs w:val="22"/>
          <w:lang w:val="es-CO" w:bidi="es-ES"/>
        </w:rPr>
        <w:t>un inversionist</w:t>
      </w:r>
      <w:r w:rsidR="00B14EEA" w:rsidRPr="00551C40">
        <w:rPr>
          <w:rFonts w:ascii="Arial" w:hAnsi="Arial" w:cs="Arial"/>
          <w:color w:val="000000"/>
          <w:sz w:val="22"/>
          <w:szCs w:val="22"/>
          <w:lang w:val="es-CO" w:bidi="es-ES"/>
        </w:rPr>
        <w:t xml:space="preserve">a </w:t>
      </w:r>
      <w:r w:rsidRPr="00551C40">
        <w:rPr>
          <w:rFonts w:ascii="Arial" w:hAnsi="Arial" w:cs="Arial"/>
          <w:color w:val="000000"/>
          <w:sz w:val="22"/>
          <w:szCs w:val="22"/>
          <w:lang w:val="es-CO" w:bidi="es-ES"/>
        </w:rPr>
        <w:t>"</w:t>
      </w:r>
      <w:r w:rsidR="00CA4E60" w:rsidRPr="00551C40">
        <w:rPr>
          <w:rFonts w:ascii="Arial" w:hAnsi="Arial" w:cs="Arial"/>
          <w:color w:val="000000"/>
          <w:sz w:val="22"/>
          <w:szCs w:val="22"/>
          <w:lang w:val="es-CO" w:bidi="es-ES"/>
        </w:rPr>
        <w:t xml:space="preserve">CONSTRUYENDO </w:t>
      </w:r>
      <w:r w:rsidRPr="00551C40">
        <w:rPr>
          <w:rFonts w:ascii="Arial" w:hAnsi="Arial" w:cs="Arial"/>
          <w:color w:val="000000"/>
          <w:sz w:val="22"/>
          <w:szCs w:val="22"/>
          <w:lang w:val="es-CO" w:bidi="es-ES"/>
        </w:rPr>
        <w:t>TIBANÁ"</w:t>
      </w:r>
      <w:r w:rsidR="00CA4E60" w:rsidRPr="00551C40">
        <w:rPr>
          <w:rFonts w:ascii="Arial" w:hAnsi="Arial" w:cs="Arial"/>
          <w:color w:val="000000"/>
          <w:sz w:val="22"/>
          <w:szCs w:val="22"/>
          <w:lang w:val="es-CO" w:bidi="es-ES"/>
        </w:rPr>
        <w:t xml:space="preserve"> (…).</w:t>
      </w:r>
    </w:p>
    <w:p w14:paraId="328B2CFC" w14:textId="204999B0" w:rsidR="00CA4E60" w:rsidRPr="00551C40" w:rsidRDefault="00CA4E60"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44005938" w14:textId="707D2D0B" w:rsidR="001D101E" w:rsidRPr="00551C40" w:rsidRDefault="00CA4E60"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551C40">
        <w:rPr>
          <w:rFonts w:ascii="Arial" w:hAnsi="Arial" w:cs="Arial"/>
          <w:color w:val="000000"/>
          <w:sz w:val="22"/>
          <w:szCs w:val="22"/>
          <w:lang w:val="es-CO" w:bidi="es-ES"/>
        </w:rPr>
        <w:t>l</w:t>
      </w:r>
      <w:r w:rsidR="001D101E" w:rsidRPr="00551C40">
        <w:rPr>
          <w:rFonts w:ascii="Arial" w:hAnsi="Arial" w:cs="Arial"/>
          <w:color w:val="000000"/>
          <w:sz w:val="22"/>
          <w:szCs w:val="22"/>
          <w:lang w:val="es-CO" w:bidi="es-ES"/>
        </w:rPr>
        <w:t xml:space="preserve">) Que mediante acuerdo </w:t>
      </w:r>
      <w:proofErr w:type="spellStart"/>
      <w:r w:rsidRPr="00551C40">
        <w:rPr>
          <w:rFonts w:ascii="Arial" w:hAnsi="Arial" w:cs="Arial"/>
          <w:color w:val="000000"/>
          <w:sz w:val="22"/>
          <w:szCs w:val="22"/>
          <w:lang w:val="es-CO" w:bidi="es-ES"/>
        </w:rPr>
        <w:t>n</w:t>
      </w:r>
      <w:r w:rsidR="001D101E" w:rsidRPr="00551C40">
        <w:rPr>
          <w:rFonts w:ascii="Arial" w:hAnsi="Arial" w:cs="Arial"/>
          <w:color w:val="000000"/>
          <w:sz w:val="22"/>
          <w:szCs w:val="22"/>
          <w:lang w:val="es-CO" w:bidi="es-ES"/>
        </w:rPr>
        <w:t>º</w:t>
      </w:r>
      <w:proofErr w:type="spellEnd"/>
      <w:r w:rsidR="001D101E" w:rsidRPr="00551C40">
        <w:rPr>
          <w:rFonts w:ascii="Arial" w:hAnsi="Arial" w:cs="Arial"/>
          <w:color w:val="000000"/>
          <w:sz w:val="22"/>
          <w:szCs w:val="22"/>
          <w:lang w:val="es-CO" w:bidi="es-ES"/>
        </w:rPr>
        <w:t xml:space="preserve"> 037 de 201</w:t>
      </w:r>
      <w:r w:rsidRPr="00551C40">
        <w:rPr>
          <w:rFonts w:ascii="Arial" w:hAnsi="Arial" w:cs="Arial"/>
          <w:color w:val="000000"/>
          <w:sz w:val="22"/>
          <w:szCs w:val="22"/>
          <w:lang w:val="es-CO" w:bidi="es-ES"/>
        </w:rPr>
        <w:t>8</w:t>
      </w:r>
      <w:r w:rsidR="001D101E" w:rsidRPr="00551C40">
        <w:rPr>
          <w:rFonts w:ascii="Arial" w:hAnsi="Arial" w:cs="Arial"/>
          <w:color w:val="000000"/>
          <w:sz w:val="22"/>
          <w:szCs w:val="22"/>
          <w:lang w:val="es-CO" w:bidi="es-ES"/>
        </w:rPr>
        <w:t>, el honorable concejo del municipio de Tibaná,</w:t>
      </w:r>
      <w:r w:rsidRPr="00551C40">
        <w:rPr>
          <w:rFonts w:ascii="Arial" w:hAnsi="Arial" w:cs="Arial"/>
          <w:color w:val="000000"/>
          <w:sz w:val="22"/>
          <w:szCs w:val="22"/>
          <w:lang w:val="es-CO" w:bidi="es-ES"/>
        </w:rPr>
        <w:t xml:space="preserve"> </w:t>
      </w:r>
      <w:r w:rsidR="001D101E" w:rsidRPr="00551C40">
        <w:rPr>
          <w:rFonts w:ascii="Arial" w:hAnsi="Arial" w:cs="Arial"/>
          <w:color w:val="000000"/>
          <w:sz w:val="22"/>
          <w:szCs w:val="22"/>
          <w:lang w:val="es-CO" w:bidi="es-ES"/>
        </w:rPr>
        <w:t xml:space="preserve">concedió facultades al alcalde municipal hasta el día 31/12/2019 </w:t>
      </w:r>
      <w:r w:rsidRPr="00551C40">
        <w:rPr>
          <w:rFonts w:ascii="Arial" w:hAnsi="Arial" w:cs="Arial"/>
          <w:color w:val="000000"/>
          <w:sz w:val="22"/>
          <w:szCs w:val="22"/>
          <w:lang w:val="es-CO" w:bidi="es-ES"/>
        </w:rPr>
        <w:t xml:space="preserve">[para] </w:t>
      </w:r>
      <w:r w:rsidR="001D101E" w:rsidRPr="00551C40">
        <w:rPr>
          <w:rFonts w:ascii="Arial" w:hAnsi="Arial" w:cs="Arial"/>
          <w:color w:val="000000"/>
          <w:sz w:val="22"/>
          <w:szCs w:val="22"/>
          <w:lang w:val="es-CO" w:bidi="es-ES"/>
        </w:rPr>
        <w:t>construir urbanización</w:t>
      </w:r>
      <w:r w:rsidR="00852388" w:rsidRPr="00551C40">
        <w:rPr>
          <w:rFonts w:ascii="Arial" w:hAnsi="Arial" w:cs="Arial"/>
          <w:color w:val="000000"/>
          <w:sz w:val="22"/>
          <w:szCs w:val="22"/>
          <w:lang w:val="es-CO" w:bidi="es-ES"/>
        </w:rPr>
        <w:t xml:space="preserve"> (sic) </w:t>
      </w:r>
      <w:r w:rsidR="001D101E" w:rsidRPr="00551C40">
        <w:rPr>
          <w:rFonts w:ascii="Arial" w:hAnsi="Arial" w:cs="Arial"/>
          <w:color w:val="000000"/>
          <w:sz w:val="22"/>
          <w:szCs w:val="22"/>
          <w:lang w:val="es-CO" w:bidi="es-ES"/>
        </w:rPr>
        <w:t xml:space="preserve">para proyecto de vivienda </w:t>
      </w:r>
      <w:r w:rsidR="00852388" w:rsidRPr="00551C40">
        <w:rPr>
          <w:rFonts w:ascii="Arial" w:hAnsi="Arial" w:cs="Arial"/>
          <w:color w:val="000000"/>
          <w:sz w:val="22"/>
          <w:szCs w:val="22"/>
          <w:lang w:val="es-CO" w:bidi="es-ES"/>
        </w:rPr>
        <w:t xml:space="preserve">de </w:t>
      </w:r>
      <w:r w:rsidR="001D101E" w:rsidRPr="00551C40">
        <w:rPr>
          <w:rFonts w:ascii="Arial" w:hAnsi="Arial" w:cs="Arial"/>
          <w:color w:val="000000"/>
          <w:sz w:val="22"/>
          <w:szCs w:val="22"/>
          <w:lang w:val="es-CO" w:bidi="es-ES"/>
        </w:rPr>
        <w:t>interés social, sob</w:t>
      </w:r>
      <w:r w:rsidR="00852388" w:rsidRPr="00551C40">
        <w:rPr>
          <w:rFonts w:ascii="Arial" w:hAnsi="Arial" w:cs="Arial"/>
          <w:color w:val="000000"/>
          <w:sz w:val="22"/>
          <w:szCs w:val="22"/>
          <w:lang w:val="es-CO" w:bidi="es-ES"/>
        </w:rPr>
        <w:t>r</w:t>
      </w:r>
      <w:r w:rsidR="001D101E" w:rsidRPr="00551C40">
        <w:rPr>
          <w:rFonts w:ascii="Arial" w:hAnsi="Arial" w:cs="Arial"/>
          <w:color w:val="000000"/>
          <w:sz w:val="22"/>
          <w:szCs w:val="22"/>
          <w:lang w:val="es-CO" w:bidi="es-ES"/>
        </w:rPr>
        <w:t>e</w:t>
      </w:r>
      <w:r w:rsidR="00852388" w:rsidRPr="00551C40">
        <w:rPr>
          <w:rFonts w:ascii="Arial" w:hAnsi="Arial" w:cs="Arial"/>
          <w:color w:val="000000"/>
          <w:sz w:val="22"/>
          <w:szCs w:val="22"/>
          <w:lang w:val="es-CO" w:bidi="es-ES"/>
        </w:rPr>
        <w:t xml:space="preserve"> el </w:t>
      </w:r>
      <w:r w:rsidR="001D101E" w:rsidRPr="00551C40">
        <w:rPr>
          <w:rFonts w:ascii="Arial" w:hAnsi="Arial" w:cs="Arial"/>
          <w:color w:val="000000"/>
          <w:sz w:val="22"/>
          <w:szCs w:val="22"/>
          <w:lang w:val="es-CO" w:bidi="es-ES"/>
        </w:rPr>
        <w:t>predio altos del viento adquirido</w:t>
      </w:r>
      <w:r w:rsidR="00852388" w:rsidRPr="00551C40">
        <w:rPr>
          <w:rFonts w:ascii="Arial" w:hAnsi="Arial" w:cs="Arial"/>
          <w:color w:val="000000"/>
          <w:sz w:val="22"/>
          <w:szCs w:val="22"/>
          <w:lang w:val="es-CO" w:bidi="es-ES"/>
        </w:rPr>
        <w:t xml:space="preserve"> para tal fin por el municipio (…)</w:t>
      </w:r>
      <w:r w:rsidR="005E4F53" w:rsidRPr="00551C40">
        <w:rPr>
          <w:rFonts w:ascii="Arial" w:hAnsi="Arial" w:cs="Arial"/>
          <w:color w:val="000000"/>
          <w:sz w:val="22"/>
          <w:szCs w:val="22"/>
          <w:lang w:val="es-CO" w:bidi="es-ES"/>
        </w:rPr>
        <w:t>.</w:t>
      </w:r>
    </w:p>
    <w:p w14:paraId="0D35F6F6" w14:textId="6A4FE77F" w:rsidR="005E4F53" w:rsidRPr="00551C40" w:rsidRDefault="005E4F53"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31619A48" w14:textId="5686B7D9" w:rsidR="005E4F53" w:rsidRPr="00551C40" w:rsidRDefault="001D101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551C40">
        <w:rPr>
          <w:rFonts w:ascii="Arial" w:hAnsi="Arial" w:cs="Arial"/>
          <w:color w:val="000000"/>
          <w:sz w:val="22"/>
          <w:szCs w:val="22"/>
          <w:lang w:val="es-CO" w:bidi="es-ES"/>
        </w:rPr>
        <w:t xml:space="preserve">m) Que mediante acuerdo </w:t>
      </w:r>
      <w:proofErr w:type="spellStart"/>
      <w:r w:rsidRPr="00551C40">
        <w:rPr>
          <w:rFonts w:ascii="Arial" w:hAnsi="Arial" w:cs="Arial"/>
          <w:color w:val="000000"/>
          <w:sz w:val="22"/>
          <w:szCs w:val="22"/>
          <w:lang w:val="es-CO" w:bidi="es-ES"/>
        </w:rPr>
        <w:t>nº</w:t>
      </w:r>
      <w:proofErr w:type="spellEnd"/>
      <w:r w:rsidRPr="00551C40">
        <w:rPr>
          <w:rFonts w:ascii="Arial" w:hAnsi="Arial" w:cs="Arial"/>
          <w:color w:val="000000"/>
          <w:sz w:val="22"/>
          <w:szCs w:val="22"/>
          <w:lang w:val="es-CO" w:bidi="es-ES"/>
        </w:rPr>
        <w:t xml:space="preserve"> 002 de 2020, el honorable concejo del municipio de Tibaná,</w:t>
      </w:r>
      <w:r w:rsidR="005E4F53" w:rsidRPr="00551C40">
        <w:rPr>
          <w:rFonts w:ascii="Arial" w:hAnsi="Arial" w:cs="Arial"/>
          <w:color w:val="000000"/>
          <w:sz w:val="22"/>
          <w:szCs w:val="22"/>
          <w:lang w:val="es-CO" w:bidi="es-ES"/>
        </w:rPr>
        <w:t xml:space="preserve"> </w:t>
      </w:r>
      <w:r w:rsidRPr="00551C40">
        <w:rPr>
          <w:rFonts w:ascii="Arial" w:hAnsi="Arial" w:cs="Arial"/>
          <w:color w:val="000000"/>
          <w:sz w:val="22"/>
          <w:szCs w:val="22"/>
          <w:lang w:val="es-CO" w:bidi="es-ES"/>
        </w:rPr>
        <w:t xml:space="preserve">concedió facultades al </w:t>
      </w:r>
      <w:r w:rsidR="005E4F53" w:rsidRPr="00551C40">
        <w:rPr>
          <w:rFonts w:ascii="Arial" w:hAnsi="Arial" w:cs="Arial"/>
          <w:color w:val="000000"/>
          <w:sz w:val="22"/>
          <w:szCs w:val="22"/>
          <w:lang w:val="es-CO" w:bidi="es-ES"/>
        </w:rPr>
        <w:t xml:space="preserve">acalde </w:t>
      </w:r>
      <w:r w:rsidRPr="00551C40">
        <w:rPr>
          <w:rFonts w:ascii="Arial" w:hAnsi="Arial" w:cs="Arial"/>
          <w:color w:val="000000"/>
          <w:sz w:val="22"/>
          <w:szCs w:val="22"/>
          <w:lang w:val="es-CO" w:bidi="es-ES"/>
        </w:rPr>
        <w:t>municipal hasta el día 31</w:t>
      </w:r>
      <w:r w:rsidR="005E4F53" w:rsidRPr="00551C40">
        <w:rPr>
          <w:rFonts w:ascii="Arial" w:hAnsi="Arial" w:cs="Arial"/>
          <w:color w:val="000000"/>
          <w:sz w:val="22"/>
          <w:szCs w:val="22"/>
          <w:lang w:val="es-CO" w:bidi="es-ES"/>
        </w:rPr>
        <w:t>/</w:t>
      </w:r>
      <w:r w:rsidRPr="00551C40">
        <w:rPr>
          <w:rFonts w:ascii="Arial" w:hAnsi="Arial" w:cs="Arial"/>
          <w:color w:val="000000"/>
          <w:sz w:val="22"/>
          <w:szCs w:val="22"/>
          <w:lang w:val="es-CO" w:bidi="es-ES"/>
        </w:rPr>
        <w:t>12/2020, para continuar con la</w:t>
      </w:r>
      <w:r w:rsidR="005E4F53" w:rsidRPr="00551C40">
        <w:rPr>
          <w:rFonts w:ascii="Arial" w:hAnsi="Arial" w:cs="Arial"/>
          <w:color w:val="000000"/>
          <w:sz w:val="22"/>
          <w:szCs w:val="22"/>
          <w:lang w:val="es-CO" w:bidi="es-ES"/>
        </w:rPr>
        <w:t xml:space="preserve"> </w:t>
      </w:r>
      <w:r w:rsidRPr="00551C40">
        <w:rPr>
          <w:rFonts w:ascii="Arial" w:hAnsi="Arial" w:cs="Arial"/>
          <w:color w:val="000000"/>
          <w:sz w:val="22"/>
          <w:szCs w:val="22"/>
          <w:lang w:val="es-CO" w:bidi="es-ES"/>
        </w:rPr>
        <w:t>construcción de una urbanización par</w:t>
      </w:r>
      <w:r w:rsidR="005E4F53" w:rsidRPr="00551C40">
        <w:rPr>
          <w:rFonts w:ascii="Arial" w:hAnsi="Arial" w:cs="Arial"/>
          <w:color w:val="000000"/>
          <w:sz w:val="22"/>
          <w:szCs w:val="22"/>
          <w:lang w:val="es-CO" w:bidi="es-ES"/>
        </w:rPr>
        <w:t xml:space="preserve">a </w:t>
      </w:r>
      <w:r w:rsidRPr="00551C40">
        <w:rPr>
          <w:rFonts w:ascii="Arial" w:hAnsi="Arial" w:cs="Arial"/>
          <w:color w:val="000000"/>
          <w:sz w:val="22"/>
          <w:szCs w:val="22"/>
          <w:lang w:val="es-CO" w:bidi="es-ES"/>
        </w:rPr>
        <w:t>proyecto de vivienda de interés social, sobre el</w:t>
      </w:r>
      <w:r w:rsidR="005E4F53" w:rsidRPr="00551C40">
        <w:rPr>
          <w:rFonts w:ascii="Arial" w:hAnsi="Arial" w:cs="Arial"/>
          <w:color w:val="000000"/>
          <w:sz w:val="22"/>
          <w:szCs w:val="22"/>
          <w:lang w:val="es-CO" w:bidi="es-ES"/>
        </w:rPr>
        <w:t xml:space="preserve"> </w:t>
      </w:r>
      <w:r w:rsidRPr="00551C40">
        <w:rPr>
          <w:rFonts w:ascii="Arial" w:hAnsi="Arial" w:cs="Arial"/>
          <w:color w:val="000000"/>
          <w:sz w:val="22"/>
          <w:szCs w:val="22"/>
          <w:lang w:val="es-CO" w:bidi="es-ES"/>
        </w:rPr>
        <w:t>predio altos del viento adq</w:t>
      </w:r>
      <w:r w:rsidR="005E4F53" w:rsidRPr="00551C40">
        <w:rPr>
          <w:rFonts w:ascii="Arial" w:hAnsi="Arial" w:cs="Arial"/>
          <w:color w:val="000000"/>
          <w:sz w:val="22"/>
          <w:szCs w:val="22"/>
          <w:lang w:val="es-CO" w:bidi="es-ES"/>
        </w:rPr>
        <w:t xml:space="preserve">uirido para tal fin por el municipio (…). </w:t>
      </w:r>
    </w:p>
    <w:p w14:paraId="0947E3CA" w14:textId="25FA7BB3" w:rsidR="005E4F53" w:rsidRPr="00551C40" w:rsidRDefault="005E4F53"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6C4B6D0E" w14:textId="262D8AD2" w:rsidR="001D101E" w:rsidRPr="00551C40" w:rsidRDefault="00551C40"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551C40">
        <w:rPr>
          <w:rFonts w:ascii="Arial" w:hAnsi="Arial" w:cs="Arial"/>
          <w:color w:val="000000"/>
          <w:sz w:val="22"/>
          <w:szCs w:val="22"/>
          <w:lang w:val="es-CO" w:bidi="es-ES"/>
        </w:rPr>
        <w:t>n</w:t>
      </w:r>
      <w:r w:rsidR="001D101E" w:rsidRPr="00551C40">
        <w:rPr>
          <w:rFonts w:ascii="Arial" w:hAnsi="Arial" w:cs="Arial"/>
          <w:color w:val="000000"/>
          <w:sz w:val="22"/>
          <w:szCs w:val="22"/>
          <w:lang w:val="es-CO" w:bidi="es-ES"/>
        </w:rPr>
        <w:t xml:space="preserve">) Se requiere </w:t>
      </w:r>
      <w:r w:rsidR="001D101E" w:rsidRPr="005235B8">
        <w:rPr>
          <w:rFonts w:ascii="Arial" w:hAnsi="Arial" w:cs="Arial"/>
          <w:color w:val="000000"/>
          <w:sz w:val="22"/>
          <w:szCs w:val="22"/>
          <w:u w:val="single"/>
          <w:lang w:val="es-CO" w:bidi="es-ES"/>
        </w:rPr>
        <w:t>ampliar las facultades oto</w:t>
      </w:r>
      <w:r w:rsidRPr="005235B8">
        <w:rPr>
          <w:rFonts w:ascii="Arial" w:hAnsi="Arial" w:cs="Arial"/>
          <w:color w:val="000000"/>
          <w:sz w:val="22"/>
          <w:szCs w:val="22"/>
          <w:u w:val="single"/>
          <w:lang w:val="es-CO" w:bidi="es-ES"/>
        </w:rPr>
        <w:t>rgadas</w:t>
      </w:r>
      <w:r w:rsidRPr="00551C40">
        <w:rPr>
          <w:rFonts w:ascii="Arial" w:hAnsi="Arial" w:cs="Arial"/>
          <w:color w:val="000000"/>
          <w:sz w:val="22"/>
          <w:szCs w:val="22"/>
          <w:lang w:val="es-CO" w:bidi="es-ES"/>
        </w:rPr>
        <w:t xml:space="preserve"> al </w:t>
      </w:r>
      <w:r w:rsidR="001D101E" w:rsidRPr="00551C40">
        <w:rPr>
          <w:rFonts w:ascii="Arial" w:hAnsi="Arial" w:cs="Arial"/>
          <w:color w:val="000000"/>
          <w:sz w:val="22"/>
          <w:szCs w:val="22"/>
          <w:lang w:val="es-CO" w:bidi="es-ES"/>
        </w:rPr>
        <w:t xml:space="preserve">alcalde municipal de Tibaná </w:t>
      </w:r>
      <w:r w:rsidRPr="00551C40">
        <w:rPr>
          <w:rFonts w:ascii="Arial" w:hAnsi="Arial" w:cs="Arial"/>
          <w:color w:val="000000"/>
          <w:sz w:val="22"/>
          <w:szCs w:val="22"/>
          <w:lang w:val="es-CO" w:bidi="es-ES"/>
        </w:rPr>
        <w:t>(…)</w:t>
      </w:r>
      <w:r w:rsidR="001D101E" w:rsidRPr="00551C40">
        <w:rPr>
          <w:rFonts w:ascii="Arial" w:hAnsi="Arial" w:cs="Arial"/>
          <w:color w:val="000000"/>
          <w:sz w:val="22"/>
          <w:szCs w:val="22"/>
          <w:lang w:val="es-CO" w:bidi="es-ES"/>
        </w:rPr>
        <w:t>”</w:t>
      </w:r>
      <w:r w:rsidR="001D101E" w:rsidRPr="00551C40">
        <w:rPr>
          <w:rStyle w:val="Refdenotaalpie"/>
          <w:rFonts w:ascii="Arial" w:hAnsi="Arial" w:cs="Arial"/>
          <w:color w:val="000000"/>
          <w:sz w:val="22"/>
          <w:szCs w:val="22"/>
          <w:lang w:val="es-CO" w:bidi="es-ES"/>
        </w:rPr>
        <w:footnoteReference w:id="17"/>
      </w:r>
      <w:r w:rsidR="001D101E" w:rsidRPr="00551C40">
        <w:rPr>
          <w:rFonts w:ascii="Arial" w:hAnsi="Arial" w:cs="Arial"/>
          <w:color w:val="000000"/>
          <w:sz w:val="22"/>
          <w:szCs w:val="22"/>
          <w:lang w:val="es-CO" w:bidi="es-ES"/>
        </w:rPr>
        <w:t>.</w:t>
      </w:r>
    </w:p>
    <w:p w14:paraId="49B07A00" w14:textId="12453F53" w:rsidR="00247E01" w:rsidRDefault="00247E01"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059B0728" w14:textId="2E242056" w:rsidR="00247E01" w:rsidRDefault="00247E01"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1</w:t>
      </w:r>
      <w:r w:rsidR="00F970DF">
        <w:rPr>
          <w:rFonts w:ascii="Arial" w:hAnsi="Arial" w:cs="Arial"/>
          <w:color w:val="000000"/>
          <w:sz w:val="24"/>
          <w:szCs w:val="24"/>
          <w:lang w:val="es-CO" w:bidi="es-ES"/>
        </w:rPr>
        <w:t>7</w:t>
      </w:r>
      <w:r>
        <w:rPr>
          <w:rFonts w:ascii="Arial" w:hAnsi="Arial" w:cs="Arial"/>
          <w:color w:val="000000"/>
          <w:sz w:val="24"/>
          <w:szCs w:val="24"/>
          <w:lang w:val="es-CO" w:bidi="es-ES"/>
        </w:rPr>
        <w:t xml:space="preserve">.2. </w:t>
      </w:r>
      <w:r w:rsidR="00551C40">
        <w:rPr>
          <w:rFonts w:ascii="Arial" w:hAnsi="Arial" w:cs="Arial"/>
          <w:color w:val="000000"/>
          <w:sz w:val="24"/>
          <w:szCs w:val="24"/>
          <w:lang w:val="es-CO" w:bidi="es-ES"/>
        </w:rPr>
        <w:t xml:space="preserve">En la parte resolutiva del acto administrativo demandado, el Concejo municipal de Tibaná dispuso: </w:t>
      </w:r>
    </w:p>
    <w:p w14:paraId="5ACADB49" w14:textId="334B5E4E" w:rsidR="002D0C4E" w:rsidRPr="004D744C" w:rsidRDefault="002D0C4E" w:rsidP="000000DE">
      <w:pPr>
        <w:pStyle w:val="Prrafodelista"/>
        <w:tabs>
          <w:tab w:val="left" w:pos="0"/>
        </w:tabs>
        <w:spacing w:line="276" w:lineRule="auto"/>
        <w:ind w:left="0" w:right="-233"/>
        <w:contextualSpacing/>
        <w:jc w:val="both"/>
        <w:rPr>
          <w:rFonts w:ascii="Arial" w:hAnsi="Arial" w:cs="Arial"/>
          <w:color w:val="000000"/>
          <w:sz w:val="22"/>
          <w:szCs w:val="22"/>
          <w:lang w:val="es-CO" w:bidi="es-ES"/>
        </w:rPr>
      </w:pPr>
    </w:p>
    <w:p w14:paraId="7ACD8935" w14:textId="78EE041E" w:rsidR="002D0C4E" w:rsidRPr="004D744C" w:rsidRDefault="002D0C4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4D744C">
        <w:rPr>
          <w:rFonts w:ascii="Arial" w:hAnsi="Arial" w:cs="Arial"/>
          <w:color w:val="000000"/>
          <w:sz w:val="22"/>
          <w:szCs w:val="22"/>
          <w:lang w:val="es-CO" w:bidi="es-ES"/>
        </w:rPr>
        <w:t>“ARTICULO 1</w:t>
      </w:r>
      <w:r w:rsidR="005235B8" w:rsidRPr="004D744C">
        <w:rPr>
          <w:rFonts w:ascii="Arial" w:hAnsi="Arial" w:cs="Arial"/>
          <w:color w:val="000000"/>
          <w:sz w:val="22"/>
          <w:szCs w:val="22"/>
          <w:lang w:val="es-CO" w:bidi="es-ES"/>
        </w:rPr>
        <w:t xml:space="preserve">°: Facultar </w:t>
      </w:r>
      <w:r w:rsidRPr="004D744C">
        <w:rPr>
          <w:rFonts w:ascii="Arial" w:hAnsi="Arial" w:cs="Arial"/>
          <w:color w:val="000000"/>
          <w:sz w:val="22"/>
          <w:szCs w:val="22"/>
          <w:lang w:val="es-CO" w:bidi="es-ES"/>
        </w:rPr>
        <w:t xml:space="preserve">al ejecutivo </w:t>
      </w:r>
      <w:r w:rsidR="005235B8" w:rsidRPr="004D744C">
        <w:rPr>
          <w:rFonts w:ascii="Arial" w:hAnsi="Arial" w:cs="Arial"/>
          <w:color w:val="000000"/>
          <w:sz w:val="22"/>
          <w:szCs w:val="22"/>
          <w:lang w:val="es-CO" w:bidi="es-ES"/>
        </w:rPr>
        <w:t xml:space="preserve">municipal </w:t>
      </w:r>
      <w:r w:rsidRPr="004D744C">
        <w:rPr>
          <w:rFonts w:ascii="Arial" w:hAnsi="Arial" w:cs="Arial"/>
          <w:color w:val="000000"/>
          <w:sz w:val="22"/>
          <w:szCs w:val="22"/>
          <w:lang w:val="es-CO" w:bidi="es-ES"/>
        </w:rPr>
        <w:t>de Ti</w:t>
      </w:r>
      <w:r w:rsidR="005235B8" w:rsidRPr="004D744C">
        <w:rPr>
          <w:rFonts w:ascii="Arial" w:hAnsi="Arial" w:cs="Arial"/>
          <w:color w:val="000000"/>
          <w:sz w:val="22"/>
          <w:szCs w:val="22"/>
          <w:lang w:val="es-CO" w:bidi="es-ES"/>
        </w:rPr>
        <w:t>b</w:t>
      </w:r>
      <w:r w:rsidRPr="004D744C">
        <w:rPr>
          <w:rFonts w:ascii="Arial" w:hAnsi="Arial" w:cs="Arial"/>
          <w:color w:val="000000"/>
          <w:sz w:val="22"/>
          <w:szCs w:val="22"/>
          <w:lang w:val="es-CO" w:bidi="es-ES"/>
        </w:rPr>
        <w:t xml:space="preserve">aná </w:t>
      </w:r>
      <w:r w:rsidRPr="004D744C">
        <w:rPr>
          <w:rFonts w:ascii="Arial" w:hAnsi="Arial" w:cs="Arial"/>
          <w:color w:val="000000"/>
          <w:sz w:val="22"/>
          <w:szCs w:val="22"/>
          <w:u w:val="single"/>
          <w:lang w:val="es-CO" w:bidi="es-ES"/>
        </w:rPr>
        <w:t>para que continúe</w:t>
      </w:r>
      <w:r w:rsidRPr="004D744C">
        <w:rPr>
          <w:rFonts w:ascii="Arial" w:hAnsi="Arial" w:cs="Arial"/>
          <w:color w:val="000000"/>
          <w:sz w:val="22"/>
          <w:szCs w:val="22"/>
          <w:lang w:val="es-CO" w:bidi="es-ES"/>
        </w:rPr>
        <w:t xml:space="preserve"> con </w:t>
      </w:r>
      <w:r w:rsidR="005235B8" w:rsidRPr="004D744C">
        <w:rPr>
          <w:rFonts w:ascii="Arial" w:hAnsi="Arial" w:cs="Arial"/>
          <w:color w:val="000000"/>
          <w:sz w:val="22"/>
          <w:szCs w:val="22"/>
          <w:lang w:val="es-CO" w:bidi="es-ES"/>
        </w:rPr>
        <w:t>l</w:t>
      </w:r>
      <w:r w:rsidRPr="004D744C">
        <w:rPr>
          <w:rFonts w:ascii="Arial" w:hAnsi="Arial" w:cs="Arial"/>
          <w:color w:val="000000"/>
          <w:sz w:val="22"/>
          <w:szCs w:val="22"/>
          <w:lang w:val="es-CO" w:bidi="es-ES"/>
        </w:rPr>
        <w:t>a construcción de una urbanización para proyecto de vivienda de interés social, sobre el pr</w:t>
      </w:r>
      <w:r w:rsidR="005235B8" w:rsidRPr="004D744C">
        <w:rPr>
          <w:rFonts w:ascii="Arial" w:hAnsi="Arial" w:cs="Arial"/>
          <w:color w:val="000000"/>
          <w:sz w:val="22"/>
          <w:szCs w:val="22"/>
          <w:lang w:val="es-CO" w:bidi="es-ES"/>
        </w:rPr>
        <w:t>e</w:t>
      </w:r>
      <w:r w:rsidRPr="004D744C">
        <w:rPr>
          <w:rFonts w:ascii="Arial" w:hAnsi="Arial" w:cs="Arial"/>
          <w:color w:val="000000"/>
          <w:sz w:val="22"/>
          <w:szCs w:val="22"/>
          <w:lang w:val="es-CO" w:bidi="es-ES"/>
        </w:rPr>
        <w:t>dio denominado Altos del Viento</w:t>
      </w:r>
      <w:r w:rsidR="005235B8" w:rsidRPr="004D744C">
        <w:rPr>
          <w:rFonts w:ascii="Arial" w:hAnsi="Arial" w:cs="Arial"/>
          <w:color w:val="000000"/>
          <w:sz w:val="22"/>
          <w:szCs w:val="22"/>
          <w:lang w:val="es-CO" w:bidi="es-ES"/>
        </w:rPr>
        <w:t xml:space="preserve"> </w:t>
      </w:r>
      <w:r w:rsidRPr="004D744C">
        <w:rPr>
          <w:rFonts w:ascii="Arial" w:hAnsi="Arial" w:cs="Arial"/>
          <w:color w:val="000000"/>
          <w:sz w:val="22"/>
          <w:szCs w:val="22"/>
          <w:lang w:val="es-CO" w:bidi="es-ES"/>
        </w:rPr>
        <w:t>adquirido para tal fin por el munici</w:t>
      </w:r>
      <w:r w:rsidR="005235B8" w:rsidRPr="004D744C">
        <w:rPr>
          <w:rFonts w:ascii="Arial" w:hAnsi="Arial" w:cs="Arial"/>
          <w:color w:val="000000"/>
          <w:sz w:val="22"/>
          <w:szCs w:val="22"/>
          <w:lang w:val="es-CO" w:bidi="es-ES"/>
        </w:rPr>
        <w:t>p</w:t>
      </w:r>
      <w:r w:rsidRPr="004D744C">
        <w:rPr>
          <w:rFonts w:ascii="Arial" w:hAnsi="Arial" w:cs="Arial"/>
          <w:color w:val="000000"/>
          <w:sz w:val="22"/>
          <w:szCs w:val="22"/>
          <w:lang w:val="es-CO" w:bidi="es-ES"/>
        </w:rPr>
        <w:t>io, para seleccionar un inversionista,</w:t>
      </w:r>
      <w:r w:rsidR="000F0B3C" w:rsidRPr="004D744C">
        <w:rPr>
          <w:rFonts w:ascii="Arial" w:hAnsi="Arial" w:cs="Arial"/>
          <w:color w:val="000000"/>
          <w:sz w:val="22"/>
          <w:szCs w:val="22"/>
          <w:lang w:val="es-CO" w:bidi="es-ES"/>
        </w:rPr>
        <w:t xml:space="preserve"> </w:t>
      </w:r>
      <w:r w:rsidRPr="004D744C">
        <w:rPr>
          <w:rFonts w:ascii="Arial" w:hAnsi="Arial" w:cs="Arial"/>
          <w:color w:val="000000"/>
          <w:sz w:val="22"/>
          <w:szCs w:val="22"/>
          <w:lang w:val="es-CO" w:bidi="es-ES"/>
        </w:rPr>
        <w:t>cooperante, constructor para la conformación de la u</w:t>
      </w:r>
      <w:r w:rsidR="000F0B3C" w:rsidRPr="004D744C">
        <w:rPr>
          <w:rFonts w:ascii="Arial" w:hAnsi="Arial" w:cs="Arial"/>
          <w:color w:val="000000"/>
          <w:sz w:val="22"/>
          <w:szCs w:val="22"/>
          <w:lang w:val="es-CO" w:bidi="es-ES"/>
        </w:rPr>
        <w:t xml:space="preserve">nión </w:t>
      </w:r>
      <w:r w:rsidRPr="004D744C">
        <w:rPr>
          <w:rFonts w:ascii="Arial" w:hAnsi="Arial" w:cs="Arial"/>
          <w:color w:val="000000"/>
          <w:sz w:val="22"/>
          <w:szCs w:val="22"/>
          <w:lang w:val="es-CO" w:bidi="es-ES"/>
        </w:rPr>
        <w:t>temporal que desarrolla el proyecto de vivienda de interés social urbano del municipi</w:t>
      </w:r>
      <w:r w:rsidR="000F0B3C" w:rsidRPr="004D744C">
        <w:rPr>
          <w:rFonts w:ascii="Arial" w:hAnsi="Arial" w:cs="Arial"/>
          <w:color w:val="000000"/>
          <w:sz w:val="22"/>
          <w:szCs w:val="22"/>
          <w:lang w:val="es-CO" w:bidi="es-ES"/>
        </w:rPr>
        <w:t xml:space="preserve">o </w:t>
      </w:r>
      <w:r w:rsidRPr="004D744C">
        <w:rPr>
          <w:rFonts w:ascii="Arial" w:hAnsi="Arial" w:cs="Arial"/>
          <w:color w:val="000000"/>
          <w:sz w:val="22"/>
          <w:szCs w:val="22"/>
          <w:lang w:val="es-CO" w:bidi="es-ES"/>
        </w:rPr>
        <w:t>de Tibaná y para que entregue como subsidio e</w:t>
      </w:r>
      <w:r w:rsidR="000F0B3C" w:rsidRPr="004D744C">
        <w:rPr>
          <w:rFonts w:ascii="Arial" w:hAnsi="Arial" w:cs="Arial"/>
          <w:color w:val="000000"/>
          <w:sz w:val="22"/>
          <w:szCs w:val="22"/>
          <w:lang w:val="es-CO" w:bidi="es-ES"/>
        </w:rPr>
        <w:t xml:space="preserve">l </w:t>
      </w:r>
      <w:r w:rsidRPr="004D744C">
        <w:rPr>
          <w:rFonts w:ascii="Arial" w:hAnsi="Arial" w:cs="Arial"/>
          <w:color w:val="000000"/>
          <w:sz w:val="22"/>
          <w:szCs w:val="22"/>
          <w:lang w:val="es-CO" w:bidi="es-ES"/>
        </w:rPr>
        <w:t>valor correspondiente a cada lote urbanizado a los beneficiarios que cumplan con los requisitos establecidos po</w:t>
      </w:r>
      <w:r w:rsidR="000F0B3C" w:rsidRPr="004D744C">
        <w:rPr>
          <w:rFonts w:ascii="Arial" w:hAnsi="Arial" w:cs="Arial"/>
          <w:color w:val="000000"/>
          <w:sz w:val="22"/>
          <w:szCs w:val="22"/>
          <w:lang w:val="es-CO" w:bidi="es-ES"/>
        </w:rPr>
        <w:t xml:space="preserve">r </w:t>
      </w:r>
      <w:r w:rsidRPr="004D744C">
        <w:rPr>
          <w:rFonts w:ascii="Arial" w:hAnsi="Arial" w:cs="Arial"/>
          <w:color w:val="000000"/>
          <w:sz w:val="22"/>
          <w:szCs w:val="22"/>
          <w:lang w:val="es-CO" w:bidi="es-ES"/>
        </w:rPr>
        <w:t>el Ministerio de Vivienda, Ciudad y Territorio.</w:t>
      </w:r>
    </w:p>
    <w:p w14:paraId="0D56EFED" w14:textId="5B3F0301" w:rsidR="002D0C4E" w:rsidRPr="004D744C" w:rsidRDefault="002D0C4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476BAAD6" w14:textId="5B249E5C" w:rsidR="002D0C4E" w:rsidRPr="004D744C" w:rsidRDefault="002D0C4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4D744C">
        <w:rPr>
          <w:rFonts w:ascii="Arial" w:hAnsi="Arial" w:cs="Arial"/>
          <w:color w:val="000000"/>
          <w:sz w:val="22"/>
          <w:szCs w:val="22"/>
          <w:lang w:val="es-CO" w:bidi="es-ES"/>
        </w:rPr>
        <w:lastRenderedPageBreak/>
        <w:t>ARTICULO 2º: Los beneficiarios de los lotes entregados por el municipio para el proy</w:t>
      </w:r>
      <w:r w:rsidR="000F0B3C" w:rsidRPr="004D744C">
        <w:rPr>
          <w:rFonts w:ascii="Arial" w:hAnsi="Arial" w:cs="Arial"/>
          <w:color w:val="000000"/>
          <w:sz w:val="22"/>
          <w:szCs w:val="22"/>
          <w:lang w:val="es-CO" w:bidi="es-ES"/>
        </w:rPr>
        <w:t>ec</w:t>
      </w:r>
      <w:r w:rsidRPr="004D744C">
        <w:rPr>
          <w:rFonts w:ascii="Arial" w:hAnsi="Arial" w:cs="Arial"/>
          <w:color w:val="000000"/>
          <w:sz w:val="22"/>
          <w:szCs w:val="22"/>
          <w:lang w:val="es-CO" w:bidi="es-ES"/>
        </w:rPr>
        <w:t xml:space="preserve">to de vivienda de interés social deben estar inscritos en la base de datos del </w:t>
      </w:r>
      <w:proofErr w:type="spellStart"/>
      <w:r w:rsidRPr="004D744C">
        <w:rPr>
          <w:rFonts w:ascii="Arial" w:hAnsi="Arial" w:cs="Arial"/>
          <w:color w:val="000000"/>
          <w:sz w:val="22"/>
          <w:szCs w:val="22"/>
          <w:lang w:val="es-CO" w:bidi="es-ES"/>
        </w:rPr>
        <w:t>SISBEN</w:t>
      </w:r>
      <w:proofErr w:type="spellEnd"/>
      <w:r w:rsidRPr="004D744C">
        <w:rPr>
          <w:rFonts w:ascii="Arial" w:hAnsi="Arial" w:cs="Arial"/>
          <w:color w:val="000000"/>
          <w:sz w:val="22"/>
          <w:szCs w:val="22"/>
          <w:lang w:val="es-CO" w:bidi="es-ES"/>
        </w:rPr>
        <w:t xml:space="preserve"> del Municipio de Tibaná.</w:t>
      </w:r>
    </w:p>
    <w:p w14:paraId="01B02F3C" w14:textId="5F10C94B" w:rsidR="002D0C4E" w:rsidRPr="004D744C" w:rsidRDefault="002D0C4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6D6DA78E" w14:textId="76EB8B95" w:rsidR="002D0C4E" w:rsidRDefault="002D0C4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4D744C">
        <w:rPr>
          <w:rFonts w:ascii="Arial" w:hAnsi="Arial" w:cs="Arial"/>
          <w:color w:val="000000"/>
          <w:sz w:val="22"/>
          <w:szCs w:val="22"/>
          <w:lang w:val="es-CO" w:bidi="es-ES"/>
        </w:rPr>
        <w:t>ARTICULO 3º: Las facultades concebidas en el presente acuerdo rigen a partir de la fecha de su sanción y publicación y hasta el (31) de diciembre de dos mil veinte y uno (2021)”</w:t>
      </w:r>
      <w:r w:rsidR="000C0515" w:rsidRPr="004D744C">
        <w:rPr>
          <w:rStyle w:val="Refdenotaalpie"/>
          <w:rFonts w:ascii="Arial" w:hAnsi="Arial" w:cs="Arial"/>
          <w:color w:val="000000"/>
          <w:sz w:val="22"/>
          <w:szCs w:val="22"/>
          <w:lang w:val="es-CO" w:bidi="es-ES"/>
        </w:rPr>
        <w:footnoteReference w:id="18"/>
      </w:r>
      <w:r w:rsidRPr="004D744C">
        <w:rPr>
          <w:rFonts w:ascii="Arial" w:hAnsi="Arial" w:cs="Arial"/>
          <w:color w:val="000000"/>
          <w:sz w:val="22"/>
          <w:szCs w:val="22"/>
          <w:lang w:val="es-CO" w:bidi="es-ES"/>
        </w:rPr>
        <w:t>.</w:t>
      </w:r>
    </w:p>
    <w:p w14:paraId="4556DBB9" w14:textId="30382724" w:rsidR="004D744C" w:rsidRDefault="004D744C"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45E82694" w14:textId="40BE294F" w:rsidR="00ED251A" w:rsidRDefault="00551C40"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1</w:t>
      </w:r>
      <w:r w:rsidR="00E81111">
        <w:rPr>
          <w:rFonts w:ascii="Arial" w:hAnsi="Arial" w:cs="Arial"/>
          <w:color w:val="000000"/>
          <w:sz w:val="24"/>
          <w:szCs w:val="24"/>
          <w:lang w:val="es-CO" w:bidi="es-ES"/>
        </w:rPr>
        <w:t>8</w:t>
      </w:r>
      <w:r>
        <w:rPr>
          <w:rFonts w:ascii="Arial" w:hAnsi="Arial" w:cs="Arial"/>
          <w:color w:val="000000"/>
          <w:sz w:val="24"/>
          <w:szCs w:val="24"/>
          <w:lang w:val="es-CO" w:bidi="es-ES"/>
        </w:rPr>
        <w:t>.</w:t>
      </w:r>
      <w:r w:rsidR="000209D7">
        <w:rPr>
          <w:rFonts w:ascii="Arial" w:hAnsi="Arial" w:cs="Arial"/>
          <w:color w:val="000000"/>
          <w:sz w:val="24"/>
          <w:szCs w:val="24"/>
          <w:lang w:val="es-CO" w:bidi="es-ES"/>
        </w:rPr>
        <w:t xml:space="preserve"> </w:t>
      </w:r>
      <w:r w:rsidR="001D3F6C">
        <w:rPr>
          <w:rFonts w:ascii="Arial" w:hAnsi="Arial" w:cs="Arial"/>
          <w:color w:val="000000"/>
          <w:sz w:val="24"/>
          <w:szCs w:val="24"/>
          <w:lang w:val="es-CO" w:bidi="es-ES"/>
        </w:rPr>
        <w:t xml:space="preserve">El Acuerdo No. 001 de 19 de febrero de 2021 fue </w:t>
      </w:r>
      <w:r w:rsidR="00ED251A">
        <w:rPr>
          <w:rFonts w:ascii="Arial" w:hAnsi="Arial" w:cs="Arial"/>
          <w:color w:val="000000"/>
          <w:sz w:val="24"/>
          <w:szCs w:val="24"/>
          <w:lang w:val="es-CO" w:bidi="es-ES"/>
        </w:rPr>
        <w:t>objeto de dos debates los días 9 y 13 de febrero de 2021</w:t>
      </w:r>
      <w:r w:rsidR="00ED251A">
        <w:rPr>
          <w:rStyle w:val="Refdenotaalpie"/>
          <w:rFonts w:ascii="Arial" w:hAnsi="Arial" w:cs="Arial"/>
          <w:color w:val="000000"/>
          <w:sz w:val="24"/>
          <w:szCs w:val="24"/>
          <w:lang w:val="es-CO" w:bidi="es-ES"/>
        </w:rPr>
        <w:footnoteReference w:id="19"/>
      </w:r>
      <w:r w:rsidR="001236C7">
        <w:rPr>
          <w:rFonts w:ascii="Arial" w:hAnsi="Arial" w:cs="Arial"/>
          <w:color w:val="000000"/>
          <w:sz w:val="24"/>
          <w:szCs w:val="24"/>
          <w:lang w:val="es-CO" w:bidi="es-ES"/>
        </w:rPr>
        <w:t>, siendo debidamente sancionado por el Alcalde</w:t>
      </w:r>
      <w:r w:rsidR="001236C7">
        <w:rPr>
          <w:rStyle w:val="Refdenotaalpie"/>
          <w:rFonts w:ascii="Arial" w:hAnsi="Arial" w:cs="Arial"/>
          <w:color w:val="000000"/>
          <w:sz w:val="24"/>
          <w:szCs w:val="24"/>
          <w:lang w:val="es-CO" w:bidi="es-ES"/>
        </w:rPr>
        <w:footnoteReference w:id="20"/>
      </w:r>
      <w:r w:rsidR="001236C7">
        <w:rPr>
          <w:rFonts w:ascii="Arial" w:hAnsi="Arial" w:cs="Arial"/>
          <w:color w:val="000000"/>
          <w:sz w:val="24"/>
          <w:szCs w:val="24"/>
          <w:lang w:val="es-CO" w:bidi="es-ES"/>
        </w:rPr>
        <w:t xml:space="preserve"> y publicado en la carte</w:t>
      </w:r>
      <w:r w:rsidR="005C11B9">
        <w:rPr>
          <w:rFonts w:ascii="Arial" w:hAnsi="Arial" w:cs="Arial"/>
          <w:color w:val="000000"/>
          <w:sz w:val="24"/>
          <w:szCs w:val="24"/>
          <w:lang w:val="es-CO" w:bidi="es-ES"/>
        </w:rPr>
        <w:t>lera del municipio el 22 de febrero del mismo mes y año</w:t>
      </w:r>
      <w:r w:rsidR="005C11B9">
        <w:rPr>
          <w:rStyle w:val="Refdenotaalpie"/>
          <w:rFonts w:ascii="Arial" w:hAnsi="Arial" w:cs="Arial"/>
          <w:color w:val="000000"/>
          <w:sz w:val="24"/>
          <w:szCs w:val="24"/>
          <w:lang w:val="es-CO" w:bidi="es-ES"/>
        </w:rPr>
        <w:footnoteReference w:id="21"/>
      </w:r>
      <w:r w:rsidR="00ED251A">
        <w:rPr>
          <w:rFonts w:ascii="Arial" w:hAnsi="Arial" w:cs="Arial"/>
          <w:color w:val="000000"/>
          <w:sz w:val="24"/>
          <w:szCs w:val="24"/>
          <w:lang w:val="es-CO" w:bidi="es-ES"/>
        </w:rPr>
        <w:t>.</w:t>
      </w:r>
    </w:p>
    <w:p w14:paraId="35D0B9D6" w14:textId="23762321" w:rsidR="0023241F" w:rsidRDefault="0023241F"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4E14D67C" w14:textId="69BE3174" w:rsidR="006B3510" w:rsidRDefault="0023241F"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1</w:t>
      </w:r>
      <w:r w:rsidR="008A2D3D">
        <w:rPr>
          <w:rFonts w:ascii="Arial" w:hAnsi="Arial" w:cs="Arial"/>
          <w:color w:val="000000"/>
          <w:sz w:val="24"/>
          <w:szCs w:val="24"/>
          <w:lang w:val="es-CO" w:bidi="es-ES"/>
        </w:rPr>
        <w:t>9</w:t>
      </w:r>
      <w:r>
        <w:rPr>
          <w:rFonts w:ascii="Arial" w:hAnsi="Arial" w:cs="Arial"/>
          <w:color w:val="000000"/>
          <w:sz w:val="24"/>
          <w:szCs w:val="24"/>
          <w:lang w:val="es-CO" w:bidi="es-ES"/>
        </w:rPr>
        <w:t xml:space="preserve">. </w:t>
      </w:r>
      <w:r w:rsidR="008A2D3D">
        <w:rPr>
          <w:rFonts w:ascii="Arial" w:hAnsi="Arial" w:cs="Arial"/>
          <w:color w:val="000000"/>
          <w:sz w:val="24"/>
          <w:szCs w:val="24"/>
          <w:lang w:val="es-CO" w:bidi="es-ES"/>
        </w:rPr>
        <w:t xml:space="preserve">Al igual que sucedió con el Acuerdo No. 002 de 18 de febrero de 2020, al momento de debatir el </w:t>
      </w:r>
      <w:r w:rsidR="00C45E91">
        <w:rPr>
          <w:rFonts w:ascii="Arial" w:hAnsi="Arial" w:cs="Arial"/>
          <w:color w:val="000000"/>
          <w:sz w:val="24"/>
          <w:szCs w:val="24"/>
          <w:lang w:val="es-CO" w:bidi="es-ES"/>
        </w:rPr>
        <w:t xml:space="preserve">que a la postre sería el </w:t>
      </w:r>
      <w:r w:rsidR="008A2D3D">
        <w:rPr>
          <w:rFonts w:ascii="Arial" w:hAnsi="Arial" w:cs="Arial"/>
          <w:color w:val="000000"/>
          <w:sz w:val="24"/>
          <w:szCs w:val="24"/>
          <w:lang w:val="es-CO" w:bidi="es-ES"/>
        </w:rPr>
        <w:t xml:space="preserve">Acuerdo No. 001 de 19 de febrero de 2021, </w:t>
      </w:r>
      <w:r w:rsidR="009508B9">
        <w:rPr>
          <w:rFonts w:ascii="Arial" w:hAnsi="Arial" w:cs="Arial"/>
          <w:color w:val="000000"/>
          <w:sz w:val="24"/>
          <w:szCs w:val="24"/>
          <w:lang w:val="es-CO" w:bidi="es-ES"/>
        </w:rPr>
        <w:t>la comisión primera del Concejo del municipio de Tibaná sugirió</w:t>
      </w:r>
      <w:r w:rsidR="00C45E91">
        <w:rPr>
          <w:rFonts w:ascii="Arial" w:hAnsi="Arial" w:cs="Arial"/>
          <w:color w:val="000000"/>
          <w:sz w:val="24"/>
          <w:szCs w:val="24"/>
          <w:lang w:val="es-CO" w:bidi="es-ES"/>
        </w:rPr>
        <w:t xml:space="preserve"> ―en la sesión del 9 de febrero de 2021― que se modificara </w:t>
      </w:r>
      <w:r w:rsidR="009508B9">
        <w:rPr>
          <w:rFonts w:ascii="Arial" w:hAnsi="Arial" w:cs="Arial"/>
          <w:color w:val="000000"/>
          <w:sz w:val="24"/>
          <w:szCs w:val="24"/>
          <w:lang w:val="es-CO" w:bidi="es-ES"/>
        </w:rPr>
        <w:t>el ‘encabezado’ del acuerdo con el f</w:t>
      </w:r>
      <w:r w:rsidR="001D3F6C">
        <w:rPr>
          <w:rFonts w:ascii="Arial" w:hAnsi="Arial" w:cs="Arial"/>
          <w:color w:val="000000"/>
          <w:sz w:val="24"/>
          <w:szCs w:val="24"/>
          <w:lang w:val="es-CO" w:bidi="es-ES"/>
        </w:rPr>
        <w:t xml:space="preserve">in de aclarar que el </w:t>
      </w:r>
      <w:r w:rsidR="006C03E7">
        <w:rPr>
          <w:rFonts w:ascii="Arial" w:hAnsi="Arial" w:cs="Arial"/>
          <w:color w:val="000000"/>
          <w:sz w:val="24"/>
          <w:szCs w:val="24"/>
          <w:lang w:val="es-CO" w:bidi="es-ES"/>
        </w:rPr>
        <w:t xml:space="preserve">mismo </w:t>
      </w:r>
      <w:r w:rsidR="0076089C">
        <w:rPr>
          <w:rFonts w:ascii="Arial" w:hAnsi="Arial" w:cs="Arial"/>
          <w:color w:val="000000"/>
          <w:sz w:val="24"/>
          <w:szCs w:val="24"/>
          <w:lang w:val="es-CO" w:bidi="es-ES"/>
        </w:rPr>
        <w:t xml:space="preserve">debía ser “POR EL CUAL SE OTORGAN FACULTADES (…) </w:t>
      </w:r>
      <w:r w:rsidR="0076089C" w:rsidRPr="00B05C02">
        <w:rPr>
          <w:rFonts w:ascii="Arial" w:hAnsi="Arial" w:cs="Arial"/>
          <w:color w:val="000000"/>
          <w:sz w:val="24"/>
          <w:szCs w:val="24"/>
          <w:lang w:val="es-CO" w:bidi="es-ES"/>
        </w:rPr>
        <w:t>PARA QUE</w:t>
      </w:r>
      <w:r w:rsidR="00B05C02">
        <w:rPr>
          <w:rFonts w:ascii="Arial" w:hAnsi="Arial" w:cs="Arial"/>
          <w:color w:val="000000"/>
          <w:sz w:val="24"/>
          <w:szCs w:val="24"/>
          <w:lang w:val="es-CO" w:bidi="es-ES"/>
        </w:rPr>
        <w:t xml:space="preserve"> </w:t>
      </w:r>
      <w:r w:rsidR="0076089C" w:rsidRPr="0076089C">
        <w:rPr>
          <w:rFonts w:ascii="Arial" w:hAnsi="Arial" w:cs="Arial"/>
          <w:color w:val="000000"/>
          <w:sz w:val="24"/>
          <w:szCs w:val="24"/>
          <w:u w:val="single"/>
          <w:lang w:val="es-CO" w:bidi="es-ES"/>
        </w:rPr>
        <w:t>CONTINÚE</w:t>
      </w:r>
      <w:r w:rsidR="0076089C">
        <w:rPr>
          <w:rFonts w:ascii="Arial" w:hAnsi="Arial" w:cs="Arial"/>
          <w:color w:val="000000"/>
          <w:sz w:val="24"/>
          <w:szCs w:val="24"/>
          <w:lang w:val="es-CO" w:bidi="es-ES"/>
        </w:rPr>
        <w:t xml:space="preserve"> CON LA CONSTRUCCIÓN DE UNA URBANIZACIÓN Y ENTREGA DE SUBSIDIO (…); y no </w:t>
      </w:r>
      <w:r w:rsidR="00CF7C23">
        <w:rPr>
          <w:rFonts w:ascii="Arial" w:hAnsi="Arial" w:cs="Arial"/>
          <w:color w:val="000000"/>
          <w:sz w:val="24"/>
          <w:szCs w:val="24"/>
          <w:lang w:val="es-CO" w:bidi="es-ES"/>
        </w:rPr>
        <w:t>“POR EL CUAL SE OTORGAN FACULTADES PARA QUE CONSTITUYA UNA URBANIZACIÓN Y ENTREGA SUBSIDIO (…)”</w:t>
      </w:r>
      <w:r w:rsidR="0076089C">
        <w:rPr>
          <w:rStyle w:val="Refdenotaalpie"/>
          <w:rFonts w:ascii="Arial" w:hAnsi="Arial" w:cs="Arial"/>
          <w:color w:val="000000"/>
          <w:sz w:val="24"/>
          <w:szCs w:val="24"/>
          <w:lang w:val="es-CO" w:bidi="es-ES"/>
        </w:rPr>
        <w:footnoteReference w:id="22"/>
      </w:r>
      <w:r w:rsidR="009714BA">
        <w:rPr>
          <w:rFonts w:ascii="Arial" w:hAnsi="Arial" w:cs="Arial"/>
          <w:color w:val="000000"/>
          <w:sz w:val="24"/>
          <w:szCs w:val="24"/>
          <w:lang w:val="es-CO" w:bidi="es-ES"/>
        </w:rPr>
        <w:t>.</w:t>
      </w:r>
      <w:r w:rsidR="003827C1">
        <w:rPr>
          <w:rFonts w:ascii="Arial" w:hAnsi="Arial" w:cs="Arial"/>
          <w:color w:val="000000"/>
          <w:sz w:val="24"/>
          <w:szCs w:val="24"/>
          <w:lang w:val="es-CO" w:bidi="es-ES"/>
        </w:rPr>
        <w:t xml:space="preserve"> Sobre el punto, se anota que dicho cambio se propuso a la plenaria de la corporación </w:t>
      </w:r>
      <w:r w:rsidR="00957481">
        <w:rPr>
          <w:rFonts w:ascii="Arial" w:hAnsi="Arial" w:cs="Arial"/>
          <w:color w:val="000000"/>
          <w:sz w:val="24"/>
          <w:szCs w:val="24"/>
          <w:lang w:val="es-CO" w:bidi="es-ES"/>
        </w:rPr>
        <w:t>edilicia el 13 de febrero de 2021</w:t>
      </w:r>
      <w:r w:rsidR="00356049">
        <w:rPr>
          <w:rFonts w:ascii="Arial" w:hAnsi="Arial" w:cs="Arial"/>
          <w:color w:val="000000"/>
          <w:sz w:val="24"/>
          <w:szCs w:val="24"/>
          <w:lang w:val="es-CO" w:bidi="es-ES"/>
        </w:rPr>
        <w:t>, siendo aprobad</w:t>
      </w:r>
      <w:r w:rsidR="003827C1">
        <w:rPr>
          <w:rFonts w:ascii="Arial" w:hAnsi="Arial" w:cs="Arial"/>
          <w:color w:val="000000"/>
          <w:sz w:val="24"/>
          <w:szCs w:val="24"/>
          <w:lang w:val="es-CO" w:bidi="es-ES"/>
        </w:rPr>
        <w:t>o</w:t>
      </w:r>
      <w:r w:rsidR="00356049">
        <w:rPr>
          <w:rFonts w:ascii="Arial" w:hAnsi="Arial" w:cs="Arial"/>
          <w:color w:val="000000"/>
          <w:sz w:val="24"/>
          <w:szCs w:val="24"/>
          <w:lang w:val="es-CO" w:bidi="es-ES"/>
        </w:rPr>
        <w:t xml:space="preserve"> por unanimidad</w:t>
      </w:r>
      <w:r w:rsidR="00356049">
        <w:rPr>
          <w:rStyle w:val="Refdenotaalpie"/>
          <w:rFonts w:ascii="Arial" w:hAnsi="Arial" w:cs="Arial"/>
          <w:color w:val="000000"/>
          <w:sz w:val="24"/>
          <w:szCs w:val="24"/>
          <w:lang w:val="es-CO" w:bidi="es-ES"/>
        </w:rPr>
        <w:footnoteReference w:id="23"/>
      </w:r>
      <w:r w:rsidR="006C03E7">
        <w:rPr>
          <w:rFonts w:ascii="Arial" w:hAnsi="Arial" w:cs="Arial"/>
          <w:color w:val="000000"/>
          <w:sz w:val="24"/>
          <w:szCs w:val="24"/>
          <w:lang w:val="es-CO" w:bidi="es-ES"/>
        </w:rPr>
        <w:t>.</w:t>
      </w:r>
    </w:p>
    <w:p w14:paraId="2F0FD749" w14:textId="0DC2CDFC" w:rsidR="00721AD1" w:rsidRDefault="00721AD1"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0564F473" w14:textId="6A73F743" w:rsidR="00721AD1" w:rsidRDefault="003827C1"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 xml:space="preserve">20. Finalmente, </w:t>
      </w:r>
      <w:r w:rsidR="00CD6A19">
        <w:rPr>
          <w:rFonts w:ascii="Arial" w:hAnsi="Arial" w:cs="Arial"/>
          <w:color w:val="000000"/>
          <w:sz w:val="24"/>
          <w:szCs w:val="24"/>
          <w:lang w:val="es-CO" w:bidi="es-ES"/>
        </w:rPr>
        <w:t>r</w:t>
      </w:r>
      <w:r w:rsidR="00721AD1">
        <w:rPr>
          <w:rFonts w:ascii="Arial" w:hAnsi="Arial" w:cs="Arial"/>
          <w:color w:val="000000"/>
          <w:sz w:val="24"/>
          <w:szCs w:val="24"/>
          <w:lang w:val="es-CO" w:bidi="es-ES"/>
        </w:rPr>
        <w:t>evisada la exposición de motivos del que sería finalmente el Acuerdo No. 001 de 19 de febrero de 2021,</w:t>
      </w:r>
      <w:r w:rsidR="00627FB7">
        <w:rPr>
          <w:rFonts w:ascii="Arial" w:hAnsi="Arial" w:cs="Arial"/>
          <w:color w:val="000000"/>
          <w:sz w:val="24"/>
          <w:szCs w:val="24"/>
          <w:lang w:val="es-CO" w:bidi="es-ES"/>
        </w:rPr>
        <w:t xml:space="preserve"> se destaca que el alcalde municipal</w:t>
      </w:r>
      <w:r w:rsidR="00CB1F5A">
        <w:rPr>
          <w:rFonts w:ascii="Arial" w:hAnsi="Arial" w:cs="Arial"/>
          <w:color w:val="000000"/>
          <w:sz w:val="24"/>
          <w:szCs w:val="24"/>
          <w:lang w:val="es-CO" w:bidi="es-ES"/>
        </w:rPr>
        <w:t xml:space="preserve"> ―quien tuvo la iniciativa del mismo― </w:t>
      </w:r>
      <w:r w:rsidR="00F91ACA">
        <w:rPr>
          <w:rFonts w:ascii="Arial" w:hAnsi="Arial" w:cs="Arial"/>
          <w:color w:val="000000"/>
          <w:sz w:val="24"/>
          <w:szCs w:val="24"/>
          <w:lang w:val="es-CO" w:bidi="es-ES"/>
        </w:rPr>
        <w:t>indicó que se requería “contar con la autorización del honorable concejo (…) para adelantar los trámites necesario[s]”, razón por la cual se requería el otorgamiento de “facultades amplias (…) para cumplir con lo establecido en el acuerdo 037 de 2018”</w:t>
      </w:r>
      <w:r w:rsidR="00F91ACA" w:rsidRPr="00F91ACA">
        <w:rPr>
          <w:rStyle w:val="Refdenotaalpie"/>
          <w:rFonts w:ascii="Arial" w:hAnsi="Arial" w:cs="Arial"/>
          <w:color w:val="000000"/>
          <w:sz w:val="24"/>
          <w:szCs w:val="24"/>
          <w:lang w:val="es-CO" w:bidi="es-ES"/>
        </w:rPr>
        <w:t xml:space="preserve"> </w:t>
      </w:r>
      <w:r w:rsidR="00F91ACA">
        <w:rPr>
          <w:rStyle w:val="Refdenotaalpie"/>
          <w:rFonts w:ascii="Arial" w:hAnsi="Arial" w:cs="Arial"/>
          <w:color w:val="000000"/>
          <w:sz w:val="24"/>
          <w:szCs w:val="24"/>
          <w:lang w:val="es-CO" w:bidi="es-ES"/>
        </w:rPr>
        <w:footnoteReference w:id="24"/>
      </w:r>
      <w:r w:rsidR="00F91ACA">
        <w:rPr>
          <w:rFonts w:ascii="Arial" w:hAnsi="Arial" w:cs="Arial"/>
          <w:color w:val="000000"/>
          <w:sz w:val="24"/>
          <w:szCs w:val="24"/>
          <w:lang w:val="es-CO" w:bidi="es-ES"/>
        </w:rPr>
        <w:t>.</w:t>
      </w:r>
    </w:p>
    <w:bookmarkEnd w:id="4"/>
    <w:p w14:paraId="7DE1C264" w14:textId="58EB7C99" w:rsidR="00CB1F5A" w:rsidRDefault="00CB1F5A"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6CF8CC25" w14:textId="7D0FE691" w:rsidR="00330975" w:rsidRDefault="00CB1F5A" w:rsidP="000000DE">
      <w:pPr>
        <w:pStyle w:val="Prrafodelista"/>
        <w:tabs>
          <w:tab w:val="left" w:pos="0"/>
        </w:tabs>
        <w:spacing w:line="276" w:lineRule="auto"/>
        <w:ind w:left="0" w:right="-233"/>
        <w:contextualSpacing/>
        <w:jc w:val="both"/>
        <w:rPr>
          <w:rFonts w:ascii="Arial" w:hAnsi="Arial" w:cs="Arial"/>
          <w:b/>
          <w:bCs/>
          <w:color w:val="000000"/>
          <w:sz w:val="24"/>
          <w:szCs w:val="24"/>
          <w:lang w:val="es-CO" w:bidi="es-ES"/>
        </w:rPr>
      </w:pPr>
      <w:r>
        <w:rPr>
          <w:rFonts w:ascii="Arial" w:hAnsi="Arial" w:cs="Arial"/>
          <w:b/>
          <w:bCs/>
          <w:color w:val="000000"/>
          <w:sz w:val="24"/>
          <w:szCs w:val="24"/>
          <w:lang w:val="es-CO" w:bidi="es-ES"/>
        </w:rPr>
        <w:t xml:space="preserve">El </w:t>
      </w:r>
      <w:r w:rsidR="009E4973">
        <w:rPr>
          <w:rFonts w:ascii="Arial" w:hAnsi="Arial" w:cs="Arial"/>
          <w:b/>
          <w:bCs/>
          <w:color w:val="000000"/>
          <w:sz w:val="24"/>
          <w:szCs w:val="24"/>
          <w:lang w:val="es-CO" w:bidi="es-ES"/>
        </w:rPr>
        <w:t xml:space="preserve">acuerdo demandado debe ser declarado inválido </w:t>
      </w:r>
      <w:r w:rsidR="00702D78">
        <w:rPr>
          <w:rFonts w:ascii="Arial" w:hAnsi="Arial" w:cs="Arial"/>
          <w:b/>
          <w:bCs/>
          <w:color w:val="000000"/>
          <w:sz w:val="24"/>
          <w:szCs w:val="24"/>
          <w:lang w:val="es-CO" w:bidi="es-ES"/>
        </w:rPr>
        <w:t xml:space="preserve">ya que </w:t>
      </w:r>
      <w:r w:rsidR="00403A2F" w:rsidRPr="00403A2F">
        <w:rPr>
          <w:rFonts w:ascii="Arial" w:hAnsi="Arial" w:cs="Arial"/>
          <w:b/>
          <w:bCs/>
          <w:color w:val="000000"/>
          <w:sz w:val="24"/>
          <w:szCs w:val="24"/>
          <w:lang w:val="es-CO" w:bidi="es-ES"/>
        </w:rPr>
        <w:t xml:space="preserve">las facultades que el </w:t>
      </w:r>
      <w:r w:rsidR="00702D78">
        <w:rPr>
          <w:rFonts w:ascii="Arial" w:hAnsi="Arial" w:cs="Arial"/>
          <w:b/>
          <w:bCs/>
          <w:color w:val="000000"/>
          <w:sz w:val="24"/>
          <w:szCs w:val="24"/>
          <w:lang w:val="es-CO" w:bidi="es-ES"/>
        </w:rPr>
        <w:t>c</w:t>
      </w:r>
      <w:r w:rsidR="00403A2F" w:rsidRPr="00403A2F">
        <w:rPr>
          <w:rFonts w:ascii="Arial" w:hAnsi="Arial" w:cs="Arial"/>
          <w:b/>
          <w:bCs/>
          <w:color w:val="000000"/>
          <w:sz w:val="24"/>
          <w:szCs w:val="24"/>
          <w:lang w:val="es-CO" w:bidi="es-ES"/>
        </w:rPr>
        <w:t xml:space="preserve">oncejo </w:t>
      </w:r>
      <w:r w:rsidR="00702D78">
        <w:rPr>
          <w:rFonts w:ascii="Arial" w:hAnsi="Arial" w:cs="Arial"/>
          <w:b/>
          <w:bCs/>
          <w:color w:val="000000"/>
          <w:sz w:val="24"/>
          <w:szCs w:val="24"/>
          <w:lang w:val="es-CO" w:bidi="es-ES"/>
        </w:rPr>
        <w:t>m</w:t>
      </w:r>
      <w:r w:rsidR="00403A2F" w:rsidRPr="00403A2F">
        <w:rPr>
          <w:rFonts w:ascii="Arial" w:hAnsi="Arial" w:cs="Arial"/>
          <w:b/>
          <w:bCs/>
          <w:color w:val="000000"/>
          <w:sz w:val="24"/>
          <w:szCs w:val="24"/>
          <w:lang w:val="es-CO" w:bidi="es-ES"/>
        </w:rPr>
        <w:t>unicipal confi</w:t>
      </w:r>
      <w:r w:rsidR="00964B69">
        <w:rPr>
          <w:rFonts w:ascii="Arial" w:hAnsi="Arial" w:cs="Arial"/>
          <w:b/>
          <w:bCs/>
          <w:color w:val="000000"/>
          <w:sz w:val="24"/>
          <w:szCs w:val="24"/>
          <w:lang w:val="es-CO" w:bidi="es-ES"/>
        </w:rPr>
        <w:t xml:space="preserve">rió </w:t>
      </w:r>
      <w:r w:rsidR="00403A2F" w:rsidRPr="00403A2F">
        <w:rPr>
          <w:rFonts w:ascii="Arial" w:hAnsi="Arial" w:cs="Arial"/>
          <w:b/>
          <w:bCs/>
          <w:color w:val="000000"/>
          <w:sz w:val="24"/>
          <w:szCs w:val="24"/>
          <w:lang w:val="es-CO" w:bidi="es-ES"/>
        </w:rPr>
        <w:t>a</w:t>
      </w:r>
      <w:r w:rsidR="00702D78">
        <w:rPr>
          <w:rFonts w:ascii="Arial" w:hAnsi="Arial" w:cs="Arial"/>
          <w:b/>
          <w:bCs/>
          <w:color w:val="000000"/>
          <w:sz w:val="24"/>
          <w:szCs w:val="24"/>
          <w:lang w:val="es-CO" w:bidi="es-ES"/>
        </w:rPr>
        <w:t xml:space="preserve">l alcalde </w:t>
      </w:r>
      <w:r w:rsidR="00403A2F" w:rsidRPr="00403A2F">
        <w:rPr>
          <w:rFonts w:ascii="Arial" w:hAnsi="Arial" w:cs="Arial"/>
          <w:b/>
          <w:bCs/>
          <w:color w:val="000000"/>
          <w:sz w:val="24"/>
          <w:szCs w:val="24"/>
          <w:lang w:val="es-CO" w:bidi="es-ES"/>
        </w:rPr>
        <w:t xml:space="preserve">solo </w:t>
      </w:r>
      <w:r w:rsidR="00964B69">
        <w:rPr>
          <w:rFonts w:ascii="Arial" w:hAnsi="Arial" w:cs="Arial"/>
          <w:b/>
          <w:bCs/>
          <w:color w:val="000000"/>
          <w:sz w:val="24"/>
          <w:szCs w:val="24"/>
          <w:lang w:val="es-CO" w:bidi="es-ES"/>
        </w:rPr>
        <w:t xml:space="preserve">podían ser </w:t>
      </w:r>
      <w:r w:rsidR="00403A2F" w:rsidRPr="00403A2F">
        <w:rPr>
          <w:rFonts w:ascii="Arial" w:hAnsi="Arial" w:cs="Arial"/>
          <w:b/>
          <w:bCs/>
          <w:color w:val="000000"/>
          <w:sz w:val="24"/>
          <w:szCs w:val="24"/>
          <w:lang w:val="es-CO" w:bidi="es-ES"/>
        </w:rPr>
        <w:t xml:space="preserve">otorgadas por única vez y no </w:t>
      </w:r>
      <w:r w:rsidR="00964B69">
        <w:rPr>
          <w:rFonts w:ascii="Arial" w:hAnsi="Arial" w:cs="Arial"/>
          <w:b/>
          <w:bCs/>
          <w:color w:val="000000"/>
          <w:sz w:val="24"/>
          <w:szCs w:val="24"/>
          <w:lang w:val="es-CO" w:bidi="es-ES"/>
        </w:rPr>
        <w:t xml:space="preserve">podían </w:t>
      </w:r>
      <w:r w:rsidR="00403A2F" w:rsidRPr="00403A2F">
        <w:rPr>
          <w:rFonts w:ascii="Arial" w:hAnsi="Arial" w:cs="Arial"/>
          <w:b/>
          <w:bCs/>
          <w:color w:val="000000"/>
          <w:sz w:val="24"/>
          <w:szCs w:val="24"/>
          <w:lang w:val="es-CO" w:bidi="es-ES"/>
        </w:rPr>
        <w:t>ser prorrogadas sucesivamente</w:t>
      </w:r>
      <w:r w:rsidR="00964B69">
        <w:rPr>
          <w:rFonts w:ascii="Arial" w:hAnsi="Arial" w:cs="Arial"/>
          <w:b/>
          <w:bCs/>
          <w:color w:val="000000"/>
          <w:sz w:val="24"/>
          <w:szCs w:val="24"/>
          <w:lang w:val="es-CO" w:bidi="es-ES"/>
        </w:rPr>
        <w:t xml:space="preserve"> ―como se pretendió hacer―</w:t>
      </w:r>
    </w:p>
    <w:p w14:paraId="507120DC" w14:textId="1F066E77" w:rsidR="00E10573" w:rsidRDefault="00E10573" w:rsidP="000000DE">
      <w:pPr>
        <w:pStyle w:val="Prrafodelista"/>
        <w:tabs>
          <w:tab w:val="left" w:pos="0"/>
        </w:tabs>
        <w:spacing w:line="276" w:lineRule="auto"/>
        <w:ind w:left="0" w:right="-233"/>
        <w:contextualSpacing/>
        <w:jc w:val="both"/>
        <w:rPr>
          <w:rFonts w:ascii="Arial" w:hAnsi="Arial" w:cs="Arial"/>
          <w:b/>
          <w:bCs/>
          <w:color w:val="000000"/>
          <w:sz w:val="24"/>
          <w:szCs w:val="24"/>
          <w:lang w:val="es-CO" w:bidi="es-ES"/>
        </w:rPr>
      </w:pPr>
    </w:p>
    <w:p w14:paraId="1463DDB4" w14:textId="620B9C76" w:rsidR="008B60C7" w:rsidRDefault="00E10573"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sidRPr="00E10573">
        <w:rPr>
          <w:rFonts w:ascii="Arial" w:hAnsi="Arial" w:cs="Arial"/>
          <w:color w:val="000000"/>
          <w:sz w:val="24"/>
          <w:szCs w:val="24"/>
          <w:lang w:val="es-CO" w:bidi="es-ES"/>
        </w:rPr>
        <w:t xml:space="preserve">21. </w:t>
      </w:r>
      <w:r>
        <w:rPr>
          <w:rFonts w:ascii="Arial" w:hAnsi="Arial" w:cs="Arial"/>
          <w:color w:val="000000"/>
          <w:sz w:val="24"/>
          <w:szCs w:val="24"/>
          <w:lang w:val="es-CO" w:bidi="es-ES"/>
        </w:rPr>
        <w:t>El ente territorial demandante estimó que el Acuerdo No. 001 de 19 de febrero de 2021</w:t>
      </w:r>
      <w:r w:rsidR="00B32A7E">
        <w:rPr>
          <w:rFonts w:ascii="Arial" w:hAnsi="Arial" w:cs="Arial"/>
          <w:color w:val="000000"/>
          <w:sz w:val="24"/>
          <w:szCs w:val="24"/>
          <w:lang w:val="es-CO" w:bidi="es-ES"/>
        </w:rPr>
        <w:t xml:space="preserve"> debía ser declarado inválido</w:t>
      </w:r>
      <w:r w:rsidR="003955E2">
        <w:rPr>
          <w:rFonts w:ascii="Arial" w:hAnsi="Arial" w:cs="Arial"/>
          <w:color w:val="000000"/>
          <w:sz w:val="24"/>
          <w:szCs w:val="24"/>
          <w:lang w:val="es-CO" w:bidi="es-ES"/>
        </w:rPr>
        <w:t xml:space="preserve">, </w:t>
      </w:r>
      <w:r w:rsidR="00B32A7E">
        <w:rPr>
          <w:rFonts w:ascii="Arial" w:hAnsi="Arial" w:cs="Arial"/>
          <w:color w:val="000000"/>
          <w:sz w:val="24"/>
          <w:szCs w:val="24"/>
          <w:lang w:val="es-CO" w:bidi="es-ES"/>
        </w:rPr>
        <w:t xml:space="preserve">pues se prorrogaron de forma </w:t>
      </w:r>
      <w:r w:rsidR="00B32A7E">
        <w:rPr>
          <w:rFonts w:ascii="Arial" w:hAnsi="Arial" w:cs="Arial"/>
          <w:color w:val="000000"/>
          <w:sz w:val="24"/>
          <w:szCs w:val="24"/>
          <w:lang w:val="es-CO" w:bidi="es-ES"/>
        </w:rPr>
        <w:lastRenderedPageBreak/>
        <w:t xml:space="preserve">extemporánea las facultades </w:t>
      </w:r>
      <w:r w:rsidR="00B65C4E">
        <w:rPr>
          <w:rFonts w:ascii="Arial" w:hAnsi="Arial" w:cs="Arial"/>
          <w:i/>
          <w:iCs/>
          <w:color w:val="000000"/>
          <w:sz w:val="24"/>
          <w:szCs w:val="24"/>
          <w:lang w:val="es-CO" w:bidi="es-ES"/>
        </w:rPr>
        <w:t xml:space="preserve">pro tempore </w:t>
      </w:r>
      <w:r w:rsidR="00B32A7E">
        <w:rPr>
          <w:rFonts w:ascii="Arial" w:hAnsi="Arial" w:cs="Arial"/>
          <w:color w:val="000000"/>
          <w:sz w:val="24"/>
          <w:szCs w:val="24"/>
          <w:lang w:val="es-CO" w:bidi="es-ES"/>
        </w:rPr>
        <w:t>que se habían concedido al Alcalde del municipio de Tibaná</w:t>
      </w:r>
      <w:r w:rsidR="00300A05">
        <w:rPr>
          <w:rStyle w:val="Refdenotaalpie"/>
          <w:rFonts w:ascii="Arial" w:hAnsi="Arial" w:cs="Arial"/>
          <w:color w:val="000000"/>
          <w:sz w:val="24"/>
          <w:szCs w:val="24"/>
          <w:lang w:val="es-CO" w:bidi="es-ES"/>
        </w:rPr>
        <w:footnoteReference w:id="25"/>
      </w:r>
      <w:r w:rsidR="007D0E9B">
        <w:rPr>
          <w:rFonts w:ascii="Arial" w:hAnsi="Arial" w:cs="Arial"/>
          <w:color w:val="000000"/>
          <w:sz w:val="24"/>
          <w:szCs w:val="24"/>
          <w:lang w:val="es-CO" w:bidi="es-ES"/>
        </w:rPr>
        <w:t xml:space="preserve">. </w:t>
      </w:r>
    </w:p>
    <w:p w14:paraId="3E82151A" w14:textId="1F704D8E" w:rsidR="001A7B33" w:rsidRDefault="001A7B33"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325C0286" w14:textId="068567CC" w:rsidR="001A7B33" w:rsidRDefault="001A7B33"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 xml:space="preserve">22. </w:t>
      </w:r>
      <w:r w:rsidR="00080E2B">
        <w:rPr>
          <w:rFonts w:ascii="Arial" w:hAnsi="Arial" w:cs="Arial"/>
          <w:color w:val="000000"/>
          <w:sz w:val="24"/>
          <w:szCs w:val="24"/>
          <w:lang w:val="es-CO" w:bidi="es-ES"/>
        </w:rPr>
        <w:t xml:space="preserve">Estudiado </w:t>
      </w:r>
      <w:r>
        <w:rPr>
          <w:rFonts w:ascii="Arial" w:hAnsi="Arial" w:cs="Arial"/>
          <w:color w:val="000000"/>
          <w:sz w:val="24"/>
          <w:szCs w:val="24"/>
          <w:lang w:val="es-CO" w:bidi="es-ES"/>
        </w:rPr>
        <w:t xml:space="preserve">el acuerdo municipal objeto de control judicial, se observa que, en el mismo, el Concejo de Tibaná </w:t>
      </w:r>
      <w:r w:rsidR="00080E2B">
        <w:rPr>
          <w:rFonts w:ascii="Arial" w:hAnsi="Arial" w:cs="Arial"/>
          <w:color w:val="000000"/>
          <w:sz w:val="24"/>
          <w:szCs w:val="24"/>
          <w:lang w:val="es-CO" w:bidi="es-ES"/>
        </w:rPr>
        <w:t>concedió dos tipos diferentes de autorizaciones al burgomaestre</w:t>
      </w:r>
      <w:r w:rsidR="00937D9F">
        <w:rPr>
          <w:rFonts w:ascii="Arial" w:hAnsi="Arial" w:cs="Arial"/>
          <w:color w:val="000000"/>
          <w:sz w:val="24"/>
          <w:szCs w:val="24"/>
          <w:lang w:val="es-CO" w:bidi="es-ES"/>
        </w:rPr>
        <w:t xml:space="preserve"> pues, de un lado, lo facultó para que ‘continuara’ con la construcción de un proyecto de vivienda de interés social </w:t>
      </w:r>
      <w:r w:rsidR="00C97996">
        <w:rPr>
          <w:rFonts w:ascii="Arial" w:hAnsi="Arial" w:cs="Arial"/>
          <w:color w:val="000000"/>
          <w:sz w:val="24"/>
          <w:szCs w:val="24"/>
          <w:lang w:val="es-CO" w:bidi="es-ES"/>
        </w:rPr>
        <w:t xml:space="preserve">que implicó la </w:t>
      </w:r>
      <w:r w:rsidR="00370277" w:rsidRPr="005C74F1">
        <w:rPr>
          <w:rFonts w:ascii="Arial" w:hAnsi="Arial" w:cs="Arial"/>
          <w:color w:val="000000"/>
          <w:sz w:val="24"/>
          <w:szCs w:val="24"/>
          <w:u w:val="single"/>
          <w:lang w:val="es-CO" w:bidi="es-ES"/>
        </w:rPr>
        <w:t>enajenación</w:t>
      </w:r>
      <w:r w:rsidR="00370277">
        <w:rPr>
          <w:rStyle w:val="Refdenotaalpie"/>
          <w:rFonts w:ascii="Arial" w:hAnsi="Arial" w:cs="Arial"/>
          <w:color w:val="000000"/>
          <w:sz w:val="24"/>
          <w:szCs w:val="24"/>
          <w:lang w:val="es-CO" w:bidi="es-ES"/>
        </w:rPr>
        <w:footnoteReference w:id="26"/>
      </w:r>
      <w:r w:rsidR="00370277">
        <w:rPr>
          <w:rFonts w:ascii="Arial" w:hAnsi="Arial" w:cs="Arial"/>
          <w:color w:val="000000"/>
          <w:sz w:val="24"/>
          <w:szCs w:val="24"/>
          <w:lang w:val="es-CO" w:bidi="es-ES"/>
        </w:rPr>
        <w:t xml:space="preserve"> </w:t>
      </w:r>
      <w:r w:rsidR="00C97996">
        <w:rPr>
          <w:rFonts w:ascii="Arial" w:hAnsi="Arial" w:cs="Arial"/>
          <w:color w:val="000000"/>
          <w:sz w:val="24"/>
          <w:szCs w:val="24"/>
          <w:lang w:val="es-CO" w:bidi="es-ES"/>
        </w:rPr>
        <w:t xml:space="preserve">de un bien inmueble propiedad del municipio </w:t>
      </w:r>
      <w:r w:rsidR="00937D9F">
        <w:rPr>
          <w:rFonts w:ascii="Arial" w:hAnsi="Arial" w:cs="Arial"/>
          <w:color w:val="000000"/>
          <w:sz w:val="24"/>
          <w:szCs w:val="24"/>
          <w:lang w:val="es-CO" w:bidi="es-ES"/>
        </w:rPr>
        <w:t>―</w:t>
      </w:r>
      <w:r w:rsidR="00C97996">
        <w:rPr>
          <w:rFonts w:ascii="Arial" w:hAnsi="Arial" w:cs="Arial"/>
          <w:color w:val="000000"/>
          <w:sz w:val="24"/>
          <w:szCs w:val="24"/>
          <w:lang w:val="es-CO" w:bidi="es-ES"/>
        </w:rPr>
        <w:t xml:space="preserve">en los términos del numeral 3° del parágrafo 4 del artículo 32 de la </w:t>
      </w:r>
      <w:r w:rsidR="00C97996" w:rsidRPr="00C97996">
        <w:rPr>
          <w:rFonts w:ascii="Arial" w:hAnsi="Arial" w:cs="Arial"/>
          <w:color w:val="000000"/>
          <w:sz w:val="24"/>
          <w:szCs w:val="24"/>
          <w:lang w:val="es-CO" w:bidi="es-ES"/>
        </w:rPr>
        <w:t>Ley 136 de 1994</w:t>
      </w:r>
      <w:r w:rsidR="0090704E">
        <w:rPr>
          <w:rStyle w:val="Refdenotaalpie"/>
          <w:rFonts w:ascii="Arial" w:hAnsi="Arial" w:cs="Arial"/>
          <w:color w:val="000000"/>
          <w:sz w:val="24"/>
          <w:szCs w:val="24"/>
          <w:lang w:val="es-CO" w:bidi="es-ES"/>
        </w:rPr>
        <w:footnoteReference w:id="27"/>
      </w:r>
      <w:r w:rsidR="00C97996">
        <w:rPr>
          <w:rFonts w:ascii="Arial" w:hAnsi="Arial" w:cs="Arial"/>
          <w:color w:val="000000"/>
          <w:sz w:val="24"/>
          <w:szCs w:val="24"/>
          <w:lang w:val="es-CO" w:bidi="es-ES"/>
        </w:rPr>
        <w:t>―</w:t>
      </w:r>
      <w:r w:rsidR="004A43B4">
        <w:rPr>
          <w:rFonts w:ascii="Arial" w:hAnsi="Arial" w:cs="Arial"/>
          <w:color w:val="000000"/>
          <w:sz w:val="24"/>
          <w:szCs w:val="24"/>
          <w:lang w:val="es-CO" w:bidi="es-ES"/>
        </w:rPr>
        <w:t xml:space="preserve">; pero, a su vez, también lo autorizó para que entregara los respectivos lotes urbanizados, a título de </w:t>
      </w:r>
      <w:r w:rsidR="004A43B4" w:rsidRPr="005C74F1">
        <w:rPr>
          <w:rFonts w:ascii="Arial" w:hAnsi="Arial" w:cs="Arial"/>
          <w:color w:val="000000"/>
          <w:sz w:val="24"/>
          <w:szCs w:val="24"/>
          <w:u w:val="single"/>
          <w:lang w:val="es-CO" w:bidi="es-ES"/>
        </w:rPr>
        <w:t>subsidio</w:t>
      </w:r>
      <w:r w:rsidR="008A0471">
        <w:rPr>
          <w:rFonts w:ascii="Arial" w:hAnsi="Arial" w:cs="Arial"/>
          <w:color w:val="000000"/>
          <w:sz w:val="24"/>
          <w:szCs w:val="24"/>
          <w:lang w:val="es-CO" w:bidi="es-ES"/>
        </w:rPr>
        <w:t xml:space="preserve">, lo que </w:t>
      </w:r>
      <w:r w:rsidR="00D34B79">
        <w:rPr>
          <w:rFonts w:ascii="Arial" w:hAnsi="Arial" w:cs="Arial"/>
          <w:color w:val="000000"/>
          <w:sz w:val="24"/>
          <w:szCs w:val="24"/>
          <w:lang w:val="es-CO" w:bidi="es-ES"/>
        </w:rPr>
        <w:t>envol</w:t>
      </w:r>
      <w:r w:rsidR="00BD20EC">
        <w:rPr>
          <w:rFonts w:ascii="Arial" w:hAnsi="Arial" w:cs="Arial"/>
          <w:color w:val="000000"/>
          <w:sz w:val="24"/>
          <w:szCs w:val="24"/>
          <w:lang w:val="es-CO" w:bidi="es-ES"/>
        </w:rPr>
        <w:t xml:space="preserve">vía </w:t>
      </w:r>
      <w:r w:rsidR="008A0471">
        <w:rPr>
          <w:rFonts w:ascii="Arial" w:hAnsi="Arial" w:cs="Arial"/>
          <w:color w:val="000000"/>
          <w:sz w:val="24"/>
          <w:szCs w:val="24"/>
          <w:lang w:val="es-CO" w:bidi="es-ES"/>
        </w:rPr>
        <w:t xml:space="preserve">el ejercicio </w:t>
      </w:r>
      <w:r w:rsidR="008A0471">
        <w:rPr>
          <w:rFonts w:ascii="Arial" w:hAnsi="Arial" w:cs="Arial"/>
          <w:i/>
          <w:iCs/>
          <w:color w:val="000000"/>
          <w:sz w:val="24"/>
          <w:szCs w:val="24"/>
          <w:lang w:val="es-CO" w:bidi="es-ES"/>
        </w:rPr>
        <w:t xml:space="preserve">pro tempore </w:t>
      </w:r>
      <w:r w:rsidR="008A0471">
        <w:rPr>
          <w:rFonts w:ascii="Arial" w:hAnsi="Arial" w:cs="Arial"/>
          <w:color w:val="000000"/>
          <w:sz w:val="24"/>
          <w:szCs w:val="24"/>
          <w:lang w:val="es-CO" w:bidi="es-ES"/>
        </w:rPr>
        <w:t>de una facultad propia de</w:t>
      </w:r>
      <w:r w:rsidR="00B65C4E">
        <w:rPr>
          <w:rFonts w:ascii="Arial" w:hAnsi="Arial" w:cs="Arial"/>
          <w:color w:val="000000"/>
          <w:sz w:val="24"/>
          <w:szCs w:val="24"/>
          <w:lang w:val="es-CO" w:bidi="es-ES"/>
        </w:rPr>
        <w:t xml:space="preserve">l concejo del ente territorial demandado </w:t>
      </w:r>
      <w:r w:rsidR="008A0471">
        <w:rPr>
          <w:rFonts w:ascii="Arial" w:hAnsi="Arial" w:cs="Arial"/>
          <w:color w:val="000000"/>
          <w:sz w:val="24"/>
          <w:szCs w:val="24"/>
          <w:lang w:val="es-CO" w:bidi="es-ES"/>
        </w:rPr>
        <w:t xml:space="preserve">―según el numeral 3° del artículo 313 de la Constitución Política, en concordancia con lo dispuesto </w:t>
      </w:r>
      <w:r w:rsidR="00917AC0">
        <w:rPr>
          <w:rFonts w:ascii="Arial" w:hAnsi="Arial" w:cs="Arial"/>
          <w:color w:val="000000"/>
          <w:sz w:val="24"/>
          <w:szCs w:val="24"/>
          <w:lang w:val="es-CO" w:bidi="es-ES"/>
        </w:rPr>
        <w:t xml:space="preserve">en </w:t>
      </w:r>
      <w:r w:rsidR="00765AB5">
        <w:rPr>
          <w:rFonts w:ascii="Arial" w:hAnsi="Arial" w:cs="Arial"/>
          <w:color w:val="000000"/>
          <w:sz w:val="24"/>
          <w:szCs w:val="24"/>
          <w:lang w:val="es-CO" w:bidi="es-ES"/>
        </w:rPr>
        <w:t>el numeral 76.2.2 del artículo 76 de la Ley 715 de 2001</w:t>
      </w:r>
      <w:r w:rsidR="00765AB5">
        <w:rPr>
          <w:rStyle w:val="Refdenotaalpie"/>
          <w:rFonts w:ascii="Arial" w:hAnsi="Arial" w:cs="Arial"/>
          <w:color w:val="000000"/>
          <w:sz w:val="24"/>
          <w:szCs w:val="24"/>
          <w:lang w:val="es-CO" w:bidi="es-ES"/>
        </w:rPr>
        <w:footnoteReference w:id="28"/>
      </w:r>
      <w:r w:rsidR="005C74F1">
        <w:rPr>
          <w:rFonts w:ascii="Arial" w:hAnsi="Arial" w:cs="Arial"/>
          <w:color w:val="000000"/>
          <w:sz w:val="24"/>
          <w:szCs w:val="24"/>
          <w:lang w:val="es-CO" w:bidi="es-ES"/>
        </w:rPr>
        <w:t>, el artículo 1 del Decreto 11</w:t>
      </w:r>
      <w:r w:rsidR="00C570F5">
        <w:rPr>
          <w:rFonts w:ascii="Arial" w:hAnsi="Arial" w:cs="Arial"/>
          <w:color w:val="000000"/>
          <w:sz w:val="24"/>
          <w:szCs w:val="24"/>
          <w:lang w:val="es-CO" w:bidi="es-ES"/>
        </w:rPr>
        <w:t>68 de 1996</w:t>
      </w:r>
      <w:r w:rsidR="00C570F5">
        <w:rPr>
          <w:rStyle w:val="Refdenotaalpie"/>
          <w:rFonts w:ascii="Arial" w:hAnsi="Arial" w:cs="Arial"/>
          <w:color w:val="000000"/>
          <w:sz w:val="24"/>
          <w:szCs w:val="24"/>
          <w:lang w:val="es-CO" w:bidi="es-ES"/>
        </w:rPr>
        <w:footnoteReference w:id="29"/>
      </w:r>
      <w:r w:rsidR="002D6A2B">
        <w:rPr>
          <w:rFonts w:ascii="Arial" w:hAnsi="Arial" w:cs="Arial"/>
          <w:color w:val="000000"/>
          <w:sz w:val="24"/>
          <w:szCs w:val="24"/>
          <w:lang w:val="es-CO" w:bidi="es-ES"/>
        </w:rPr>
        <w:t xml:space="preserve">, </w:t>
      </w:r>
      <w:r w:rsidR="00917AC0">
        <w:rPr>
          <w:rFonts w:ascii="Arial" w:hAnsi="Arial" w:cs="Arial"/>
          <w:color w:val="000000"/>
          <w:sz w:val="24"/>
          <w:szCs w:val="24"/>
          <w:lang w:val="es-CO" w:bidi="es-ES"/>
        </w:rPr>
        <w:t>el parágrafo 2 del artículo 32 de la Ley 136 de 1994</w:t>
      </w:r>
      <w:r w:rsidR="00917AC0">
        <w:rPr>
          <w:rStyle w:val="Refdenotaalpie"/>
          <w:rFonts w:ascii="Arial" w:hAnsi="Arial" w:cs="Arial"/>
          <w:color w:val="000000"/>
          <w:sz w:val="24"/>
          <w:szCs w:val="24"/>
          <w:lang w:val="es-CO" w:bidi="es-ES"/>
        </w:rPr>
        <w:footnoteReference w:id="30"/>
      </w:r>
      <w:r w:rsidR="002D6A2B">
        <w:rPr>
          <w:rFonts w:ascii="Arial" w:hAnsi="Arial" w:cs="Arial"/>
          <w:color w:val="000000"/>
          <w:sz w:val="24"/>
          <w:szCs w:val="24"/>
          <w:lang w:val="es-CO" w:bidi="es-ES"/>
        </w:rPr>
        <w:t xml:space="preserve"> y el artículo 94 del Decreto 1333 de 1986</w:t>
      </w:r>
      <w:r w:rsidR="002D6A2B">
        <w:rPr>
          <w:rStyle w:val="Refdenotaalpie"/>
          <w:rFonts w:ascii="Arial" w:hAnsi="Arial" w:cs="Arial"/>
          <w:color w:val="000000"/>
          <w:sz w:val="24"/>
          <w:szCs w:val="24"/>
          <w:lang w:val="es-CO" w:bidi="es-ES"/>
        </w:rPr>
        <w:footnoteReference w:id="31"/>
      </w:r>
      <w:r w:rsidR="008A0471">
        <w:rPr>
          <w:rFonts w:ascii="Arial" w:hAnsi="Arial" w:cs="Arial"/>
          <w:color w:val="000000"/>
          <w:sz w:val="24"/>
          <w:szCs w:val="24"/>
          <w:lang w:val="es-CO" w:bidi="es-ES"/>
        </w:rPr>
        <w:t>―.</w:t>
      </w:r>
    </w:p>
    <w:p w14:paraId="3B619D55" w14:textId="2ADD9DEC" w:rsidR="000624DA" w:rsidRDefault="000624DA"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0F6E828C" w14:textId="3E13CC03" w:rsidR="00B2416E" w:rsidRDefault="000624DA"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23.</w:t>
      </w:r>
      <w:r w:rsidR="00FF412E">
        <w:rPr>
          <w:rFonts w:ascii="Arial" w:hAnsi="Arial" w:cs="Arial"/>
          <w:color w:val="000000"/>
          <w:sz w:val="24"/>
          <w:szCs w:val="24"/>
          <w:lang w:val="es-CO" w:bidi="es-ES"/>
        </w:rPr>
        <w:t xml:space="preserve"> Tratándose de la diferencia entre la autorización para ejercer </w:t>
      </w:r>
      <w:r w:rsidR="00FF412E">
        <w:rPr>
          <w:rFonts w:ascii="Arial" w:hAnsi="Arial" w:cs="Arial"/>
          <w:i/>
          <w:iCs/>
          <w:color w:val="000000"/>
          <w:sz w:val="24"/>
          <w:szCs w:val="24"/>
          <w:lang w:val="es-CO" w:bidi="es-ES"/>
        </w:rPr>
        <w:t xml:space="preserve">pro tempore </w:t>
      </w:r>
      <w:r w:rsidR="00FF412E">
        <w:rPr>
          <w:rFonts w:ascii="Arial" w:hAnsi="Arial" w:cs="Arial"/>
          <w:color w:val="000000"/>
          <w:sz w:val="24"/>
          <w:szCs w:val="24"/>
          <w:lang w:val="es-CO" w:bidi="es-ES"/>
        </w:rPr>
        <w:t xml:space="preserve">precisas funciones del concejo y la autorización para contratar </w:t>
      </w:r>
      <w:r w:rsidR="00B2416E">
        <w:rPr>
          <w:rFonts w:ascii="Arial" w:hAnsi="Arial" w:cs="Arial"/>
          <w:color w:val="000000"/>
          <w:sz w:val="24"/>
          <w:szCs w:val="24"/>
          <w:lang w:val="es-CO" w:bidi="es-ES"/>
        </w:rPr>
        <w:t xml:space="preserve">que </w:t>
      </w:r>
      <w:r w:rsidR="00464410">
        <w:rPr>
          <w:rFonts w:ascii="Arial" w:hAnsi="Arial" w:cs="Arial"/>
          <w:color w:val="000000"/>
          <w:sz w:val="24"/>
          <w:szCs w:val="24"/>
          <w:lang w:val="es-CO" w:bidi="es-ES"/>
        </w:rPr>
        <w:t>e</w:t>
      </w:r>
      <w:r w:rsidR="00B2416E">
        <w:rPr>
          <w:rFonts w:ascii="Arial" w:hAnsi="Arial" w:cs="Arial"/>
          <w:color w:val="000000"/>
          <w:sz w:val="24"/>
          <w:szCs w:val="24"/>
          <w:lang w:val="es-CO" w:bidi="es-ES"/>
        </w:rPr>
        <w:t xml:space="preserve">ste </w:t>
      </w:r>
      <w:r w:rsidR="006C2558">
        <w:rPr>
          <w:rFonts w:ascii="Arial" w:hAnsi="Arial" w:cs="Arial"/>
          <w:color w:val="000000"/>
          <w:sz w:val="24"/>
          <w:szCs w:val="24"/>
          <w:lang w:val="es-CO" w:bidi="es-ES"/>
        </w:rPr>
        <w:t xml:space="preserve">órgano </w:t>
      </w:r>
      <w:r w:rsidR="00B2416E">
        <w:rPr>
          <w:rFonts w:ascii="Arial" w:hAnsi="Arial" w:cs="Arial"/>
          <w:color w:val="000000"/>
          <w:sz w:val="24"/>
          <w:szCs w:val="24"/>
          <w:lang w:val="es-CO" w:bidi="es-ES"/>
        </w:rPr>
        <w:t xml:space="preserve">debe conceder al alcalde para determinados casos, </w:t>
      </w:r>
      <w:r w:rsidR="009640ED">
        <w:rPr>
          <w:rFonts w:ascii="Arial" w:hAnsi="Arial" w:cs="Arial"/>
          <w:color w:val="000000"/>
          <w:sz w:val="24"/>
          <w:szCs w:val="24"/>
          <w:lang w:val="es-CO" w:bidi="es-ES"/>
        </w:rPr>
        <w:t xml:space="preserve">el </w:t>
      </w:r>
      <w:r w:rsidR="00B2416E">
        <w:rPr>
          <w:rFonts w:ascii="Arial" w:hAnsi="Arial" w:cs="Arial"/>
          <w:color w:val="000000"/>
          <w:sz w:val="24"/>
          <w:szCs w:val="24"/>
          <w:lang w:val="es-CO" w:bidi="es-ES"/>
        </w:rPr>
        <w:t xml:space="preserve">Tribunal </w:t>
      </w:r>
      <w:r w:rsidR="009640ED">
        <w:rPr>
          <w:rFonts w:ascii="Arial" w:hAnsi="Arial" w:cs="Arial"/>
          <w:color w:val="000000"/>
          <w:sz w:val="24"/>
          <w:szCs w:val="24"/>
          <w:lang w:val="es-CO" w:bidi="es-ES"/>
        </w:rPr>
        <w:t xml:space="preserve">Administrativo de Boyacá </w:t>
      </w:r>
      <w:r w:rsidR="00B2416E">
        <w:rPr>
          <w:rFonts w:ascii="Arial" w:hAnsi="Arial" w:cs="Arial"/>
          <w:color w:val="000000"/>
          <w:sz w:val="24"/>
          <w:szCs w:val="24"/>
          <w:lang w:val="es-CO" w:bidi="es-ES"/>
        </w:rPr>
        <w:t>ha señalado</w:t>
      </w:r>
      <w:r w:rsidR="00381E40">
        <w:rPr>
          <w:rFonts w:ascii="Arial" w:hAnsi="Arial" w:cs="Arial"/>
          <w:color w:val="000000"/>
          <w:sz w:val="24"/>
          <w:szCs w:val="24"/>
          <w:lang w:val="es-CO" w:bidi="es-ES"/>
        </w:rPr>
        <w:t xml:space="preserve"> que las mismas no pueden confundirse puesto que tiene</w:t>
      </w:r>
      <w:r w:rsidR="009640ED">
        <w:rPr>
          <w:rFonts w:ascii="Arial" w:hAnsi="Arial" w:cs="Arial"/>
          <w:color w:val="000000"/>
          <w:sz w:val="24"/>
          <w:szCs w:val="24"/>
          <w:lang w:val="es-CO" w:bidi="es-ES"/>
        </w:rPr>
        <w:t xml:space="preserve">n </w:t>
      </w:r>
      <w:r w:rsidR="00381E40">
        <w:rPr>
          <w:rFonts w:ascii="Arial" w:hAnsi="Arial" w:cs="Arial"/>
          <w:color w:val="000000"/>
          <w:sz w:val="24"/>
          <w:szCs w:val="24"/>
          <w:lang w:val="es-CO" w:bidi="es-ES"/>
        </w:rPr>
        <w:t>efectos disímiles</w:t>
      </w:r>
      <w:r w:rsidR="00B2416E">
        <w:rPr>
          <w:rFonts w:ascii="Arial" w:hAnsi="Arial" w:cs="Arial"/>
          <w:color w:val="000000"/>
          <w:sz w:val="24"/>
          <w:szCs w:val="24"/>
          <w:lang w:val="es-CO" w:bidi="es-ES"/>
        </w:rPr>
        <w:t xml:space="preserve">: </w:t>
      </w:r>
    </w:p>
    <w:p w14:paraId="0D718A5F" w14:textId="57D61548" w:rsidR="00B2416E" w:rsidRDefault="00B2416E"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52FCDFAA" w14:textId="1482A7F6" w:rsidR="00B2416E" w:rsidRPr="002B25B0" w:rsidRDefault="00B2416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lastRenderedPageBreak/>
        <w:t>“(…) ha de señalarse que el numeral 3° del artículo 313 de la Constitución posibilita al Concejo municipal para autorizar al Alcalde para el ejercicio de dos funciones perfectamente diferenciables; al respecto indica la norma que corresponde a los Concejos: “Autorizar al alcalde para celebrar</w:t>
      </w:r>
      <w:r w:rsidR="000A1D7F">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 xml:space="preserve">contratos </w:t>
      </w:r>
      <w:r w:rsidRPr="000A1D7F">
        <w:rPr>
          <w:rFonts w:ascii="Arial" w:hAnsi="Arial" w:cs="Arial"/>
          <w:b/>
          <w:bCs/>
          <w:color w:val="000000"/>
          <w:sz w:val="22"/>
          <w:szCs w:val="22"/>
          <w:u w:val="single"/>
          <w:lang w:val="es-CO" w:bidi="es-ES"/>
        </w:rPr>
        <w:t xml:space="preserve">y </w:t>
      </w:r>
      <w:r w:rsidRPr="002B25B0">
        <w:rPr>
          <w:rFonts w:ascii="Arial" w:hAnsi="Arial" w:cs="Arial"/>
          <w:color w:val="000000"/>
          <w:sz w:val="22"/>
          <w:szCs w:val="22"/>
          <w:lang w:val="es-CO" w:bidi="es-ES"/>
        </w:rPr>
        <w:t xml:space="preserve">ejercer </w:t>
      </w:r>
      <w:r w:rsidRPr="002B25B0">
        <w:rPr>
          <w:rFonts w:ascii="Arial" w:hAnsi="Arial" w:cs="Arial"/>
          <w:i/>
          <w:iCs/>
          <w:color w:val="000000"/>
          <w:sz w:val="22"/>
          <w:szCs w:val="22"/>
          <w:lang w:val="es-CO" w:bidi="es-ES"/>
        </w:rPr>
        <w:t>pro tempore</w:t>
      </w:r>
      <w:r w:rsidRPr="002B25B0">
        <w:rPr>
          <w:rFonts w:ascii="Arial" w:hAnsi="Arial" w:cs="Arial"/>
          <w:color w:val="000000"/>
          <w:sz w:val="22"/>
          <w:szCs w:val="22"/>
          <w:lang w:val="es-CO" w:bidi="es-ES"/>
        </w:rPr>
        <w:t xml:space="preserve"> precisas funciones de las que corresponden al concejo”.</w:t>
      </w:r>
    </w:p>
    <w:p w14:paraId="77534BD9" w14:textId="5191B640" w:rsidR="00B2416E" w:rsidRPr="002B25B0" w:rsidRDefault="00B2416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4AFB62E4" w14:textId="43F00E8E" w:rsidR="00B2416E" w:rsidRPr="002B25B0" w:rsidRDefault="00B2416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 xml:space="preserve">En tal virtud, </w:t>
      </w:r>
      <w:r w:rsidRPr="000A1D7F">
        <w:rPr>
          <w:rFonts w:ascii="Arial" w:hAnsi="Arial" w:cs="Arial"/>
          <w:color w:val="000000"/>
          <w:sz w:val="22"/>
          <w:szCs w:val="22"/>
          <w:u w:val="single"/>
          <w:lang w:val="es-CO" w:bidi="es-ES"/>
        </w:rPr>
        <w:t>una es la autorización que expide el Concejo para que el Alcalde celebre contratos en los casos en que el legislador así lo dispuso, y otra es la autorización al Alcalde para que ejerza pro tempore precisas funciones de las que corresponden al concejo</w:t>
      </w:r>
      <w:r w:rsidR="00A810F1" w:rsidRPr="002B25B0">
        <w:rPr>
          <w:rFonts w:ascii="Arial" w:hAnsi="Arial" w:cs="Arial"/>
          <w:color w:val="000000"/>
          <w:sz w:val="22"/>
          <w:szCs w:val="22"/>
          <w:lang w:val="es-CO" w:bidi="es-ES"/>
        </w:rPr>
        <w:t xml:space="preserve">, (…) </w:t>
      </w:r>
      <w:r w:rsidRPr="002B25B0">
        <w:rPr>
          <w:rFonts w:ascii="Arial" w:hAnsi="Arial" w:cs="Arial"/>
          <w:color w:val="000000"/>
          <w:sz w:val="22"/>
          <w:szCs w:val="22"/>
          <w:lang w:val="es-CO" w:bidi="es-ES"/>
        </w:rPr>
        <w:t>las cuales resultan ser diferentes</w:t>
      </w:r>
      <w:r w:rsidR="00A810F1" w:rsidRPr="002B25B0">
        <w:rPr>
          <w:rFonts w:ascii="Arial" w:hAnsi="Arial" w:cs="Arial"/>
          <w:color w:val="000000"/>
          <w:sz w:val="22"/>
          <w:szCs w:val="22"/>
          <w:lang w:val="es-CO" w:bidi="es-ES"/>
        </w:rPr>
        <w:t xml:space="preserve">. </w:t>
      </w:r>
    </w:p>
    <w:p w14:paraId="6B6B2BCF" w14:textId="097C9652" w:rsidR="00381E40" w:rsidRPr="002B25B0" w:rsidRDefault="00381E40"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0B9F6D7B" w14:textId="073D19E2" w:rsidR="00381E40" w:rsidRPr="002B25B0" w:rsidRDefault="00381E40"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 xml:space="preserve">(…) precisa la Sala que </w:t>
      </w:r>
      <w:r w:rsidRPr="006158B9">
        <w:rPr>
          <w:rFonts w:ascii="Arial" w:hAnsi="Arial" w:cs="Arial"/>
          <w:color w:val="000000"/>
          <w:sz w:val="22"/>
          <w:szCs w:val="22"/>
          <w:u w:val="single"/>
          <w:lang w:val="es-CO" w:bidi="es-ES"/>
        </w:rPr>
        <w:t xml:space="preserve">se está en presencia del ejercicio de facultades </w:t>
      </w:r>
      <w:r w:rsidRPr="006158B9">
        <w:rPr>
          <w:rFonts w:ascii="Arial" w:hAnsi="Arial" w:cs="Arial"/>
          <w:i/>
          <w:iCs/>
          <w:color w:val="000000"/>
          <w:sz w:val="22"/>
          <w:szCs w:val="22"/>
          <w:u w:val="single"/>
          <w:lang w:val="es-CO" w:bidi="es-ES"/>
        </w:rPr>
        <w:t>pro tempore</w:t>
      </w:r>
      <w:r w:rsidRPr="006158B9">
        <w:rPr>
          <w:rFonts w:ascii="Arial" w:hAnsi="Arial" w:cs="Arial"/>
          <w:color w:val="000000"/>
          <w:sz w:val="22"/>
          <w:szCs w:val="22"/>
          <w:u w:val="single"/>
          <w:lang w:val="es-CO" w:bidi="es-ES"/>
        </w:rPr>
        <w:t>, cuando el Concejo municipal autoriza al alcalde para el ejercicio de precisas funciones que constitucional y legalmente le corresponden al</w:t>
      </w:r>
      <w:r w:rsidR="00743E48" w:rsidRPr="006158B9">
        <w:rPr>
          <w:rFonts w:ascii="Arial" w:hAnsi="Arial" w:cs="Arial"/>
          <w:color w:val="000000"/>
          <w:sz w:val="22"/>
          <w:szCs w:val="22"/>
          <w:u w:val="single"/>
          <w:lang w:val="es-CO" w:bidi="es-ES"/>
        </w:rPr>
        <w:t xml:space="preserve"> </w:t>
      </w:r>
      <w:r w:rsidRPr="006158B9">
        <w:rPr>
          <w:rFonts w:ascii="Arial" w:hAnsi="Arial" w:cs="Arial"/>
          <w:color w:val="000000"/>
          <w:sz w:val="22"/>
          <w:szCs w:val="22"/>
          <w:u w:val="single"/>
          <w:lang w:val="es-CO" w:bidi="es-ES"/>
        </w:rPr>
        <w:t>Concejo</w:t>
      </w:r>
      <w:r w:rsidRPr="002B25B0">
        <w:rPr>
          <w:rFonts w:ascii="Arial" w:hAnsi="Arial" w:cs="Arial"/>
          <w:color w:val="000000"/>
          <w:sz w:val="22"/>
          <w:szCs w:val="22"/>
          <w:lang w:val="es-CO" w:bidi="es-ES"/>
        </w:rPr>
        <w:t>, escenario en el cual, de acuerdo con la jurisprudencia del Consejo de</w:t>
      </w:r>
      <w:r w:rsidR="00743E48"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Estado, una vez fenecido el término concedido para ejercer dichas facultades,</w:t>
      </w:r>
      <w:r w:rsidR="00743E48"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no es posible prorrogar las mismas</w:t>
      </w:r>
      <w:r w:rsidR="00743E48" w:rsidRPr="002B25B0">
        <w:rPr>
          <w:rFonts w:ascii="Arial" w:hAnsi="Arial" w:cs="Arial"/>
          <w:color w:val="000000"/>
          <w:sz w:val="22"/>
          <w:szCs w:val="22"/>
          <w:lang w:val="es-CO" w:bidi="es-ES"/>
        </w:rPr>
        <w:t xml:space="preserve">. </w:t>
      </w:r>
    </w:p>
    <w:p w14:paraId="4E16B39D" w14:textId="57F576EF" w:rsidR="00743E48" w:rsidRPr="002B25B0" w:rsidRDefault="00743E48"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19F27996" w14:textId="77777777" w:rsidR="00B20C01" w:rsidRPr="002B25B0" w:rsidRDefault="00743E48"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 xml:space="preserve">(…) </w:t>
      </w:r>
      <w:r w:rsidRPr="006158B9">
        <w:rPr>
          <w:rFonts w:ascii="Arial" w:hAnsi="Arial" w:cs="Arial"/>
          <w:color w:val="000000"/>
          <w:sz w:val="22"/>
          <w:szCs w:val="22"/>
          <w:u w:val="single"/>
          <w:lang w:val="es-CO" w:bidi="es-ES"/>
        </w:rPr>
        <w:t>Un escenario diferente se presenta cuando el Alcalde requiere de autorización previa para la celebración de algunos contratos</w:t>
      </w:r>
      <w:r w:rsidRPr="002B25B0">
        <w:rPr>
          <w:rFonts w:ascii="Arial" w:hAnsi="Arial" w:cs="Arial"/>
          <w:color w:val="000000"/>
          <w:sz w:val="22"/>
          <w:szCs w:val="22"/>
          <w:lang w:val="es-CO" w:bidi="es-ES"/>
        </w:rPr>
        <w:t>, toda vez que en este supuesto no se trata de ejercicio de funciones que correspondan al Concejo municipal, en tanto (…) la función de celebración de contratos radica en cabeza del ejecutivo en cabeza del Alcalde municipal</w:t>
      </w:r>
      <w:r w:rsidR="00E31D25" w:rsidRPr="002B25B0">
        <w:rPr>
          <w:rStyle w:val="Refdenotaalpie"/>
          <w:rFonts w:ascii="Arial" w:hAnsi="Arial" w:cs="Arial"/>
          <w:color w:val="000000"/>
          <w:sz w:val="22"/>
          <w:szCs w:val="22"/>
          <w:lang w:val="es-CO" w:bidi="es-ES"/>
        </w:rPr>
        <w:footnoteReference w:id="32"/>
      </w:r>
      <w:r w:rsidR="00B20C01" w:rsidRPr="002B25B0">
        <w:rPr>
          <w:rFonts w:ascii="Arial" w:hAnsi="Arial" w:cs="Arial"/>
          <w:color w:val="000000"/>
          <w:sz w:val="22"/>
          <w:szCs w:val="22"/>
          <w:lang w:val="es-CO" w:bidi="es-ES"/>
        </w:rPr>
        <w:t xml:space="preserve">. </w:t>
      </w:r>
    </w:p>
    <w:p w14:paraId="59B671C1" w14:textId="77777777" w:rsidR="00B20C01" w:rsidRPr="002B25B0" w:rsidRDefault="00B20C01"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3E1BD851" w14:textId="77777777" w:rsidR="00B20C01" w:rsidRPr="002B25B0" w:rsidRDefault="00B20C01"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 xml:space="preserve">(…) el artículo 18 de la Ley 1551 de 20128 que modificó el artículo 32 de la Ley 136 de 1994 señala como atribuciones de los Concejos, entre otras, las siguientes: </w:t>
      </w:r>
    </w:p>
    <w:p w14:paraId="24B4105E" w14:textId="77777777" w:rsidR="00B20C01" w:rsidRPr="002B25B0" w:rsidRDefault="00B20C01"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1DF09EA8" w14:textId="77777777" w:rsidR="00AC0112" w:rsidRDefault="00B20C01" w:rsidP="000000DE">
      <w:pPr>
        <w:pStyle w:val="Prrafodelista"/>
        <w:tabs>
          <w:tab w:val="left" w:pos="0"/>
        </w:tabs>
        <w:spacing w:line="276" w:lineRule="auto"/>
        <w:ind w:left="1416"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“Artículo 18. El artículo 32 de la Ley 136 de 1994 quedará así:</w:t>
      </w:r>
      <w:r w:rsidR="00AC0112">
        <w:rPr>
          <w:rFonts w:ascii="Arial" w:hAnsi="Arial" w:cs="Arial"/>
          <w:color w:val="000000"/>
          <w:sz w:val="22"/>
          <w:szCs w:val="22"/>
          <w:lang w:val="es-CO" w:bidi="es-ES"/>
        </w:rPr>
        <w:t xml:space="preserve"> </w:t>
      </w:r>
    </w:p>
    <w:p w14:paraId="234C9184" w14:textId="77777777" w:rsidR="00AC0112" w:rsidRDefault="00AC0112" w:rsidP="000000DE">
      <w:pPr>
        <w:pStyle w:val="Prrafodelista"/>
        <w:tabs>
          <w:tab w:val="left" w:pos="0"/>
        </w:tabs>
        <w:spacing w:line="276" w:lineRule="auto"/>
        <w:ind w:left="1416" w:right="-233"/>
        <w:contextualSpacing/>
        <w:jc w:val="both"/>
        <w:rPr>
          <w:rFonts w:ascii="Arial" w:hAnsi="Arial" w:cs="Arial"/>
          <w:color w:val="000000"/>
          <w:sz w:val="22"/>
          <w:szCs w:val="22"/>
          <w:lang w:val="es-CO" w:bidi="es-ES"/>
        </w:rPr>
      </w:pPr>
    </w:p>
    <w:p w14:paraId="1EDFDC58" w14:textId="33035E7C" w:rsidR="00B20C01" w:rsidRPr="002B25B0" w:rsidRDefault="00B20C01" w:rsidP="000000DE">
      <w:pPr>
        <w:pStyle w:val="Prrafodelista"/>
        <w:tabs>
          <w:tab w:val="left" w:pos="0"/>
        </w:tabs>
        <w:spacing w:line="276" w:lineRule="auto"/>
        <w:ind w:left="1416"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Artículo 32. Atribuciones. Además de las funciones que se le</w:t>
      </w:r>
      <w:r w:rsidR="004D1D74"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señalan en la</w:t>
      </w:r>
      <w:r w:rsidR="004D1D74"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Constitución y la ley, son atribuciones de los concejos las siguientes</w:t>
      </w:r>
      <w:r w:rsidR="004D1D74" w:rsidRPr="002B25B0">
        <w:rPr>
          <w:rFonts w:ascii="Arial" w:hAnsi="Arial" w:cs="Arial"/>
          <w:color w:val="000000"/>
          <w:sz w:val="22"/>
          <w:szCs w:val="22"/>
          <w:lang w:val="es-CO" w:bidi="es-ES"/>
        </w:rPr>
        <w:t>:</w:t>
      </w:r>
    </w:p>
    <w:p w14:paraId="266760A9" w14:textId="66F3EEBC" w:rsidR="004D1D74" w:rsidRPr="002B25B0" w:rsidRDefault="004D1D74" w:rsidP="000000DE">
      <w:pPr>
        <w:pStyle w:val="Prrafodelista"/>
        <w:tabs>
          <w:tab w:val="left" w:pos="0"/>
        </w:tabs>
        <w:spacing w:line="276" w:lineRule="auto"/>
        <w:ind w:left="1416" w:right="-233"/>
        <w:contextualSpacing/>
        <w:jc w:val="both"/>
        <w:rPr>
          <w:rFonts w:ascii="Arial" w:hAnsi="Arial" w:cs="Arial"/>
          <w:color w:val="000000"/>
          <w:sz w:val="22"/>
          <w:szCs w:val="22"/>
          <w:lang w:val="es-CO" w:bidi="es-ES"/>
        </w:rPr>
      </w:pPr>
    </w:p>
    <w:p w14:paraId="2151F3B9" w14:textId="089AE9D9" w:rsidR="00B20C01" w:rsidRPr="002B25B0" w:rsidRDefault="004D1D74" w:rsidP="000000DE">
      <w:pPr>
        <w:pStyle w:val="Prrafodelista"/>
        <w:tabs>
          <w:tab w:val="left" w:pos="0"/>
        </w:tabs>
        <w:spacing w:line="276" w:lineRule="auto"/>
        <w:ind w:left="1416"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 xml:space="preserve">(…) </w:t>
      </w:r>
      <w:r w:rsidR="00B20C01" w:rsidRPr="002B25B0">
        <w:rPr>
          <w:rFonts w:ascii="Arial" w:hAnsi="Arial" w:cs="Arial"/>
          <w:color w:val="000000"/>
          <w:sz w:val="22"/>
          <w:szCs w:val="22"/>
          <w:lang w:val="es-CO" w:bidi="es-ES"/>
        </w:rPr>
        <w:t>Parágrafo 4º. De conformidad con el numeral 30 del artículo 313 de la Constitución</w:t>
      </w:r>
      <w:r w:rsidRPr="002B25B0">
        <w:rPr>
          <w:rFonts w:ascii="Arial" w:hAnsi="Arial" w:cs="Arial"/>
          <w:color w:val="000000"/>
          <w:sz w:val="22"/>
          <w:szCs w:val="22"/>
          <w:lang w:val="es-CO" w:bidi="es-ES"/>
        </w:rPr>
        <w:t xml:space="preserve"> </w:t>
      </w:r>
      <w:r w:rsidR="00B20C01" w:rsidRPr="002B25B0">
        <w:rPr>
          <w:rFonts w:ascii="Arial" w:hAnsi="Arial" w:cs="Arial"/>
          <w:color w:val="000000"/>
          <w:sz w:val="22"/>
          <w:szCs w:val="22"/>
          <w:lang w:val="es-CO" w:bidi="es-ES"/>
        </w:rPr>
        <w:t>Política, el Concejo Municipal o Distrital deberá decidir sobre la autorización al</w:t>
      </w:r>
      <w:r w:rsidRPr="002B25B0">
        <w:rPr>
          <w:rFonts w:ascii="Arial" w:hAnsi="Arial" w:cs="Arial"/>
          <w:color w:val="000000"/>
          <w:sz w:val="22"/>
          <w:szCs w:val="22"/>
          <w:lang w:val="es-CO" w:bidi="es-ES"/>
        </w:rPr>
        <w:t xml:space="preserve"> </w:t>
      </w:r>
      <w:r w:rsidR="00B20C01" w:rsidRPr="002B25B0">
        <w:rPr>
          <w:rFonts w:ascii="Arial" w:hAnsi="Arial" w:cs="Arial"/>
          <w:color w:val="000000"/>
          <w:sz w:val="22"/>
          <w:szCs w:val="22"/>
          <w:lang w:val="es-CO" w:bidi="es-ES"/>
        </w:rPr>
        <w:t>alcalde para contratar en los siguientes casos:</w:t>
      </w:r>
    </w:p>
    <w:p w14:paraId="3A09D6F1" w14:textId="26879C5E" w:rsidR="004D1D74" w:rsidRPr="002B25B0" w:rsidRDefault="004D1D74" w:rsidP="000000DE">
      <w:pPr>
        <w:pStyle w:val="Prrafodelista"/>
        <w:tabs>
          <w:tab w:val="left" w:pos="0"/>
        </w:tabs>
        <w:spacing w:line="276" w:lineRule="auto"/>
        <w:ind w:left="1416" w:right="-233"/>
        <w:contextualSpacing/>
        <w:jc w:val="both"/>
        <w:rPr>
          <w:rFonts w:ascii="Arial" w:hAnsi="Arial" w:cs="Arial"/>
          <w:color w:val="000000"/>
          <w:sz w:val="22"/>
          <w:szCs w:val="22"/>
          <w:lang w:val="es-CO" w:bidi="es-ES"/>
        </w:rPr>
      </w:pPr>
    </w:p>
    <w:p w14:paraId="654D2AEC" w14:textId="77777777" w:rsidR="004D1D74" w:rsidRPr="002B25B0" w:rsidRDefault="004D1D74" w:rsidP="000000DE">
      <w:pPr>
        <w:pStyle w:val="Prrafodelista"/>
        <w:tabs>
          <w:tab w:val="left" w:pos="0"/>
        </w:tabs>
        <w:spacing w:line="276" w:lineRule="auto"/>
        <w:ind w:left="1416"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 xml:space="preserve">(…) </w:t>
      </w:r>
      <w:r w:rsidR="00B20C01" w:rsidRPr="002B25B0">
        <w:rPr>
          <w:rFonts w:ascii="Arial" w:hAnsi="Arial" w:cs="Arial"/>
          <w:color w:val="000000"/>
          <w:sz w:val="22"/>
          <w:szCs w:val="22"/>
          <w:lang w:val="es-CO" w:bidi="es-ES"/>
        </w:rPr>
        <w:t>3. Enajenación y compraventa de bienes inmuebles</w:t>
      </w:r>
      <w:r w:rsidRPr="002B25B0">
        <w:rPr>
          <w:rFonts w:ascii="Arial" w:hAnsi="Arial" w:cs="Arial"/>
          <w:color w:val="000000"/>
          <w:sz w:val="22"/>
          <w:szCs w:val="22"/>
          <w:lang w:val="es-CO" w:bidi="es-ES"/>
        </w:rPr>
        <w:t>”</w:t>
      </w:r>
    </w:p>
    <w:p w14:paraId="7D6B56EC" w14:textId="77777777" w:rsidR="004D1D74" w:rsidRPr="002B25B0" w:rsidRDefault="004D1D74" w:rsidP="000000DE">
      <w:pPr>
        <w:pStyle w:val="Prrafodelista"/>
        <w:tabs>
          <w:tab w:val="left" w:pos="0"/>
        </w:tabs>
        <w:spacing w:line="276" w:lineRule="auto"/>
        <w:ind w:left="1416" w:right="-233"/>
        <w:contextualSpacing/>
        <w:jc w:val="both"/>
        <w:rPr>
          <w:rFonts w:ascii="Arial" w:hAnsi="Arial" w:cs="Arial"/>
          <w:color w:val="000000"/>
          <w:sz w:val="22"/>
          <w:szCs w:val="22"/>
          <w:lang w:val="es-CO" w:bidi="es-ES"/>
        </w:rPr>
      </w:pPr>
    </w:p>
    <w:p w14:paraId="3FD7A850" w14:textId="56C4E6E7" w:rsidR="004D1D74" w:rsidRPr="002B25B0" w:rsidRDefault="004D1D74"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 xml:space="preserve">De las normas citadas se colige que en materia de contratación, la Constitución establece que corresponde a los Concejos autorizar al alcalde para celebrar </w:t>
      </w:r>
      <w:r w:rsidRPr="002B25B0">
        <w:rPr>
          <w:rFonts w:ascii="Arial" w:hAnsi="Arial" w:cs="Arial"/>
          <w:color w:val="000000"/>
          <w:sz w:val="22"/>
          <w:szCs w:val="22"/>
          <w:lang w:val="es-CO" w:bidi="es-ES"/>
        </w:rPr>
        <w:lastRenderedPageBreak/>
        <w:t>contratos, mientras que a éste le asigna funciones de ejecución relacionadas de manera expresa con la responsabilidad de la prestación de los servicios a cargo del municipio</w:t>
      </w:r>
      <w:r w:rsidR="00AC0112">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w:t>
      </w:r>
    </w:p>
    <w:p w14:paraId="561B6545" w14:textId="7408F802" w:rsidR="00E027C4" w:rsidRPr="002B25B0" w:rsidRDefault="00E027C4"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7EA8A36D" w14:textId="09C3D9EC" w:rsidR="00E027C4" w:rsidRPr="002B25B0" w:rsidRDefault="004D1D74"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 xml:space="preserve">De otra parte, es evidente que, </w:t>
      </w:r>
      <w:r w:rsidRPr="006158B9">
        <w:rPr>
          <w:rFonts w:ascii="Arial" w:hAnsi="Arial" w:cs="Arial"/>
          <w:color w:val="000000"/>
          <w:sz w:val="22"/>
          <w:szCs w:val="22"/>
          <w:u w:val="single"/>
          <w:lang w:val="es-CO" w:bidi="es-ES"/>
        </w:rPr>
        <w:t>los Concejos municipales deberán autorizar a</w:t>
      </w:r>
      <w:r w:rsidR="00E027C4" w:rsidRPr="006158B9">
        <w:rPr>
          <w:rFonts w:ascii="Arial" w:hAnsi="Arial" w:cs="Arial"/>
          <w:color w:val="000000"/>
          <w:sz w:val="22"/>
          <w:szCs w:val="22"/>
          <w:u w:val="single"/>
          <w:lang w:val="es-CO" w:bidi="es-ES"/>
        </w:rPr>
        <w:t xml:space="preserve"> </w:t>
      </w:r>
      <w:r w:rsidRPr="006158B9">
        <w:rPr>
          <w:rFonts w:ascii="Arial" w:hAnsi="Arial" w:cs="Arial"/>
          <w:color w:val="000000"/>
          <w:sz w:val="22"/>
          <w:szCs w:val="22"/>
          <w:u w:val="single"/>
          <w:lang w:val="es-CO" w:bidi="es-ES"/>
        </w:rPr>
        <w:t>los alcaldes para contratar en aquellos contratos que necesiten previa</w:t>
      </w:r>
      <w:r w:rsidR="00E027C4" w:rsidRPr="006158B9">
        <w:rPr>
          <w:rFonts w:ascii="Arial" w:hAnsi="Arial" w:cs="Arial"/>
          <w:color w:val="000000"/>
          <w:sz w:val="22"/>
          <w:szCs w:val="22"/>
          <w:u w:val="single"/>
          <w:lang w:val="es-CO" w:bidi="es-ES"/>
        </w:rPr>
        <w:t xml:space="preserve"> </w:t>
      </w:r>
      <w:r w:rsidRPr="006158B9">
        <w:rPr>
          <w:rFonts w:ascii="Arial" w:hAnsi="Arial" w:cs="Arial"/>
          <w:color w:val="000000"/>
          <w:sz w:val="22"/>
          <w:szCs w:val="22"/>
          <w:u w:val="single"/>
          <w:lang w:val="es-CO" w:bidi="es-ES"/>
        </w:rPr>
        <w:t>autorización, pero sólo será necesaria aquella, únicamente para la celebración</w:t>
      </w:r>
      <w:r w:rsidR="00E027C4" w:rsidRPr="006158B9">
        <w:rPr>
          <w:rFonts w:ascii="Arial" w:hAnsi="Arial" w:cs="Arial"/>
          <w:color w:val="000000"/>
          <w:sz w:val="22"/>
          <w:szCs w:val="22"/>
          <w:u w:val="single"/>
          <w:lang w:val="es-CO" w:bidi="es-ES"/>
        </w:rPr>
        <w:t xml:space="preserve"> de los contratos que de manera taxativa haya determinado el legislador</w:t>
      </w:r>
      <w:r w:rsidR="00E027C4" w:rsidRPr="002B25B0">
        <w:rPr>
          <w:rFonts w:ascii="Arial" w:hAnsi="Arial" w:cs="Arial"/>
          <w:color w:val="000000"/>
          <w:sz w:val="22"/>
          <w:szCs w:val="22"/>
          <w:lang w:val="es-CO" w:bidi="es-ES"/>
        </w:rPr>
        <w:t xml:space="preserve"> (…).</w:t>
      </w:r>
    </w:p>
    <w:p w14:paraId="398BE071" w14:textId="462E213F" w:rsidR="00E027C4" w:rsidRPr="002B25B0" w:rsidRDefault="00E027C4"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4C0D6784" w14:textId="6CE334F9" w:rsidR="00096EB8" w:rsidRDefault="00096EB8"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 Se advierte que la Sala de Consulta y Servicio Civil del Consejo de Estado, en Concepto No 2215 de 2014, sostuvo que la referida función de autorización del Concejo Municipal obedece exclusivamente a aqu</w:t>
      </w:r>
      <w:r w:rsidR="001176D0">
        <w:rPr>
          <w:rFonts w:ascii="Arial" w:hAnsi="Arial" w:cs="Arial"/>
          <w:color w:val="000000"/>
          <w:sz w:val="22"/>
          <w:szCs w:val="22"/>
          <w:lang w:val="es-CO" w:bidi="es-ES"/>
        </w:rPr>
        <w:t>e</w:t>
      </w:r>
      <w:r w:rsidRPr="002B25B0">
        <w:rPr>
          <w:rFonts w:ascii="Arial" w:hAnsi="Arial" w:cs="Arial"/>
          <w:color w:val="000000"/>
          <w:sz w:val="22"/>
          <w:szCs w:val="22"/>
          <w:lang w:val="es-CO" w:bidi="es-ES"/>
        </w:rPr>
        <w:t>llos contratos que, excepcionalmente, lo requieran por su naturaleza, importancia, cuantía o</w:t>
      </w:r>
      <w:r w:rsidR="002B25B0"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impacto local que pueden afectar de manera importante la vida municipal.</w:t>
      </w:r>
    </w:p>
    <w:p w14:paraId="4879D9E0" w14:textId="05A83953" w:rsidR="00383A50" w:rsidRDefault="00383A50"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7EE0940C" w14:textId="4542ACB9" w:rsidR="00743E48" w:rsidRDefault="00096EB8"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B25B0">
        <w:rPr>
          <w:rFonts w:ascii="Arial" w:hAnsi="Arial" w:cs="Arial"/>
          <w:color w:val="000000"/>
          <w:sz w:val="22"/>
          <w:szCs w:val="22"/>
          <w:lang w:val="es-CO" w:bidi="es-ES"/>
        </w:rPr>
        <w:t>En consecuencia, habrá de indicarse que es la condición misma de esa clase de</w:t>
      </w:r>
      <w:r w:rsidR="002B25B0"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contratos, que hace que el concejo municipal deba autorizar al alcalde para su</w:t>
      </w:r>
      <w:r w:rsidR="002B25B0"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contratación, por cuanto su celebración conlleva un impacto para el municipio,</w:t>
      </w:r>
      <w:r w:rsidR="002B25B0"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es así que el legislador dispuso, a manera de excepción, su consagración expresa</w:t>
      </w:r>
      <w:r w:rsidR="002B25B0"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en la norma, pese a que de conformidad con el Estatuto de Contratación y las</w:t>
      </w:r>
      <w:r w:rsidR="002B25B0"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normas orgánicas de presupuesto, los alcaldes tienen la facultad general de</w:t>
      </w:r>
      <w:r w:rsidR="002B25B0"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suscribir contratos, representar legalmente al municipio y dirigir la actividad</w:t>
      </w:r>
      <w:r w:rsidR="002B25B0"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contractual de los mismos sin necesidad de una autorización previa, general o</w:t>
      </w:r>
      <w:r w:rsidR="002B25B0" w:rsidRPr="002B25B0">
        <w:rPr>
          <w:rFonts w:ascii="Arial" w:hAnsi="Arial" w:cs="Arial"/>
          <w:color w:val="000000"/>
          <w:sz w:val="22"/>
          <w:szCs w:val="22"/>
          <w:lang w:val="es-CO" w:bidi="es-ES"/>
        </w:rPr>
        <w:t xml:space="preserve"> </w:t>
      </w:r>
      <w:r w:rsidRPr="002B25B0">
        <w:rPr>
          <w:rFonts w:ascii="Arial" w:hAnsi="Arial" w:cs="Arial"/>
          <w:color w:val="000000"/>
          <w:sz w:val="22"/>
          <w:szCs w:val="22"/>
          <w:lang w:val="es-CO" w:bidi="es-ES"/>
        </w:rPr>
        <w:t>periódica del concejo municipal</w:t>
      </w:r>
      <w:r w:rsidR="002B25B0" w:rsidRPr="002B25B0">
        <w:rPr>
          <w:rFonts w:ascii="Arial" w:hAnsi="Arial" w:cs="Arial"/>
          <w:color w:val="000000"/>
          <w:sz w:val="22"/>
          <w:szCs w:val="22"/>
          <w:lang w:val="es-CO" w:bidi="es-ES"/>
        </w:rPr>
        <w:t>”</w:t>
      </w:r>
      <w:r w:rsidR="002B25B0">
        <w:rPr>
          <w:rStyle w:val="Refdenotaalpie"/>
          <w:rFonts w:ascii="Arial" w:hAnsi="Arial" w:cs="Arial"/>
          <w:color w:val="000000"/>
          <w:sz w:val="22"/>
          <w:szCs w:val="22"/>
          <w:lang w:val="es-CO" w:bidi="es-ES"/>
        </w:rPr>
        <w:footnoteReference w:id="33"/>
      </w:r>
      <w:r w:rsidR="006158B9">
        <w:rPr>
          <w:rFonts w:ascii="Arial" w:hAnsi="Arial" w:cs="Arial"/>
          <w:color w:val="000000"/>
          <w:sz w:val="22"/>
          <w:szCs w:val="22"/>
          <w:lang w:val="es-CO" w:bidi="es-ES"/>
        </w:rPr>
        <w:t xml:space="preserve"> (negrillas y subrayas de la Sala)</w:t>
      </w:r>
      <w:r w:rsidR="002B25B0" w:rsidRPr="002B25B0">
        <w:rPr>
          <w:rFonts w:ascii="Arial" w:hAnsi="Arial" w:cs="Arial"/>
          <w:color w:val="000000"/>
          <w:sz w:val="22"/>
          <w:szCs w:val="22"/>
          <w:lang w:val="es-CO" w:bidi="es-ES"/>
        </w:rPr>
        <w:t>.</w:t>
      </w:r>
    </w:p>
    <w:p w14:paraId="60EE85AA" w14:textId="398ABFB9" w:rsidR="00263C31" w:rsidRDefault="00263C31"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5EC60BA4" w14:textId="5912851D" w:rsidR="00B2416E" w:rsidRDefault="00B2416E"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24.</w:t>
      </w:r>
      <w:r w:rsidR="00263C31">
        <w:rPr>
          <w:rFonts w:ascii="Arial" w:hAnsi="Arial" w:cs="Arial"/>
          <w:color w:val="000000"/>
          <w:sz w:val="24"/>
          <w:szCs w:val="24"/>
          <w:lang w:val="es-CO" w:bidi="es-ES"/>
        </w:rPr>
        <w:t xml:space="preserve"> La anterior postura, ya había sido planteada por esta Corporación judicial en sentencia de 26 de febrero de 2020</w:t>
      </w:r>
      <w:r w:rsidR="00263C31">
        <w:rPr>
          <w:rStyle w:val="Refdenotaalpie"/>
          <w:rFonts w:ascii="Arial" w:hAnsi="Arial" w:cs="Arial"/>
          <w:color w:val="000000"/>
          <w:sz w:val="24"/>
          <w:szCs w:val="24"/>
          <w:lang w:val="es-CO" w:bidi="es-ES"/>
        </w:rPr>
        <w:footnoteReference w:id="34"/>
      </w:r>
      <w:r w:rsidR="00263C31">
        <w:rPr>
          <w:rFonts w:ascii="Arial" w:hAnsi="Arial" w:cs="Arial"/>
          <w:color w:val="000000"/>
          <w:sz w:val="24"/>
          <w:szCs w:val="24"/>
          <w:lang w:val="es-CO" w:bidi="es-ES"/>
        </w:rPr>
        <w:t>.</w:t>
      </w:r>
      <w:r>
        <w:rPr>
          <w:rFonts w:ascii="Arial" w:hAnsi="Arial" w:cs="Arial"/>
          <w:color w:val="000000"/>
          <w:sz w:val="24"/>
          <w:szCs w:val="24"/>
          <w:lang w:val="es-CO" w:bidi="es-ES"/>
        </w:rPr>
        <w:t xml:space="preserve"> </w:t>
      </w:r>
    </w:p>
    <w:p w14:paraId="3689A205" w14:textId="591976A7" w:rsidR="00383A50" w:rsidRDefault="00383A50"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78787F5D" w14:textId="1B6B1895" w:rsidR="001865C4" w:rsidRDefault="00383A50"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 xml:space="preserve">25. </w:t>
      </w:r>
      <w:r w:rsidR="004A693A">
        <w:rPr>
          <w:rFonts w:ascii="Arial" w:hAnsi="Arial" w:cs="Arial"/>
          <w:color w:val="000000"/>
          <w:sz w:val="24"/>
          <w:szCs w:val="24"/>
          <w:lang w:val="es-CO" w:bidi="es-ES"/>
        </w:rPr>
        <w:t>Ahora bien,</w:t>
      </w:r>
      <w:r w:rsidR="00475C54">
        <w:rPr>
          <w:rFonts w:ascii="Arial" w:hAnsi="Arial" w:cs="Arial"/>
          <w:color w:val="000000"/>
          <w:sz w:val="24"/>
          <w:szCs w:val="24"/>
          <w:lang w:val="es-CO" w:bidi="es-ES"/>
        </w:rPr>
        <w:t xml:space="preserve"> en el caso de las autorizaciones concedidas por los concejos para que el alcalde ejerza </w:t>
      </w:r>
      <w:r w:rsidR="00475C54">
        <w:rPr>
          <w:rFonts w:ascii="Arial" w:hAnsi="Arial" w:cs="Arial"/>
          <w:i/>
          <w:iCs/>
          <w:color w:val="000000"/>
          <w:sz w:val="24"/>
          <w:szCs w:val="24"/>
          <w:lang w:val="es-CO" w:bidi="es-ES"/>
        </w:rPr>
        <w:t xml:space="preserve">pro tempore </w:t>
      </w:r>
      <w:r w:rsidR="0095137C">
        <w:rPr>
          <w:rFonts w:ascii="Arial" w:hAnsi="Arial" w:cs="Arial"/>
          <w:color w:val="000000"/>
          <w:sz w:val="24"/>
          <w:szCs w:val="24"/>
          <w:lang w:val="es-CO" w:bidi="es-ES"/>
        </w:rPr>
        <w:t xml:space="preserve">las </w:t>
      </w:r>
      <w:r w:rsidR="00475C54">
        <w:rPr>
          <w:rFonts w:ascii="Arial" w:hAnsi="Arial" w:cs="Arial"/>
          <w:color w:val="000000"/>
          <w:sz w:val="24"/>
          <w:szCs w:val="24"/>
          <w:lang w:val="es-CO" w:bidi="es-ES"/>
        </w:rPr>
        <w:t xml:space="preserve">funciones que el ordenamiento jurídico puso en cabeza de los primeros, </w:t>
      </w:r>
      <w:r w:rsidR="00FA7A9B">
        <w:rPr>
          <w:rFonts w:ascii="Arial" w:hAnsi="Arial" w:cs="Arial"/>
          <w:color w:val="000000"/>
          <w:sz w:val="24"/>
          <w:szCs w:val="24"/>
          <w:lang w:val="es-CO" w:bidi="es-ES"/>
        </w:rPr>
        <w:t xml:space="preserve">de tiempo atrás, la jurisprudencia </w:t>
      </w:r>
      <w:r w:rsidR="00AA4145">
        <w:rPr>
          <w:rFonts w:ascii="Arial" w:hAnsi="Arial" w:cs="Arial"/>
          <w:color w:val="000000"/>
          <w:sz w:val="24"/>
          <w:szCs w:val="24"/>
          <w:lang w:val="es-CO" w:bidi="es-ES"/>
        </w:rPr>
        <w:t xml:space="preserve">de esta Corporación </w:t>
      </w:r>
      <w:r w:rsidR="00FA7A9B">
        <w:rPr>
          <w:rFonts w:ascii="Arial" w:hAnsi="Arial" w:cs="Arial"/>
          <w:color w:val="000000"/>
          <w:sz w:val="24"/>
          <w:szCs w:val="24"/>
          <w:lang w:val="es-CO" w:bidi="es-ES"/>
        </w:rPr>
        <w:t>tiene dicho que las mismas son improrrogables</w:t>
      </w:r>
      <w:r w:rsidR="00301C5D">
        <w:rPr>
          <w:rFonts w:ascii="Arial" w:hAnsi="Arial" w:cs="Arial"/>
          <w:color w:val="000000"/>
          <w:sz w:val="24"/>
          <w:szCs w:val="24"/>
          <w:lang w:val="es-CO" w:bidi="es-ES"/>
        </w:rPr>
        <w:t xml:space="preserve"> y, en consecuencia, no se pueden conceder de manera sucesiva</w:t>
      </w:r>
      <w:r w:rsidR="00FA7A9B">
        <w:rPr>
          <w:rFonts w:ascii="Arial" w:hAnsi="Arial" w:cs="Arial"/>
          <w:color w:val="000000"/>
          <w:sz w:val="24"/>
          <w:szCs w:val="24"/>
          <w:lang w:val="es-CO" w:bidi="es-ES"/>
        </w:rPr>
        <w:t>.</w:t>
      </w:r>
      <w:r w:rsidR="001865C4">
        <w:rPr>
          <w:rFonts w:ascii="Arial" w:hAnsi="Arial" w:cs="Arial"/>
          <w:color w:val="000000"/>
          <w:sz w:val="24"/>
          <w:szCs w:val="24"/>
          <w:lang w:val="es-CO" w:bidi="es-ES"/>
        </w:rPr>
        <w:t xml:space="preserve"> Recientemente, en sentencia de 11 de febrero de 2021, este Tribunal manifestó: </w:t>
      </w:r>
    </w:p>
    <w:p w14:paraId="3F58D6BA" w14:textId="77777777" w:rsidR="001865C4" w:rsidRDefault="001865C4"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2FABDA81" w14:textId="1419FD2A" w:rsidR="00691EF2" w:rsidRPr="00287331" w:rsidRDefault="001865C4"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87331">
        <w:rPr>
          <w:rFonts w:ascii="Arial" w:hAnsi="Arial" w:cs="Arial"/>
          <w:color w:val="000000"/>
          <w:sz w:val="22"/>
          <w:szCs w:val="22"/>
          <w:lang w:val="es-CO" w:bidi="es-ES"/>
        </w:rPr>
        <w:t>“</w:t>
      </w:r>
      <w:r w:rsidR="00691EF2" w:rsidRPr="00287331">
        <w:rPr>
          <w:rFonts w:ascii="Arial" w:hAnsi="Arial" w:cs="Arial"/>
          <w:color w:val="000000"/>
          <w:sz w:val="22"/>
          <w:szCs w:val="22"/>
          <w:lang w:val="es-CO" w:bidi="es-ES"/>
        </w:rPr>
        <w:t xml:space="preserve">Al respecto ha de indicarse que la jurisprudencia del Consejo de Estado respecto a la autorización al Alcalde para ejercer </w:t>
      </w:r>
      <w:r w:rsidR="00691EF2" w:rsidRPr="00AA4145">
        <w:rPr>
          <w:rFonts w:ascii="Arial" w:hAnsi="Arial" w:cs="Arial"/>
          <w:i/>
          <w:iCs/>
          <w:color w:val="000000"/>
          <w:sz w:val="22"/>
          <w:szCs w:val="22"/>
          <w:lang w:val="es-CO" w:bidi="es-ES"/>
        </w:rPr>
        <w:t>pro tempore</w:t>
      </w:r>
      <w:r w:rsidR="00691EF2" w:rsidRPr="00287331">
        <w:rPr>
          <w:rFonts w:ascii="Arial" w:hAnsi="Arial" w:cs="Arial"/>
          <w:color w:val="000000"/>
          <w:sz w:val="22"/>
          <w:szCs w:val="22"/>
          <w:lang w:val="es-CO" w:bidi="es-ES"/>
        </w:rPr>
        <w:t xml:space="preserve"> precisas funciones, reveló lo siguiente:</w:t>
      </w:r>
    </w:p>
    <w:p w14:paraId="4411EDE1" w14:textId="7EDF9E5C" w:rsidR="00691EF2" w:rsidRPr="00287331" w:rsidRDefault="00691EF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6EEA486C" w14:textId="28CA85FB" w:rsidR="00691EF2" w:rsidRPr="00287331" w:rsidRDefault="00691EF2" w:rsidP="000000DE">
      <w:pPr>
        <w:pStyle w:val="Prrafodelista"/>
        <w:tabs>
          <w:tab w:val="left" w:pos="0"/>
        </w:tabs>
        <w:spacing w:line="276" w:lineRule="auto"/>
        <w:ind w:left="1416" w:right="-233"/>
        <w:contextualSpacing/>
        <w:jc w:val="both"/>
        <w:rPr>
          <w:rFonts w:ascii="Arial" w:hAnsi="Arial" w:cs="Arial"/>
          <w:color w:val="000000"/>
          <w:sz w:val="22"/>
          <w:szCs w:val="22"/>
          <w:lang w:val="es-CO" w:bidi="es-ES"/>
        </w:rPr>
      </w:pPr>
      <w:r w:rsidRPr="00287331">
        <w:rPr>
          <w:rFonts w:ascii="Arial" w:hAnsi="Arial" w:cs="Arial"/>
          <w:color w:val="000000"/>
          <w:sz w:val="22"/>
          <w:szCs w:val="22"/>
          <w:lang w:val="es-CO" w:bidi="es-ES"/>
        </w:rPr>
        <w:t>“(…)</w:t>
      </w:r>
      <w:r w:rsidR="00E50C1A">
        <w:rPr>
          <w:rFonts w:ascii="Arial" w:hAnsi="Arial" w:cs="Arial"/>
          <w:color w:val="000000"/>
          <w:sz w:val="22"/>
          <w:szCs w:val="22"/>
          <w:lang w:val="es-CO" w:bidi="es-ES"/>
        </w:rPr>
        <w:t xml:space="preserve"> </w:t>
      </w:r>
      <w:r w:rsidRPr="009B3360">
        <w:rPr>
          <w:rFonts w:ascii="Arial" w:hAnsi="Arial" w:cs="Arial"/>
          <w:color w:val="000000"/>
          <w:sz w:val="22"/>
          <w:szCs w:val="22"/>
          <w:u w:val="single"/>
          <w:lang w:val="es-CO" w:bidi="es-ES"/>
        </w:rPr>
        <w:t>Las facultades extraordinarias que otorgan las corporaciones públicas en los distintos niveles</w:t>
      </w:r>
      <w:r w:rsidRPr="00287331">
        <w:rPr>
          <w:rFonts w:ascii="Arial" w:hAnsi="Arial" w:cs="Arial"/>
          <w:color w:val="000000"/>
          <w:sz w:val="22"/>
          <w:szCs w:val="22"/>
          <w:lang w:val="es-CO" w:bidi="es-ES"/>
        </w:rPr>
        <w:t xml:space="preserve">, trátese de Congreso de la República, asambleas departamentales y concejos municipales, al Presidente de la República, Gobernador y Alcaldes, </w:t>
      </w:r>
      <w:r w:rsidRPr="009B3360">
        <w:rPr>
          <w:rFonts w:ascii="Arial" w:hAnsi="Arial" w:cs="Arial"/>
          <w:color w:val="000000"/>
          <w:sz w:val="22"/>
          <w:szCs w:val="22"/>
          <w:u w:val="single"/>
          <w:lang w:val="es-CO" w:bidi="es-ES"/>
        </w:rPr>
        <w:t xml:space="preserve">deben cumplir las exigencias constitucionales y como competencias de excepción </w:t>
      </w:r>
      <w:r w:rsidRPr="009B3360">
        <w:rPr>
          <w:rFonts w:ascii="Arial" w:hAnsi="Arial" w:cs="Arial"/>
          <w:b/>
          <w:bCs/>
          <w:color w:val="000000"/>
          <w:sz w:val="22"/>
          <w:szCs w:val="22"/>
          <w:u w:val="single"/>
          <w:lang w:val="es-CO" w:bidi="es-ES"/>
        </w:rPr>
        <w:t xml:space="preserve">deben ser </w:t>
      </w:r>
      <w:r w:rsidRPr="009B3360">
        <w:rPr>
          <w:rFonts w:ascii="Arial" w:hAnsi="Arial" w:cs="Arial"/>
          <w:b/>
          <w:bCs/>
          <w:color w:val="000000"/>
          <w:sz w:val="22"/>
          <w:szCs w:val="22"/>
          <w:u w:val="single"/>
          <w:lang w:val="es-CO" w:bidi="es-ES"/>
        </w:rPr>
        <w:lastRenderedPageBreak/>
        <w:t>interpretadas estrictamente</w:t>
      </w:r>
      <w:r w:rsidRPr="009B3360">
        <w:rPr>
          <w:rFonts w:ascii="Arial" w:hAnsi="Arial" w:cs="Arial"/>
          <w:color w:val="000000"/>
          <w:sz w:val="22"/>
          <w:szCs w:val="22"/>
          <w:u w:val="single"/>
          <w:lang w:val="es-CO" w:bidi="es-ES"/>
        </w:rPr>
        <w:t xml:space="preserve"> en el sentido de que la facultad que se otorga debe serlo de manera precisa</w:t>
      </w:r>
      <w:r w:rsidRPr="00287331">
        <w:rPr>
          <w:rFonts w:ascii="Arial" w:hAnsi="Arial" w:cs="Arial"/>
          <w:color w:val="000000"/>
          <w:sz w:val="22"/>
          <w:szCs w:val="22"/>
          <w:lang w:val="es-CO" w:bidi="es-ES"/>
        </w:rPr>
        <w:t>, pues de no ser así se corre el riesgo de vaciar de contenido las normas constitucionales y trasladar masivamente la competencia de los órganos de representación popular a la autoridad ejecutiva, con grave desmedro del equilibrio de poderes que orienta como principio fundamental el ordenamiento constitucional(…)”</w:t>
      </w:r>
      <w:r w:rsidR="00E50C1A">
        <w:rPr>
          <w:rStyle w:val="Refdenotaalpie"/>
          <w:rFonts w:ascii="Arial" w:hAnsi="Arial" w:cs="Arial"/>
          <w:color w:val="000000"/>
          <w:sz w:val="22"/>
          <w:szCs w:val="22"/>
          <w:lang w:val="es-CO" w:bidi="es-ES"/>
        </w:rPr>
        <w:footnoteReference w:id="35"/>
      </w:r>
      <w:r w:rsidR="00E50C1A">
        <w:rPr>
          <w:rFonts w:ascii="Arial" w:hAnsi="Arial" w:cs="Arial"/>
          <w:color w:val="000000"/>
          <w:sz w:val="22"/>
          <w:szCs w:val="22"/>
          <w:lang w:val="es-CO" w:bidi="es-ES"/>
        </w:rPr>
        <w:t>.</w:t>
      </w:r>
    </w:p>
    <w:p w14:paraId="26281088" w14:textId="77777777" w:rsidR="00691EF2" w:rsidRPr="00287331" w:rsidRDefault="00691EF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2CE954F7" w14:textId="2304C4EE" w:rsidR="00691EF2" w:rsidRPr="00287331" w:rsidRDefault="00691EF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287331">
        <w:rPr>
          <w:rFonts w:ascii="Arial" w:hAnsi="Arial" w:cs="Arial"/>
          <w:color w:val="000000"/>
          <w:sz w:val="22"/>
          <w:szCs w:val="22"/>
          <w:lang w:val="es-CO" w:bidi="es-ES"/>
        </w:rPr>
        <w:t xml:space="preserve">En esa medida </w:t>
      </w:r>
      <w:r w:rsidRPr="007D62B1">
        <w:rPr>
          <w:rFonts w:ascii="Arial" w:hAnsi="Arial" w:cs="Arial"/>
          <w:color w:val="000000"/>
          <w:sz w:val="22"/>
          <w:szCs w:val="22"/>
          <w:u w:val="single"/>
          <w:lang w:val="es-CO" w:bidi="es-ES"/>
        </w:rPr>
        <w:t xml:space="preserve">las facultades </w:t>
      </w:r>
      <w:r w:rsidRPr="007D62B1">
        <w:rPr>
          <w:rFonts w:ascii="Arial" w:hAnsi="Arial" w:cs="Arial"/>
          <w:i/>
          <w:iCs/>
          <w:color w:val="000000"/>
          <w:sz w:val="22"/>
          <w:szCs w:val="22"/>
          <w:u w:val="single"/>
          <w:lang w:val="es-CO" w:bidi="es-ES"/>
        </w:rPr>
        <w:t>pro tempore</w:t>
      </w:r>
      <w:r w:rsidRPr="007D62B1">
        <w:rPr>
          <w:rFonts w:ascii="Arial" w:hAnsi="Arial" w:cs="Arial"/>
          <w:color w:val="000000"/>
          <w:sz w:val="22"/>
          <w:szCs w:val="22"/>
          <w:u w:val="single"/>
          <w:lang w:val="es-CO" w:bidi="es-ES"/>
        </w:rPr>
        <w:t xml:space="preserve"> otorgadas al Alcalde Municipal, deben ser interpretadas de manera restrictiva</w:t>
      </w:r>
      <w:r w:rsidRPr="009B3360">
        <w:rPr>
          <w:rFonts w:ascii="Arial" w:hAnsi="Arial" w:cs="Arial"/>
          <w:color w:val="000000"/>
          <w:sz w:val="22"/>
          <w:szCs w:val="22"/>
          <w:lang w:val="es-CO" w:bidi="es-ES"/>
        </w:rPr>
        <w:t>,</w:t>
      </w:r>
      <w:r w:rsidRPr="00287331">
        <w:rPr>
          <w:rFonts w:ascii="Arial" w:hAnsi="Arial" w:cs="Arial"/>
          <w:color w:val="000000"/>
          <w:sz w:val="22"/>
          <w:szCs w:val="22"/>
          <w:lang w:val="es-CO" w:bidi="es-ES"/>
        </w:rPr>
        <w:t xml:space="preserve"> lo que conlleva la necesidad de que la facultad que se otorgue sea precisa de las funciones que le corresponden al Concejo Municipal; además </w:t>
      </w:r>
      <w:r w:rsidRPr="007D62B1">
        <w:rPr>
          <w:rFonts w:ascii="Arial" w:hAnsi="Arial" w:cs="Arial"/>
          <w:color w:val="000000"/>
          <w:sz w:val="22"/>
          <w:szCs w:val="22"/>
          <w:u w:val="single"/>
          <w:lang w:val="es-CO" w:bidi="es-ES"/>
        </w:rPr>
        <w:t>en cuanto a definición y tiempo en que se concede</w:t>
      </w:r>
      <w:r w:rsidRPr="00287331">
        <w:rPr>
          <w:rFonts w:ascii="Arial" w:hAnsi="Arial" w:cs="Arial"/>
          <w:color w:val="000000"/>
          <w:sz w:val="22"/>
          <w:szCs w:val="22"/>
          <w:lang w:val="es-CO" w:bidi="es-ES"/>
        </w:rPr>
        <w:t>, necesariamente implicará la observancia del principio de planeación, a fin determinar las particularidades propias de la facultad pro tempore otorgada.</w:t>
      </w:r>
    </w:p>
    <w:p w14:paraId="5DFCF3D2" w14:textId="4C22A74A" w:rsidR="00691EF2" w:rsidRPr="00287331" w:rsidRDefault="00691EF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1BBD09D7" w14:textId="77777777" w:rsidR="00C624BD" w:rsidRDefault="00691EF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C624BD">
        <w:rPr>
          <w:rFonts w:ascii="Arial" w:hAnsi="Arial" w:cs="Arial"/>
          <w:color w:val="000000"/>
          <w:sz w:val="22"/>
          <w:szCs w:val="22"/>
          <w:u w:val="single"/>
          <w:lang w:val="es-CO" w:bidi="es-ES"/>
        </w:rPr>
        <w:t>Desconocer lo anterior implicaría</w:t>
      </w:r>
      <w:r w:rsidRPr="00287331">
        <w:rPr>
          <w:rFonts w:ascii="Arial" w:hAnsi="Arial" w:cs="Arial"/>
          <w:color w:val="000000"/>
          <w:sz w:val="22"/>
          <w:szCs w:val="22"/>
          <w:lang w:val="es-CO" w:bidi="es-ES"/>
        </w:rPr>
        <w:t xml:space="preserve">, tal como lo advierte el Consejo de Estado, </w:t>
      </w:r>
      <w:r w:rsidRPr="00C624BD">
        <w:rPr>
          <w:rFonts w:ascii="Arial" w:hAnsi="Arial" w:cs="Arial"/>
          <w:color w:val="000000"/>
          <w:sz w:val="22"/>
          <w:szCs w:val="22"/>
          <w:u w:val="single"/>
          <w:lang w:val="es-CO" w:bidi="es-ES"/>
        </w:rPr>
        <w:t>correr el riesgo de vaciar de contenido las normas constitucionales y trasladar masivamente la competencia de los órganos de representación popular a la autoridad ejecutiva</w:t>
      </w:r>
      <w:r w:rsidRPr="00287331">
        <w:rPr>
          <w:rFonts w:ascii="Arial" w:hAnsi="Arial" w:cs="Arial"/>
          <w:color w:val="000000"/>
          <w:sz w:val="22"/>
          <w:szCs w:val="22"/>
          <w:lang w:val="es-CO" w:bidi="es-ES"/>
        </w:rPr>
        <w:t>, con grave desmedro del equilibrio de poderes que orienta, como principio fundamental, el ordenamiento constitucional</w:t>
      </w:r>
      <w:r w:rsidR="00C624BD">
        <w:rPr>
          <w:rFonts w:ascii="Arial" w:hAnsi="Arial" w:cs="Arial"/>
          <w:color w:val="000000"/>
          <w:sz w:val="22"/>
          <w:szCs w:val="22"/>
          <w:lang w:val="es-CO" w:bidi="es-ES"/>
        </w:rPr>
        <w:t>.</w:t>
      </w:r>
    </w:p>
    <w:p w14:paraId="3780C699" w14:textId="77777777" w:rsidR="00C624BD" w:rsidRDefault="00C624BD"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40E9C088" w14:textId="11146516" w:rsidR="00383A50" w:rsidRDefault="004E25AA"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Pr>
          <w:rFonts w:ascii="Arial" w:hAnsi="Arial" w:cs="Arial"/>
          <w:color w:val="000000"/>
          <w:sz w:val="22"/>
          <w:szCs w:val="22"/>
          <w:lang w:val="es-CO" w:bidi="es-ES"/>
        </w:rPr>
        <w:t xml:space="preserve">(…) </w:t>
      </w:r>
      <w:r w:rsidRPr="004E25AA">
        <w:rPr>
          <w:rFonts w:ascii="Arial" w:hAnsi="Arial" w:cs="Arial"/>
          <w:color w:val="000000"/>
          <w:sz w:val="22"/>
          <w:szCs w:val="22"/>
          <w:lang w:val="es-CO" w:bidi="es-ES"/>
        </w:rPr>
        <w:t xml:space="preserve">En suma, como quiera que, de acuerdo con la jurisprudencia del Consejo de Estado, las facultades pro tempore que el Concejo Municipal confiere a los Alcaldes </w:t>
      </w:r>
      <w:r w:rsidRPr="004E25AA">
        <w:rPr>
          <w:rFonts w:ascii="Arial" w:hAnsi="Arial" w:cs="Arial"/>
          <w:b/>
          <w:bCs/>
          <w:color w:val="000000"/>
          <w:sz w:val="22"/>
          <w:szCs w:val="22"/>
          <w:u w:val="single"/>
          <w:lang w:val="es-CO" w:bidi="es-ES"/>
        </w:rPr>
        <w:t>solo pueden ser otorgadas por única vez y no pueden ser prorrogadas sucesivamente</w:t>
      </w:r>
      <w:r w:rsidRPr="004E25AA">
        <w:rPr>
          <w:rFonts w:ascii="Arial" w:hAnsi="Arial" w:cs="Arial"/>
          <w:color w:val="000000"/>
          <w:sz w:val="22"/>
          <w:szCs w:val="22"/>
          <w:lang w:val="es-CO" w:bidi="es-ES"/>
        </w:rPr>
        <w:t xml:space="preserve">, en tanto se desnaturalizaría la distribución de competencias fijada desde la misma Constitución, y que una vez vencido el término por el cual fueron concedidas, tales funciones regresan necesariamente al Concejo, fuerza concluir que el presente acuerdo mediante el cual se prorrogó hasta el 02 de noviembre de 2020 la facultad </w:t>
      </w:r>
      <w:r w:rsidRPr="004E25AA">
        <w:rPr>
          <w:rFonts w:ascii="Arial" w:hAnsi="Arial" w:cs="Arial"/>
          <w:i/>
          <w:iCs/>
          <w:color w:val="000000"/>
          <w:sz w:val="22"/>
          <w:szCs w:val="22"/>
          <w:lang w:val="es-CO" w:bidi="es-ES"/>
        </w:rPr>
        <w:t>pro tempore</w:t>
      </w:r>
      <w:r w:rsidRPr="004E25AA">
        <w:rPr>
          <w:rFonts w:ascii="Arial" w:hAnsi="Arial" w:cs="Arial"/>
          <w:color w:val="000000"/>
          <w:sz w:val="22"/>
          <w:szCs w:val="22"/>
          <w:lang w:val="es-CO" w:bidi="es-ES"/>
        </w:rPr>
        <w:t xml:space="preserve"> concedida al Alcalde del Municipio de Berbeo, resulta ser inválido y así ha de declararse</w:t>
      </w:r>
      <w:r w:rsidR="00691EF2" w:rsidRPr="00287331">
        <w:rPr>
          <w:rFonts w:ascii="Arial" w:hAnsi="Arial" w:cs="Arial"/>
          <w:color w:val="000000"/>
          <w:sz w:val="22"/>
          <w:szCs w:val="22"/>
          <w:lang w:val="es-CO" w:bidi="es-ES"/>
        </w:rPr>
        <w:t>”</w:t>
      </w:r>
      <w:r w:rsidR="00645E86" w:rsidRPr="00287331">
        <w:rPr>
          <w:rStyle w:val="Refdenotaalpie"/>
          <w:rFonts w:ascii="Arial" w:hAnsi="Arial" w:cs="Arial"/>
          <w:color w:val="000000"/>
          <w:sz w:val="22"/>
          <w:szCs w:val="22"/>
          <w:lang w:val="es-CO" w:bidi="es-ES"/>
        </w:rPr>
        <w:footnoteReference w:id="36"/>
      </w:r>
      <w:r w:rsidR="002E0088">
        <w:rPr>
          <w:rFonts w:ascii="Arial" w:hAnsi="Arial" w:cs="Arial"/>
          <w:color w:val="000000"/>
          <w:sz w:val="22"/>
          <w:szCs w:val="22"/>
          <w:lang w:val="es-CO" w:bidi="es-ES"/>
        </w:rPr>
        <w:t xml:space="preserve"> (negrillas y subrayas de la Sala)</w:t>
      </w:r>
      <w:r w:rsidR="00645E86" w:rsidRPr="00287331">
        <w:rPr>
          <w:rFonts w:ascii="Arial" w:hAnsi="Arial" w:cs="Arial"/>
          <w:color w:val="000000"/>
          <w:sz w:val="22"/>
          <w:szCs w:val="22"/>
          <w:lang w:val="es-CO" w:bidi="es-ES"/>
        </w:rPr>
        <w:t>.</w:t>
      </w:r>
      <w:r w:rsidR="00FA7A9B" w:rsidRPr="00287331">
        <w:rPr>
          <w:rFonts w:ascii="Arial" w:hAnsi="Arial" w:cs="Arial"/>
          <w:color w:val="000000"/>
          <w:sz w:val="22"/>
          <w:szCs w:val="22"/>
          <w:lang w:val="es-CO" w:bidi="es-ES"/>
        </w:rPr>
        <w:t xml:space="preserve"> </w:t>
      </w:r>
    </w:p>
    <w:p w14:paraId="25221550" w14:textId="279874C2" w:rsidR="00C624BD" w:rsidRDefault="00C624BD"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5CC3E2AF" w14:textId="55A12A98" w:rsidR="00691EF2" w:rsidRDefault="00691EF2"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 xml:space="preserve">26. El anterior criterio </w:t>
      </w:r>
      <w:r w:rsidR="00FC43F3">
        <w:rPr>
          <w:rFonts w:ascii="Arial" w:hAnsi="Arial" w:cs="Arial"/>
          <w:color w:val="000000"/>
          <w:sz w:val="24"/>
          <w:szCs w:val="24"/>
          <w:lang w:val="es-CO" w:bidi="es-ES"/>
        </w:rPr>
        <w:t xml:space="preserve">ha sido el sostenido </w:t>
      </w:r>
      <w:r w:rsidR="0060089F">
        <w:rPr>
          <w:rFonts w:ascii="Arial" w:hAnsi="Arial" w:cs="Arial"/>
          <w:color w:val="000000"/>
          <w:sz w:val="24"/>
          <w:szCs w:val="24"/>
          <w:lang w:val="es-CO" w:bidi="es-ES"/>
        </w:rPr>
        <w:t xml:space="preserve">pacíficamente </w:t>
      </w:r>
      <w:r w:rsidR="00FC43F3">
        <w:rPr>
          <w:rFonts w:ascii="Arial" w:hAnsi="Arial" w:cs="Arial"/>
          <w:color w:val="000000"/>
          <w:sz w:val="24"/>
          <w:szCs w:val="24"/>
          <w:lang w:val="es-CO" w:bidi="es-ES"/>
        </w:rPr>
        <w:t xml:space="preserve">por </w:t>
      </w:r>
      <w:r>
        <w:rPr>
          <w:rFonts w:ascii="Arial" w:hAnsi="Arial" w:cs="Arial"/>
          <w:color w:val="000000"/>
          <w:sz w:val="24"/>
          <w:szCs w:val="24"/>
          <w:lang w:val="es-CO" w:bidi="es-ES"/>
        </w:rPr>
        <w:t>esta Corporación judicial en otros pronunciamientos</w:t>
      </w:r>
      <w:r w:rsidR="00FC43F3">
        <w:rPr>
          <w:rFonts w:ascii="Arial" w:hAnsi="Arial" w:cs="Arial"/>
          <w:color w:val="000000"/>
          <w:sz w:val="24"/>
          <w:szCs w:val="24"/>
          <w:lang w:val="es-CO" w:bidi="es-ES"/>
        </w:rPr>
        <w:t xml:space="preserve"> que se han expedido sobre la materia</w:t>
      </w:r>
      <w:r w:rsidR="004E25AA">
        <w:rPr>
          <w:rStyle w:val="Refdenotaalpie"/>
          <w:rFonts w:ascii="Arial" w:hAnsi="Arial" w:cs="Arial"/>
          <w:color w:val="000000"/>
          <w:sz w:val="24"/>
          <w:szCs w:val="24"/>
          <w:lang w:val="es-CO" w:bidi="es-ES"/>
        </w:rPr>
        <w:footnoteReference w:id="37"/>
      </w:r>
      <w:r>
        <w:rPr>
          <w:rFonts w:ascii="Arial" w:hAnsi="Arial" w:cs="Arial"/>
          <w:color w:val="000000"/>
          <w:sz w:val="24"/>
          <w:szCs w:val="24"/>
          <w:lang w:val="es-CO" w:bidi="es-ES"/>
        </w:rPr>
        <w:t xml:space="preserve">, </w:t>
      </w:r>
      <w:r w:rsidR="00FC43F3">
        <w:rPr>
          <w:rFonts w:ascii="Arial" w:hAnsi="Arial" w:cs="Arial"/>
          <w:color w:val="000000"/>
          <w:sz w:val="24"/>
          <w:szCs w:val="24"/>
          <w:lang w:val="es-CO" w:bidi="es-ES"/>
        </w:rPr>
        <w:t xml:space="preserve">debiéndose anotar que los mismos se inscribieron </w:t>
      </w:r>
      <w:r>
        <w:rPr>
          <w:rFonts w:ascii="Arial" w:hAnsi="Arial" w:cs="Arial"/>
          <w:color w:val="000000"/>
          <w:sz w:val="24"/>
          <w:szCs w:val="24"/>
          <w:lang w:val="es-CO" w:bidi="es-ES"/>
        </w:rPr>
        <w:t xml:space="preserve">en la línea que trazó el Consejo de Estado en sentencia de </w:t>
      </w:r>
      <w:r w:rsidR="003E3E8B">
        <w:rPr>
          <w:rFonts w:ascii="Arial" w:hAnsi="Arial" w:cs="Arial"/>
          <w:color w:val="000000"/>
          <w:sz w:val="24"/>
          <w:szCs w:val="24"/>
          <w:lang w:val="es-CO" w:bidi="es-ES"/>
        </w:rPr>
        <w:t>12 de abril de 2012</w:t>
      </w:r>
      <w:r w:rsidR="00C92FB5">
        <w:rPr>
          <w:rFonts w:ascii="Arial" w:hAnsi="Arial" w:cs="Arial"/>
          <w:color w:val="000000"/>
          <w:sz w:val="24"/>
          <w:szCs w:val="24"/>
          <w:lang w:val="es-CO" w:bidi="es-ES"/>
        </w:rPr>
        <w:t xml:space="preserve"> donde se </w:t>
      </w:r>
      <w:r w:rsidR="0060089F">
        <w:rPr>
          <w:rFonts w:ascii="Arial" w:hAnsi="Arial" w:cs="Arial"/>
          <w:color w:val="000000"/>
          <w:sz w:val="24"/>
          <w:szCs w:val="24"/>
          <w:lang w:val="es-CO" w:bidi="es-ES"/>
        </w:rPr>
        <w:t>señaló</w:t>
      </w:r>
      <w:r w:rsidR="003E3E8B">
        <w:rPr>
          <w:rFonts w:ascii="Arial" w:hAnsi="Arial" w:cs="Arial"/>
          <w:color w:val="000000"/>
          <w:sz w:val="24"/>
          <w:szCs w:val="24"/>
          <w:lang w:val="es-CO" w:bidi="es-ES"/>
        </w:rPr>
        <w:t xml:space="preserve">: </w:t>
      </w:r>
    </w:p>
    <w:p w14:paraId="17CBBEDD" w14:textId="7E65DD14" w:rsidR="003E3E8B" w:rsidRDefault="003E3E8B"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45A76FA2" w14:textId="22EBDDF7" w:rsidR="00C92FB5" w:rsidRPr="00E34E6E" w:rsidRDefault="003E3E8B"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E34E6E">
        <w:rPr>
          <w:rFonts w:ascii="Arial" w:hAnsi="Arial" w:cs="Arial"/>
          <w:color w:val="000000"/>
          <w:sz w:val="22"/>
          <w:szCs w:val="22"/>
          <w:lang w:val="es-CO" w:bidi="es-ES"/>
        </w:rPr>
        <w:t>“</w:t>
      </w:r>
      <w:r w:rsidR="00C92FB5" w:rsidRPr="00E34E6E">
        <w:rPr>
          <w:rFonts w:ascii="Arial" w:hAnsi="Arial" w:cs="Arial"/>
          <w:color w:val="000000"/>
          <w:sz w:val="22"/>
          <w:szCs w:val="22"/>
          <w:lang w:val="es-CO" w:bidi="es-ES"/>
        </w:rPr>
        <w:t xml:space="preserve">(…) la Sala considera que el </w:t>
      </w:r>
      <w:r w:rsidR="00C92FB5" w:rsidRPr="00E34E6E">
        <w:rPr>
          <w:rFonts w:ascii="Arial" w:hAnsi="Arial" w:cs="Arial"/>
          <w:i/>
          <w:iCs/>
          <w:color w:val="000000"/>
          <w:sz w:val="22"/>
          <w:szCs w:val="22"/>
          <w:lang w:val="es-CO" w:bidi="es-ES"/>
        </w:rPr>
        <w:t>a quo</w:t>
      </w:r>
      <w:r w:rsidR="00C92FB5" w:rsidRPr="00E34E6E">
        <w:rPr>
          <w:rFonts w:ascii="Arial" w:hAnsi="Arial" w:cs="Arial"/>
          <w:color w:val="000000"/>
          <w:sz w:val="22"/>
          <w:szCs w:val="22"/>
          <w:lang w:val="es-CO" w:bidi="es-ES"/>
        </w:rPr>
        <w:t xml:space="preserve"> decidió con fundamento en una interpretación errada del citado contrato, según la cual las facultades </w:t>
      </w:r>
      <w:r w:rsidR="00C92FB5" w:rsidRPr="00E34E6E">
        <w:rPr>
          <w:rFonts w:ascii="Arial" w:hAnsi="Arial" w:cs="Arial"/>
          <w:i/>
          <w:iCs/>
          <w:color w:val="000000"/>
          <w:sz w:val="22"/>
          <w:szCs w:val="22"/>
          <w:lang w:val="es-CO" w:bidi="es-ES"/>
        </w:rPr>
        <w:t>pro tempore</w:t>
      </w:r>
      <w:r w:rsidR="00C92FB5" w:rsidRPr="00E34E6E">
        <w:rPr>
          <w:rFonts w:ascii="Arial" w:hAnsi="Arial" w:cs="Arial"/>
          <w:color w:val="000000"/>
          <w:sz w:val="22"/>
          <w:szCs w:val="22"/>
          <w:lang w:val="es-CO" w:bidi="es-ES"/>
        </w:rPr>
        <w:t xml:space="preserve"> que los concejos otorgan a los alcaldes puede ser ampliada o prorrogada, desconociendo que las mismas solo pueden ser otorgadas por una única vez.</w:t>
      </w:r>
    </w:p>
    <w:p w14:paraId="4DAF10EA" w14:textId="5028C616" w:rsidR="0060089F" w:rsidRPr="00E34E6E" w:rsidRDefault="0060089F"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43726F58" w14:textId="2DABD03A" w:rsidR="00C92FB5" w:rsidRPr="00E34E6E" w:rsidRDefault="00C92FB5"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E34E6E">
        <w:rPr>
          <w:rFonts w:ascii="Arial" w:hAnsi="Arial" w:cs="Arial"/>
          <w:color w:val="000000"/>
          <w:sz w:val="22"/>
          <w:szCs w:val="22"/>
          <w:lang w:val="es-CO" w:bidi="es-ES"/>
        </w:rPr>
        <w:lastRenderedPageBreak/>
        <w:t xml:space="preserve">En efecto el artículo 313-3 solo establece tres condicionamientos a dicha facultad: a) Que se otorguen </w:t>
      </w:r>
      <w:r w:rsidRPr="00E34E6E">
        <w:rPr>
          <w:rFonts w:ascii="Arial" w:hAnsi="Arial" w:cs="Arial"/>
          <w:i/>
          <w:iCs/>
          <w:color w:val="000000"/>
          <w:sz w:val="22"/>
          <w:szCs w:val="22"/>
          <w:lang w:val="es-CO" w:bidi="es-ES"/>
        </w:rPr>
        <w:t>pro tempore</w:t>
      </w:r>
      <w:r w:rsidRPr="00E34E6E">
        <w:rPr>
          <w:rFonts w:ascii="Arial" w:hAnsi="Arial" w:cs="Arial"/>
          <w:color w:val="000000"/>
          <w:sz w:val="22"/>
          <w:szCs w:val="22"/>
          <w:lang w:val="es-CO" w:bidi="es-ES"/>
        </w:rPr>
        <w:t xml:space="preserve">, esto es por un tiempo preciso; b) </w:t>
      </w:r>
      <w:r w:rsidR="0060089F" w:rsidRPr="00E34E6E">
        <w:rPr>
          <w:rFonts w:ascii="Arial" w:hAnsi="Arial" w:cs="Arial"/>
          <w:color w:val="000000"/>
          <w:sz w:val="22"/>
          <w:szCs w:val="22"/>
          <w:lang w:val="es-CO" w:bidi="es-ES"/>
        </w:rPr>
        <w:t>que dichas</w:t>
      </w:r>
      <w:r w:rsidRPr="00E34E6E">
        <w:rPr>
          <w:rFonts w:ascii="Arial" w:hAnsi="Arial" w:cs="Arial"/>
          <w:color w:val="000000"/>
          <w:sz w:val="22"/>
          <w:szCs w:val="22"/>
          <w:lang w:val="es-CO" w:bidi="es-ES"/>
        </w:rPr>
        <w:t xml:space="preserve"> funciones sean de las que corresponden al Concejo, asunto que no es materia de la acusación, y c) </w:t>
      </w:r>
      <w:r w:rsidR="002E0088" w:rsidRPr="00E34E6E">
        <w:rPr>
          <w:rFonts w:ascii="Arial" w:hAnsi="Arial" w:cs="Arial"/>
          <w:color w:val="000000"/>
          <w:sz w:val="22"/>
          <w:szCs w:val="22"/>
          <w:lang w:val="es-CO" w:bidi="es-ES"/>
        </w:rPr>
        <w:t>q</w:t>
      </w:r>
      <w:r w:rsidRPr="00E34E6E">
        <w:rPr>
          <w:rFonts w:ascii="Arial" w:hAnsi="Arial" w:cs="Arial"/>
          <w:color w:val="000000"/>
          <w:sz w:val="22"/>
          <w:szCs w:val="22"/>
          <w:lang w:val="es-CO" w:bidi="es-ES"/>
        </w:rPr>
        <w:t>ue sean precisas, esto es, que no haya dudas acerca de su contenido, asunto que tampoco es objeto de cuestionamiento.</w:t>
      </w:r>
    </w:p>
    <w:p w14:paraId="33601939" w14:textId="08B4813B" w:rsidR="002E0088" w:rsidRPr="00E34E6E" w:rsidRDefault="002E0088"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14361231" w14:textId="511B181E" w:rsidR="00C92FB5" w:rsidRPr="00E34E6E" w:rsidRDefault="00C92FB5"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E34E6E">
        <w:rPr>
          <w:rFonts w:ascii="Arial" w:hAnsi="Arial" w:cs="Arial"/>
          <w:color w:val="000000"/>
          <w:sz w:val="22"/>
          <w:szCs w:val="22"/>
          <w:lang w:val="es-CO" w:bidi="es-ES"/>
        </w:rPr>
        <w:t xml:space="preserve">La primera condición no fue cumplida por el acto acusado pues extiende a 150 días el término inicial de 90 días de duración que el artículo 77 del Acuerdo 004 de febrero 12 de 1999 había otorgado para la realización de las actividades allí previstas y que se cumplió sin que el alcalde las hubiera ejercido. </w:t>
      </w:r>
    </w:p>
    <w:p w14:paraId="1779196F" w14:textId="1BD16555" w:rsidR="002E0088" w:rsidRPr="00E34E6E" w:rsidRDefault="002E0088"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23802DCD" w14:textId="77777777" w:rsidR="00C92FB5" w:rsidRPr="00E34E6E" w:rsidRDefault="00C92FB5"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E34E6E">
        <w:rPr>
          <w:rFonts w:ascii="Arial" w:hAnsi="Arial" w:cs="Arial"/>
          <w:color w:val="000000"/>
          <w:sz w:val="22"/>
          <w:szCs w:val="22"/>
          <w:u w:val="single"/>
          <w:lang w:val="es-CO" w:bidi="es-ES"/>
        </w:rPr>
        <w:t xml:space="preserve">Las facultades extraordinarias de las que revisten los concejos a los alcaldes corresponden a funciones de aquéllos que se pueden trasladar a los alcaldes por un tiempo determinado y por una materia específica; </w:t>
      </w:r>
      <w:r w:rsidRPr="00E34E6E">
        <w:rPr>
          <w:rFonts w:ascii="Arial" w:hAnsi="Arial" w:cs="Arial"/>
          <w:b/>
          <w:bCs/>
          <w:color w:val="000000"/>
          <w:sz w:val="22"/>
          <w:szCs w:val="22"/>
          <w:u w:val="single"/>
          <w:lang w:val="es-CO" w:bidi="es-ES"/>
        </w:rPr>
        <w:t>pero vencido dicho término sin haberse cumplido los cometidos para los que fueron concedidas, esas facultades revierten automáticamente al concejo; perdiendo por ende el alcalde competencia sobre dichos asuntos</w:t>
      </w:r>
      <w:r w:rsidRPr="00E34E6E">
        <w:rPr>
          <w:rFonts w:ascii="Arial" w:hAnsi="Arial" w:cs="Arial"/>
          <w:b/>
          <w:bCs/>
          <w:color w:val="000000"/>
          <w:sz w:val="22"/>
          <w:szCs w:val="22"/>
          <w:lang w:val="es-CO" w:bidi="es-ES"/>
        </w:rPr>
        <w:t>.</w:t>
      </w:r>
    </w:p>
    <w:p w14:paraId="0769E360" w14:textId="77777777" w:rsidR="00C92FB5" w:rsidRPr="00E34E6E" w:rsidRDefault="00C92FB5"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7E5472AF" w14:textId="7325859A" w:rsidR="00C92FB5" w:rsidRPr="00E34E6E" w:rsidRDefault="00EB4217"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E34E6E">
        <w:rPr>
          <w:rFonts w:ascii="Arial" w:hAnsi="Arial" w:cs="Arial"/>
          <w:color w:val="000000"/>
          <w:sz w:val="22"/>
          <w:szCs w:val="22"/>
          <w:lang w:val="es-CO" w:bidi="es-ES"/>
        </w:rPr>
        <w:t xml:space="preserve">(…) </w:t>
      </w:r>
    </w:p>
    <w:p w14:paraId="01835591" w14:textId="26764F74" w:rsidR="00EB4217" w:rsidRPr="00E34E6E" w:rsidRDefault="00EB4217"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2A802E20" w14:textId="0AA0A422" w:rsidR="00C92FB5" w:rsidRPr="00E34E6E" w:rsidRDefault="00C92FB5"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E34E6E">
        <w:rPr>
          <w:rFonts w:ascii="Arial" w:hAnsi="Arial" w:cs="Arial"/>
          <w:color w:val="000000"/>
          <w:sz w:val="22"/>
          <w:szCs w:val="22"/>
          <w:lang w:val="es-CO" w:bidi="es-ES"/>
        </w:rPr>
        <w:t xml:space="preserve">De manera análoga a las consideraciones expuestas para el nivel nacional, </w:t>
      </w:r>
      <w:r w:rsidRPr="00E34E6E">
        <w:rPr>
          <w:rFonts w:ascii="Arial" w:hAnsi="Arial" w:cs="Arial"/>
          <w:color w:val="000000"/>
          <w:sz w:val="22"/>
          <w:szCs w:val="22"/>
          <w:u w:val="single"/>
          <w:lang w:val="es-CO" w:bidi="es-ES"/>
        </w:rPr>
        <w:t xml:space="preserve">el Constituyente quiso limitar la posibilidad de delegación de funciones propias de los Concejos Municipales de manera indefinida en los alcaldes, para evitar que éstos en su condición de jefes del ejecutivo, pudieran ostentarlas </w:t>
      </w:r>
      <w:r w:rsidRPr="00E34E6E">
        <w:rPr>
          <w:rFonts w:ascii="Arial" w:hAnsi="Arial" w:cs="Arial"/>
          <w:b/>
          <w:bCs/>
          <w:color w:val="000000"/>
          <w:sz w:val="22"/>
          <w:szCs w:val="22"/>
          <w:u w:val="single"/>
          <w:lang w:val="es-CO" w:bidi="es-ES"/>
        </w:rPr>
        <w:t>mediante sucesivas prórrogas</w:t>
      </w:r>
      <w:r w:rsidRPr="00E34E6E">
        <w:rPr>
          <w:rFonts w:ascii="Arial" w:hAnsi="Arial" w:cs="Arial"/>
          <w:color w:val="000000"/>
          <w:sz w:val="22"/>
          <w:szCs w:val="22"/>
          <w:u w:val="single"/>
          <w:lang w:val="es-CO" w:bidi="es-ES"/>
        </w:rPr>
        <w:t xml:space="preserve"> que desnaturalizarían la distribución de funciones previstas en el ordenamiento jurídico entre dichas corporaciones y los alcaldes</w:t>
      </w:r>
      <w:r w:rsidRPr="00E34E6E">
        <w:rPr>
          <w:rFonts w:ascii="Arial" w:hAnsi="Arial" w:cs="Arial"/>
          <w:color w:val="000000"/>
          <w:sz w:val="22"/>
          <w:szCs w:val="22"/>
          <w:lang w:val="es-CO" w:bidi="es-ES"/>
        </w:rPr>
        <w:t>.</w:t>
      </w:r>
    </w:p>
    <w:p w14:paraId="4FC55C61" w14:textId="6175DFA2" w:rsidR="00E34E6E" w:rsidRPr="00E34E6E" w:rsidRDefault="00E34E6E"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24DF3C55" w14:textId="5685F0EF" w:rsidR="003E3E8B" w:rsidRPr="00E34E6E" w:rsidRDefault="00C92FB5"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E34E6E">
        <w:rPr>
          <w:rFonts w:ascii="Arial" w:hAnsi="Arial" w:cs="Arial"/>
          <w:color w:val="000000"/>
          <w:sz w:val="22"/>
          <w:szCs w:val="22"/>
          <w:lang w:val="es-CO" w:bidi="es-ES"/>
        </w:rPr>
        <w:t>Por esas razones, no podía el Concejo Municipal de Montería desconocer, mediante el acto acusado, el término de 90 días otorgado inicialmente al Alcalde Municipal para ejercer las facultades previstas en el artículo 77 del Acuerdo 04 de 1999</w:t>
      </w:r>
      <w:r w:rsidR="003E3E8B" w:rsidRPr="00E34E6E">
        <w:rPr>
          <w:rFonts w:ascii="Arial" w:hAnsi="Arial" w:cs="Arial"/>
          <w:color w:val="000000"/>
          <w:sz w:val="22"/>
          <w:szCs w:val="22"/>
          <w:lang w:val="es-CO" w:bidi="es-ES"/>
        </w:rPr>
        <w:t>”</w:t>
      </w:r>
      <w:r w:rsidR="003E3E8B" w:rsidRPr="00E34E6E">
        <w:rPr>
          <w:rStyle w:val="Refdenotaalpie"/>
          <w:rFonts w:ascii="Arial" w:hAnsi="Arial" w:cs="Arial"/>
          <w:color w:val="000000"/>
          <w:sz w:val="22"/>
          <w:szCs w:val="22"/>
          <w:lang w:val="es-CO" w:bidi="es-ES"/>
        </w:rPr>
        <w:footnoteReference w:id="38"/>
      </w:r>
      <w:r w:rsidR="00E34E6E" w:rsidRPr="00E34E6E">
        <w:rPr>
          <w:rFonts w:ascii="Arial" w:hAnsi="Arial" w:cs="Arial"/>
          <w:color w:val="000000"/>
          <w:sz w:val="22"/>
          <w:szCs w:val="22"/>
          <w:lang w:val="es-CO" w:bidi="es-ES"/>
        </w:rPr>
        <w:t xml:space="preserve"> (negrillas y subrayas de la Sala)</w:t>
      </w:r>
      <w:r w:rsidR="00D10B36">
        <w:rPr>
          <w:rStyle w:val="Refdenotaalpie"/>
          <w:rFonts w:ascii="Arial" w:hAnsi="Arial" w:cs="Arial"/>
          <w:color w:val="000000"/>
          <w:sz w:val="22"/>
          <w:szCs w:val="22"/>
          <w:lang w:val="es-CO" w:bidi="es-ES"/>
        </w:rPr>
        <w:footnoteReference w:id="39"/>
      </w:r>
      <w:r w:rsidR="00E34E6E" w:rsidRPr="00E34E6E">
        <w:rPr>
          <w:rFonts w:ascii="Arial" w:hAnsi="Arial" w:cs="Arial"/>
          <w:color w:val="000000"/>
          <w:sz w:val="22"/>
          <w:szCs w:val="22"/>
          <w:lang w:val="es-CO" w:bidi="es-ES"/>
        </w:rPr>
        <w:t>.</w:t>
      </w:r>
    </w:p>
    <w:p w14:paraId="2616EEEF" w14:textId="58D91CD7" w:rsidR="00691EF2" w:rsidRDefault="00691EF2"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43F0DA29" w14:textId="25D36A71" w:rsidR="00B523C0" w:rsidRDefault="00475C54"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2</w:t>
      </w:r>
      <w:r w:rsidR="00691EF2">
        <w:rPr>
          <w:rFonts w:ascii="Arial" w:hAnsi="Arial" w:cs="Arial"/>
          <w:color w:val="000000"/>
          <w:sz w:val="24"/>
          <w:szCs w:val="24"/>
          <w:lang w:val="es-CO" w:bidi="es-ES"/>
        </w:rPr>
        <w:t>7</w:t>
      </w:r>
      <w:r>
        <w:rPr>
          <w:rFonts w:ascii="Arial" w:hAnsi="Arial" w:cs="Arial"/>
          <w:color w:val="000000"/>
          <w:sz w:val="24"/>
          <w:szCs w:val="24"/>
          <w:lang w:val="es-CO" w:bidi="es-ES"/>
        </w:rPr>
        <w:t>. Por su parte,</w:t>
      </w:r>
      <w:r w:rsidR="00301C5D">
        <w:rPr>
          <w:rFonts w:ascii="Arial" w:hAnsi="Arial" w:cs="Arial"/>
          <w:color w:val="000000"/>
          <w:sz w:val="24"/>
          <w:szCs w:val="24"/>
          <w:lang w:val="es-CO" w:bidi="es-ES"/>
        </w:rPr>
        <w:t xml:space="preserve"> tratándose de las facultades </w:t>
      </w:r>
      <w:r w:rsidR="00D1744A">
        <w:rPr>
          <w:rFonts w:ascii="Arial" w:hAnsi="Arial" w:cs="Arial"/>
          <w:color w:val="000000"/>
          <w:sz w:val="24"/>
          <w:szCs w:val="24"/>
          <w:lang w:val="es-CO" w:bidi="es-ES"/>
        </w:rPr>
        <w:t>concedidas para contratar en los casos previstos por el parágrafo 4 del artículo 32 de la Ley 136 de 1994</w:t>
      </w:r>
      <w:r w:rsidR="004B2C04">
        <w:rPr>
          <w:rFonts w:ascii="Arial" w:hAnsi="Arial" w:cs="Arial"/>
          <w:color w:val="000000"/>
          <w:sz w:val="24"/>
          <w:szCs w:val="24"/>
          <w:lang w:val="es-CO" w:bidi="es-ES"/>
        </w:rPr>
        <w:t>, este Tribunal ha señalado que</w:t>
      </w:r>
      <w:r w:rsidR="00FF6D03">
        <w:rPr>
          <w:rFonts w:ascii="Arial" w:hAnsi="Arial" w:cs="Arial"/>
          <w:color w:val="000000"/>
          <w:sz w:val="24"/>
          <w:szCs w:val="24"/>
          <w:lang w:val="es-CO" w:bidi="es-ES"/>
        </w:rPr>
        <w:t>,</w:t>
      </w:r>
      <w:r w:rsidR="004B2C04">
        <w:rPr>
          <w:rFonts w:ascii="Arial" w:hAnsi="Arial" w:cs="Arial"/>
          <w:color w:val="000000"/>
          <w:sz w:val="24"/>
          <w:szCs w:val="24"/>
          <w:lang w:val="es-CO" w:bidi="es-ES"/>
        </w:rPr>
        <w:t xml:space="preserve"> en este tipo de eventos</w:t>
      </w:r>
      <w:r w:rsidR="00FF6D03">
        <w:rPr>
          <w:rFonts w:ascii="Arial" w:hAnsi="Arial" w:cs="Arial"/>
          <w:color w:val="000000"/>
          <w:sz w:val="24"/>
          <w:szCs w:val="24"/>
          <w:lang w:val="es-CO" w:bidi="es-ES"/>
        </w:rPr>
        <w:t>,</w:t>
      </w:r>
      <w:r w:rsidR="004B2C04">
        <w:rPr>
          <w:rFonts w:ascii="Arial" w:hAnsi="Arial" w:cs="Arial"/>
          <w:color w:val="000000"/>
          <w:sz w:val="24"/>
          <w:szCs w:val="24"/>
          <w:lang w:val="es-CO" w:bidi="es-ES"/>
        </w:rPr>
        <w:t xml:space="preserve"> no resultan aplicables los pronunciamientos relativos a la concesión de facultades </w:t>
      </w:r>
      <w:r w:rsidR="004B2C04">
        <w:rPr>
          <w:rFonts w:ascii="Arial" w:hAnsi="Arial" w:cs="Arial"/>
          <w:i/>
          <w:iCs/>
          <w:color w:val="000000"/>
          <w:sz w:val="24"/>
          <w:szCs w:val="24"/>
          <w:lang w:val="es-CO" w:bidi="es-ES"/>
        </w:rPr>
        <w:t xml:space="preserve">pro tempore </w:t>
      </w:r>
      <w:r w:rsidR="004B2C04">
        <w:rPr>
          <w:rFonts w:ascii="Arial" w:hAnsi="Arial" w:cs="Arial"/>
          <w:color w:val="000000"/>
          <w:sz w:val="24"/>
          <w:szCs w:val="24"/>
          <w:lang w:val="es-CO" w:bidi="es-ES"/>
        </w:rPr>
        <w:t xml:space="preserve">por parte </w:t>
      </w:r>
      <w:r w:rsidR="004B2C04">
        <w:rPr>
          <w:rFonts w:ascii="Arial" w:hAnsi="Arial" w:cs="Arial"/>
          <w:color w:val="000000"/>
          <w:sz w:val="24"/>
          <w:szCs w:val="24"/>
          <w:lang w:val="es-CO" w:bidi="es-ES"/>
        </w:rPr>
        <w:lastRenderedPageBreak/>
        <w:t>de los concejos a los alcaldes</w:t>
      </w:r>
      <w:r w:rsidR="004B2E5D">
        <w:rPr>
          <w:rStyle w:val="Refdenotaalpie"/>
          <w:rFonts w:ascii="Arial" w:hAnsi="Arial" w:cs="Arial"/>
          <w:color w:val="000000"/>
          <w:sz w:val="24"/>
          <w:szCs w:val="24"/>
          <w:lang w:val="es-CO" w:bidi="es-ES"/>
        </w:rPr>
        <w:footnoteReference w:id="40"/>
      </w:r>
      <w:r w:rsidR="00933B6B">
        <w:rPr>
          <w:rFonts w:ascii="Arial" w:hAnsi="Arial" w:cs="Arial"/>
          <w:color w:val="000000"/>
          <w:sz w:val="24"/>
          <w:szCs w:val="24"/>
          <w:lang w:val="es-CO" w:bidi="es-ES"/>
        </w:rPr>
        <w:t>. No obstante, sí se ha precisado</w:t>
      </w:r>
      <w:r w:rsidR="007C0E53">
        <w:rPr>
          <w:rFonts w:ascii="Arial" w:hAnsi="Arial" w:cs="Arial"/>
          <w:color w:val="000000"/>
          <w:sz w:val="24"/>
          <w:szCs w:val="24"/>
          <w:lang w:val="es-CO" w:bidi="es-ES"/>
        </w:rPr>
        <w:t xml:space="preserve"> </w:t>
      </w:r>
      <w:r w:rsidR="006E4FBB">
        <w:rPr>
          <w:rFonts w:ascii="Arial" w:hAnsi="Arial" w:cs="Arial"/>
          <w:color w:val="000000"/>
          <w:sz w:val="24"/>
          <w:szCs w:val="24"/>
          <w:lang w:val="es-CO" w:bidi="es-ES"/>
        </w:rPr>
        <w:t>que</w:t>
      </w:r>
      <w:r w:rsidR="008C1B83">
        <w:rPr>
          <w:rFonts w:ascii="Arial" w:hAnsi="Arial" w:cs="Arial"/>
          <w:color w:val="000000"/>
          <w:sz w:val="24"/>
          <w:szCs w:val="24"/>
          <w:lang w:val="es-CO" w:bidi="es-ES"/>
        </w:rPr>
        <w:t>,</w:t>
      </w:r>
      <w:r w:rsidR="00D029B8">
        <w:rPr>
          <w:rFonts w:ascii="Arial" w:hAnsi="Arial" w:cs="Arial"/>
          <w:color w:val="000000"/>
          <w:sz w:val="24"/>
          <w:szCs w:val="24"/>
          <w:lang w:val="es-CO" w:bidi="es-ES"/>
        </w:rPr>
        <w:t xml:space="preserve"> </w:t>
      </w:r>
      <w:r w:rsidR="007C0E53" w:rsidRPr="007C0E53">
        <w:rPr>
          <w:rFonts w:ascii="Arial" w:hAnsi="Arial" w:cs="Arial"/>
          <w:color w:val="000000"/>
          <w:sz w:val="24"/>
          <w:szCs w:val="24"/>
          <w:lang w:val="es-CO" w:bidi="es-ES"/>
        </w:rPr>
        <w:t>cuando los concejos municipales confieren autorización al burgomaestre para celebrar contratos</w:t>
      </w:r>
      <w:r w:rsidR="00D029B8">
        <w:rPr>
          <w:rFonts w:ascii="Arial" w:hAnsi="Arial" w:cs="Arial"/>
          <w:color w:val="000000"/>
          <w:sz w:val="24"/>
          <w:szCs w:val="24"/>
          <w:lang w:val="es-CO" w:bidi="es-ES"/>
        </w:rPr>
        <w:t xml:space="preserve"> a los que alude la norma en cita</w:t>
      </w:r>
      <w:r w:rsidR="006E4FBB">
        <w:rPr>
          <w:rFonts w:ascii="Arial" w:hAnsi="Arial" w:cs="Arial"/>
          <w:color w:val="000000"/>
          <w:sz w:val="24"/>
          <w:szCs w:val="24"/>
          <w:lang w:val="es-CO" w:bidi="es-ES"/>
        </w:rPr>
        <w:t xml:space="preserve">, </w:t>
      </w:r>
      <w:r w:rsidR="00963BBA">
        <w:rPr>
          <w:rFonts w:ascii="Arial" w:hAnsi="Arial" w:cs="Arial"/>
          <w:color w:val="000000"/>
          <w:sz w:val="24"/>
          <w:szCs w:val="24"/>
          <w:lang w:val="es-CO" w:bidi="es-ES"/>
        </w:rPr>
        <w:t>e</w:t>
      </w:r>
      <w:r w:rsidR="006E4FBB">
        <w:rPr>
          <w:rFonts w:ascii="Arial" w:hAnsi="Arial" w:cs="Arial"/>
          <w:color w:val="000000"/>
          <w:sz w:val="24"/>
          <w:szCs w:val="24"/>
          <w:lang w:val="es-CO" w:bidi="es-ES"/>
        </w:rPr>
        <w:t>stos</w:t>
      </w:r>
      <w:r w:rsidR="00224522">
        <w:rPr>
          <w:rFonts w:ascii="Arial" w:hAnsi="Arial" w:cs="Arial"/>
          <w:color w:val="000000"/>
          <w:sz w:val="24"/>
          <w:szCs w:val="24"/>
          <w:lang w:val="es-CO" w:bidi="es-ES"/>
        </w:rPr>
        <w:t xml:space="preserve"> órganos</w:t>
      </w:r>
      <w:r w:rsidR="006E4FBB">
        <w:rPr>
          <w:rFonts w:ascii="Arial" w:hAnsi="Arial" w:cs="Arial"/>
          <w:color w:val="000000"/>
          <w:sz w:val="24"/>
          <w:szCs w:val="24"/>
          <w:lang w:val="es-CO" w:bidi="es-ES"/>
        </w:rPr>
        <w:t xml:space="preserve"> </w:t>
      </w:r>
      <w:r w:rsidR="007C0E53" w:rsidRPr="006E4FBB">
        <w:rPr>
          <w:rFonts w:ascii="Arial" w:hAnsi="Arial" w:cs="Arial"/>
          <w:color w:val="000000"/>
          <w:sz w:val="24"/>
          <w:szCs w:val="24"/>
          <w:u w:val="single"/>
          <w:lang w:val="es-CO" w:bidi="es-ES"/>
        </w:rPr>
        <w:t>no</w:t>
      </w:r>
      <w:r w:rsidR="007C0E53" w:rsidRPr="007C0E53">
        <w:rPr>
          <w:rFonts w:ascii="Arial" w:hAnsi="Arial" w:cs="Arial"/>
          <w:color w:val="000000"/>
          <w:sz w:val="24"/>
          <w:szCs w:val="24"/>
          <w:lang w:val="es-CO" w:bidi="es-ES"/>
        </w:rPr>
        <w:t xml:space="preserve"> pueden determinar un marco tempora</w:t>
      </w:r>
      <w:r w:rsidR="006E4FBB">
        <w:rPr>
          <w:rFonts w:ascii="Arial" w:hAnsi="Arial" w:cs="Arial"/>
          <w:color w:val="000000"/>
          <w:sz w:val="24"/>
          <w:szCs w:val="24"/>
          <w:lang w:val="es-CO" w:bidi="es-ES"/>
        </w:rPr>
        <w:t>l</w:t>
      </w:r>
      <w:r w:rsidR="003E53A8">
        <w:rPr>
          <w:rFonts w:ascii="Arial" w:hAnsi="Arial" w:cs="Arial"/>
          <w:color w:val="000000"/>
          <w:sz w:val="24"/>
          <w:szCs w:val="24"/>
          <w:lang w:val="es-CO" w:bidi="es-ES"/>
        </w:rPr>
        <w:t xml:space="preserve"> en que tal actividad debe llevarse a cabo</w:t>
      </w:r>
      <w:r w:rsidR="003E53A8">
        <w:rPr>
          <w:rStyle w:val="Refdenotaalpie"/>
          <w:rFonts w:ascii="Arial" w:hAnsi="Arial" w:cs="Arial"/>
          <w:color w:val="000000"/>
          <w:sz w:val="24"/>
          <w:szCs w:val="24"/>
          <w:lang w:val="es-CO" w:bidi="es-ES"/>
        </w:rPr>
        <w:footnoteReference w:id="41"/>
      </w:r>
      <w:r w:rsidR="007C0E53" w:rsidRPr="007C0E53">
        <w:rPr>
          <w:rFonts w:ascii="Arial" w:hAnsi="Arial" w:cs="Arial"/>
          <w:color w:val="000000"/>
          <w:sz w:val="24"/>
          <w:szCs w:val="24"/>
          <w:lang w:val="es-CO" w:bidi="es-ES"/>
        </w:rPr>
        <w:t>.</w:t>
      </w:r>
      <w:r w:rsidR="00B523C0">
        <w:rPr>
          <w:rFonts w:ascii="Arial" w:hAnsi="Arial" w:cs="Arial"/>
          <w:color w:val="000000"/>
          <w:sz w:val="24"/>
          <w:szCs w:val="24"/>
          <w:lang w:val="es-CO" w:bidi="es-ES"/>
        </w:rPr>
        <w:t xml:space="preserve"> En sentencia de 25 de mayo de 2021, este Tribunal resaltó lo siguiente: </w:t>
      </w:r>
    </w:p>
    <w:p w14:paraId="13519CA4" w14:textId="77777777" w:rsidR="00B523C0" w:rsidRDefault="00B523C0"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52FDBB41" w14:textId="77777777" w:rsidR="00FB277A" w:rsidRPr="00E436AD" w:rsidRDefault="00B523C0"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E436AD">
        <w:rPr>
          <w:rFonts w:ascii="Arial" w:hAnsi="Arial" w:cs="Arial"/>
          <w:color w:val="000000"/>
          <w:sz w:val="22"/>
          <w:szCs w:val="22"/>
          <w:lang w:val="es-CO" w:bidi="es-ES"/>
        </w:rPr>
        <w:t>“</w:t>
      </w:r>
      <w:r w:rsidR="00FB277A" w:rsidRPr="00E436AD">
        <w:rPr>
          <w:rFonts w:ascii="Arial" w:hAnsi="Arial" w:cs="Arial"/>
          <w:color w:val="000000"/>
          <w:sz w:val="22"/>
          <w:szCs w:val="22"/>
          <w:lang w:val="es-CO" w:bidi="es-ES"/>
        </w:rPr>
        <w:t xml:space="preserve">En este orden de ideas, el alcalde está facultado constitucional y legalmente para contratar y comprometer el presupuesto del municipio, como ordenador del gasto y, de esta forma, dirigir la gestión contractual del ente que representa, en los términos del art. 315 núm. 3.º y 9.º de la Constitución; art. 91 </w:t>
      </w:r>
      <w:proofErr w:type="spellStart"/>
      <w:r w:rsidR="00FB277A" w:rsidRPr="00E436AD">
        <w:rPr>
          <w:rFonts w:ascii="Arial" w:hAnsi="Arial" w:cs="Arial"/>
          <w:color w:val="000000"/>
          <w:sz w:val="22"/>
          <w:szCs w:val="22"/>
          <w:lang w:val="es-CO" w:bidi="es-ES"/>
        </w:rPr>
        <w:t>lit.</w:t>
      </w:r>
      <w:proofErr w:type="spellEnd"/>
      <w:r w:rsidR="00FB277A" w:rsidRPr="00E436AD">
        <w:rPr>
          <w:rFonts w:ascii="Arial" w:hAnsi="Arial" w:cs="Arial"/>
          <w:color w:val="000000"/>
          <w:sz w:val="22"/>
          <w:szCs w:val="22"/>
          <w:lang w:val="es-CO" w:bidi="es-ES"/>
        </w:rPr>
        <w:t xml:space="preserve"> d) núm. 5.º de la Ley 136 de 1994; art. 11-3 de la Ley 80 de 1993 y el art. 110 del Estatuto Orgánico del Presupuesto. Sobre el punto, este Tribunal ha señalado:</w:t>
      </w:r>
    </w:p>
    <w:p w14:paraId="6B057CDC" w14:textId="77777777" w:rsidR="00FB277A" w:rsidRPr="00FB277A" w:rsidRDefault="00FB277A" w:rsidP="000000DE">
      <w:pPr>
        <w:pStyle w:val="Prrafodelista"/>
        <w:tabs>
          <w:tab w:val="left" w:pos="0"/>
        </w:tabs>
        <w:spacing w:line="276" w:lineRule="auto"/>
        <w:ind w:right="-233"/>
        <w:contextualSpacing/>
        <w:jc w:val="both"/>
        <w:rPr>
          <w:rFonts w:ascii="Arial" w:hAnsi="Arial" w:cs="Arial"/>
          <w:color w:val="000000"/>
          <w:sz w:val="22"/>
          <w:szCs w:val="22"/>
          <w:lang w:bidi="es-ES"/>
        </w:rPr>
      </w:pPr>
    </w:p>
    <w:p w14:paraId="4C93F25E" w14:textId="77777777" w:rsidR="00FB277A" w:rsidRPr="00FB277A" w:rsidRDefault="00FB277A" w:rsidP="000000DE">
      <w:pPr>
        <w:pStyle w:val="Prrafodelista"/>
        <w:tabs>
          <w:tab w:val="left" w:pos="0"/>
        </w:tabs>
        <w:spacing w:line="276" w:lineRule="auto"/>
        <w:ind w:left="1416" w:right="-233"/>
        <w:contextualSpacing/>
        <w:jc w:val="both"/>
        <w:rPr>
          <w:rFonts w:ascii="Arial" w:hAnsi="Arial" w:cs="Arial"/>
          <w:iCs/>
          <w:color w:val="000000"/>
          <w:sz w:val="22"/>
          <w:szCs w:val="22"/>
          <w:lang w:val="es-CO" w:bidi="es-ES"/>
        </w:rPr>
      </w:pPr>
      <w:r w:rsidRPr="00FB277A">
        <w:rPr>
          <w:rFonts w:ascii="Arial" w:hAnsi="Arial" w:cs="Arial"/>
          <w:iCs/>
          <w:color w:val="000000"/>
          <w:sz w:val="22"/>
          <w:szCs w:val="22"/>
          <w:lang w:val="es-CO" w:bidi="es-ES"/>
        </w:rPr>
        <w:t xml:space="preserve">“(…) </w:t>
      </w:r>
      <w:r w:rsidRPr="00FB277A">
        <w:rPr>
          <w:rFonts w:ascii="Arial" w:hAnsi="Arial" w:cs="Arial"/>
          <w:iCs/>
          <w:color w:val="000000"/>
          <w:sz w:val="22"/>
          <w:szCs w:val="22"/>
          <w:u w:val="single"/>
          <w:lang w:val="es-CO" w:bidi="es-ES"/>
        </w:rPr>
        <w:t>si bien en los concejos municipales radican las atribuciones de autorizar al alcalde para contratar</w:t>
      </w:r>
      <w:r w:rsidRPr="00FB277A">
        <w:rPr>
          <w:rFonts w:ascii="Arial" w:hAnsi="Arial" w:cs="Arial"/>
          <w:iCs/>
          <w:color w:val="000000"/>
          <w:sz w:val="22"/>
          <w:szCs w:val="22"/>
          <w:lang w:val="es-CO" w:bidi="es-ES"/>
        </w:rPr>
        <w:t xml:space="preserve"> y de reglamentar el procedimiento interno que indique cómo será solicitada y concedida tal autorización, </w:t>
      </w:r>
      <w:r w:rsidRPr="00FB277A">
        <w:rPr>
          <w:rFonts w:ascii="Arial" w:hAnsi="Arial" w:cs="Arial"/>
          <w:iCs/>
          <w:color w:val="000000"/>
          <w:sz w:val="22"/>
          <w:szCs w:val="22"/>
          <w:u w:val="single"/>
          <w:lang w:val="es-CO" w:bidi="es-ES"/>
        </w:rPr>
        <w:t xml:space="preserve">ello no implica la posibilidad de reglamentar o condicionar </w:t>
      </w:r>
      <w:r w:rsidRPr="00FB277A">
        <w:rPr>
          <w:rFonts w:ascii="Arial" w:hAnsi="Arial" w:cs="Arial"/>
          <w:b/>
          <w:bCs/>
          <w:iCs/>
          <w:color w:val="000000"/>
          <w:sz w:val="22"/>
          <w:szCs w:val="22"/>
          <w:u w:val="single"/>
          <w:lang w:val="es-CO" w:bidi="es-ES"/>
        </w:rPr>
        <w:t>temporalmente</w:t>
      </w:r>
      <w:r w:rsidRPr="00FB277A">
        <w:rPr>
          <w:rFonts w:ascii="Arial" w:hAnsi="Arial" w:cs="Arial"/>
          <w:iCs/>
          <w:color w:val="000000"/>
          <w:sz w:val="22"/>
          <w:szCs w:val="22"/>
          <w:u w:val="single"/>
          <w:lang w:val="es-CO" w:bidi="es-ES"/>
        </w:rPr>
        <w:t xml:space="preserve"> la función contractual del alcalde</w:t>
      </w:r>
      <w:r w:rsidRPr="00FB277A">
        <w:rPr>
          <w:rFonts w:ascii="Arial" w:hAnsi="Arial" w:cs="Arial"/>
          <w:iCs/>
          <w:color w:val="000000"/>
          <w:sz w:val="22"/>
          <w:szCs w:val="22"/>
          <w:lang w:val="es-CO" w:bidi="es-ES"/>
        </w:rPr>
        <w:t>, ni la intervención de la corporación en la actividad contractual propiamente dicha, lo cual constituye una intromisión en las funciones del ejecutivo municipal, pues al burgomaestre le compete la dirección de la actividad contractual en calidad de jefe de la administración municipal, al tenor del numeral 3° del artículo 315 Superior.</w:t>
      </w:r>
    </w:p>
    <w:p w14:paraId="62C5D018" w14:textId="77777777" w:rsidR="00FB277A" w:rsidRPr="00FB277A" w:rsidRDefault="00FB277A" w:rsidP="000000DE">
      <w:pPr>
        <w:pStyle w:val="Prrafodelista"/>
        <w:tabs>
          <w:tab w:val="left" w:pos="0"/>
        </w:tabs>
        <w:spacing w:line="276" w:lineRule="auto"/>
        <w:ind w:left="1416" w:right="-233"/>
        <w:contextualSpacing/>
        <w:jc w:val="both"/>
        <w:rPr>
          <w:rFonts w:ascii="Arial" w:hAnsi="Arial" w:cs="Arial"/>
          <w:iCs/>
          <w:color w:val="000000"/>
          <w:sz w:val="22"/>
          <w:szCs w:val="22"/>
          <w:lang w:val="es-CO" w:bidi="es-ES"/>
        </w:rPr>
      </w:pPr>
    </w:p>
    <w:p w14:paraId="59CD21A7" w14:textId="76C8724E" w:rsidR="00FB277A" w:rsidRPr="00FB277A" w:rsidRDefault="00FB277A" w:rsidP="000000DE">
      <w:pPr>
        <w:pStyle w:val="Prrafodelista"/>
        <w:tabs>
          <w:tab w:val="left" w:pos="0"/>
        </w:tabs>
        <w:spacing w:line="276" w:lineRule="auto"/>
        <w:ind w:left="1416" w:right="-233"/>
        <w:contextualSpacing/>
        <w:jc w:val="both"/>
        <w:rPr>
          <w:rFonts w:ascii="Arial" w:hAnsi="Arial" w:cs="Arial"/>
          <w:iCs/>
          <w:color w:val="000000"/>
          <w:sz w:val="22"/>
          <w:szCs w:val="22"/>
          <w:lang w:val="es-CO" w:bidi="es-ES"/>
        </w:rPr>
      </w:pPr>
      <w:r w:rsidRPr="00FB277A">
        <w:rPr>
          <w:rFonts w:ascii="Arial" w:hAnsi="Arial" w:cs="Arial"/>
          <w:iCs/>
          <w:color w:val="000000"/>
          <w:sz w:val="22"/>
          <w:szCs w:val="22"/>
          <w:lang w:val="es-CO" w:bidi="es-ES"/>
        </w:rPr>
        <w:t xml:space="preserve">En efecto, </w:t>
      </w:r>
      <w:r w:rsidRPr="00FB277A">
        <w:rPr>
          <w:rFonts w:ascii="Arial" w:hAnsi="Arial" w:cs="Arial"/>
          <w:iCs/>
          <w:color w:val="000000"/>
          <w:sz w:val="22"/>
          <w:szCs w:val="22"/>
          <w:u w:val="single"/>
          <w:lang w:val="es-CO" w:bidi="es-ES"/>
        </w:rPr>
        <w:t>cuando los concejos municipales confieren autorización al burgomaestre para celebrar contratos</w:t>
      </w:r>
      <w:r w:rsidRPr="00FB277A">
        <w:rPr>
          <w:rFonts w:ascii="Arial" w:hAnsi="Arial" w:cs="Arial"/>
          <w:iCs/>
          <w:color w:val="000000"/>
          <w:sz w:val="22"/>
          <w:szCs w:val="22"/>
          <w:lang w:val="es-CO" w:bidi="es-ES"/>
        </w:rPr>
        <w:t xml:space="preserve"> como representante legal del municipio (art. 314 C.P.), </w:t>
      </w:r>
      <w:r w:rsidRPr="00FB277A">
        <w:rPr>
          <w:rFonts w:ascii="Arial" w:hAnsi="Arial" w:cs="Arial"/>
          <w:b/>
          <w:bCs/>
          <w:iCs/>
          <w:color w:val="000000"/>
          <w:sz w:val="22"/>
          <w:szCs w:val="22"/>
          <w:u w:val="single"/>
          <w:lang w:val="es-CO" w:bidi="es-ES"/>
        </w:rPr>
        <w:t>no</w:t>
      </w:r>
      <w:r w:rsidRPr="00FB277A">
        <w:rPr>
          <w:rFonts w:ascii="Arial" w:hAnsi="Arial" w:cs="Arial"/>
          <w:iCs/>
          <w:color w:val="000000"/>
          <w:sz w:val="22"/>
          <w:szCs w:val="22"/>
          <w:u w:val="single"/>
          <w:lang w:val="es-CO" w:bidi="es-ES"/>
        </w:rPr>
        <w:t xml:space="preserve"> pueden determinar un marco temporal</w:t>
      </w:r>
      <w:r w:rsidRPr="00FB277A">
        <w:rPr>
          <w:rFonts w:ascii="Arial" w:hAnsi="Arial" w:cs="Arial"/>
          <w:iCs/>
          <w:color w:val="000000"/>
          <w:sz w:val="22"/>
          <w:szCs w:val="22"/>
          <w:lang w:val="es-CO" w:bidi="es-ES"/>
        </w:rPr>
        <w:t xml:space="preserve">, dado </w:t>
      </w:r>
      <w:r w:rsidRPr="00FB277A">
        <w:rPr>
          <w:rFonts w:ascii="Arial" w:hAnsi="Arial" w:cs="Arial"/>
          <w:iCs/>
          <w:color w:val="000000"/>
          <w:sz w:val="22"/>
          <w:szCs w:val="22"/>
          <w:lang w:val="es-CO" w:bidi="es-ES"/>
        </w:rPr>
        <w:lastRenderedPageBreak/>
        <w:t>que el mandato constitucional no lo define de esta manera, lo que s</w:t>
      </w:r>
      <w:r w:rsidR="00BC1225">
        <w:rPr>
          <w:rFonts w:ascii="Arial" w:hAnsi="Arial" w:cs="Arial"/>
          <w:iCs/>
          <w:color w:val="000000"/>
          <w:sz w:val="22"/>
          <w:szCs w:val="22"/>
          <w:lang w:val="es-CO" w:bidi="es-ES"/>
        </w:rPr>
        <w:t>í</w:t>
      </w:r>
      <w:r w:rsidRPr="00FB277A">
        <w:rPr>
          <w:rFonts w:ascii="Arial" w:hAnsi="Arial" w:cs="Arial"/>
          <w:iCs/>
          <w:color w:val="000000"/>
          <w:sz w:val="22"/>
          <w:szCs w:val="22"/>
          <w:lang w:val="es-CO" w:bidi="es-ES"/>
        </w:rPr>
        <w:t xml:space="preserve"> debe suceder cuando este cuerpo administrativo municipal se despoja de precisas atribuciones </w:t>
      </w:r>
      <w:r w:rsidR="00644D79">
        <w:rPr>
          <w:rFonts w:ascii="Arial" w:hAnsi="Arial" w:cs="Arial"/>
          <w:iCs/>
          <w:color w:val="000000"/>
          <w:sz w:val="22"/>
          <w:szCs w:val="22"/>
          <w:lang w:val="es-CO" w:bidi="es-ES"/>
        </w:rPr>
        <w:t xml:space="preserve">[entiéndase: facultades </w:t>
      </w:r>
      <w:r w:rsidR="00644D79">
        <w:rPr>
          <w:rFonts w:ascii="Arial" w:hAnsi="Arial" w:cs="Arial"/>
          <w:i/>
          <w:color w:val="000000"/>
          <w:sz w:val="22"/>
          <w:szCs w:val="22"/>
          <w:lang w:val="es-CO" w:bidi="es-ES"/>
        </w:rPr>
        <w:t>pro tempore</w:t>
      </w:r>
      <w:r w:rsidR="00644D79">
        <w:rPr>
          <w:rFonts w:ascii="Arial" w:hAnsi="Arial" w:cs="Arial"/>
          <w:iCs/>
          <w:color w:val="000000"/>
          <w:sz w:val="22"/>
          <w:szCs w:val="22"/>
          <w:lang w:val="es-CO" w:bidi="es-ES"/>
        </w:rPr>
        <w:t>]</w:t>
      </w:r>
      <w:r w:rsidR="00644D79">
        <w:rPr>
          <w:rFonts w:ascii="Arial" w:hAnsi="Arial" w:cs="Arial"/>
          <w:i/>
          <w:color w:val="000000"/>
          <w:sz w:val="22"/>
          <w:szCs w:val="22"/>
          <w:lang w:val="es-CO" w:bidi="es-ES"/>
        </w:rPr>
        <w:t xml:space="preserve"> </w:t>
      </w:r>
      <w:r w:rsidRPr="00FB277A">
        <w:rPr>
          <w:rFonts w:ascii="Arial" w:hAnsi="Arial" w:cs="Arial"/>
          <w:iCs/>
          <w:color w:val="000000"/>
          <w:sz w:val="22"/>
          <w:szCs w:val="22"/>
          <w:lang w:val="es-CO" w:bidi="es-ES"/>
        </w:rPr>
        <w:t>y las coloca en cabeza del alcalde, pues en tal evento sí debe establecer el tiempo en que la primera autoridad local puede ejercer esas funciones.</w:t>
      </w:r>
    </w:p>
    <w:p w14:paraId="2D90E3F4" w14:textId="77777777" w:rsidR="00FB277A" w:rsidRPr="00FB277A" w:rsidRDefault="00FB277A" w:rsidP="000000DE">
      <w:pPr>
        <w:pStyle w:val="Prrafodelista"/>
        <w:tabs>
          <w:tab w:val="left" w:pos="0"/>
        </w:tabs>
        <w:spacing w:line="276" w:lineRule="auto"/>
        <w:ind w:left="1416" w:right="-233"/>
        <w:contextualSpacing/>
        <w:jc w:val="both"/>
        <w:rPr>
          <w:rFonts w:ascii="Arial" w:hAnsi="Arial" w:cs="Arial"/>
          <w:iCs/>
          <w:color w:val="000000"/>
          <w:sz w:val="22"/>
          <w:szCs w:val="22"/>
          <w:lang w:val="es-CO" w:bidi="es-ES"/>
        </w:rPr>
      </w:pPr>
    </w:p>
    <w:p w14:paraId="2A85CAC7" w14:textId="77777777" w:rsidR="00FB277A" w:rsidRPr="00FB277A" w:rsidRDefault="00FB277A" w:rsidP="000000DE">
      <w:pPr>
        <w:pStyle w:val="Prrafodelista"/>
        <w:tabs>
          <w:tab w:val="left" w:pos="0"/>
        </w:tabs>
        <w:spacing w:line="276" w:lineRule="auto"/>
        <w:ind w:left="1416" w:right="-233"/>
        <w:contextualSpacing/>
        <w:jc w:val="both"/>
        <w:rPr>
          <w:rFonts w:ascii="Arial" w:hAnsi="Arial" w:cs="Arial"/>
          <w:iCs/>
          <w:color w:val="000000"/>
          <w:sz w:val="22"/>
          <w:szCs w:val="22"/>
          <w:lang w:val="es-CO" w:bidi="es-ES"/>
        </w:rPr>
      </w:pPr>
      <w:r w:rsidRPr="00FB277A">
        <w:rPr>
          <w:rFonts w:ascii="Arial" w:hAnsi="Arial" w:cs="Arial"/>
          <w:iCs/>
          <w:color w:val="000000"/>
          <w:sz w:val="22"/>
          <w:szCs w:val="22"/>
          <w:lang w:val="es-CO" w:bidi="es-ES"/>
        </w:rPr>
        <w:t xml:space="preserve">Lo anterior es más que lógico, toda vez que el concejo municipal jamás puede conocer qué tiempo empleará el alcalde para perfeccionar y suscribir un contrato por parte de la administración pública. </w:t>
      </w:r>
    </w:p>
    <w:p w14:paraId="69C1048A" w14:textId="77777777" w:rsidR="00FB277A" w:rsidRPr="00FB277A" w:rsidRDefault="00FB277A" w:rsidP="000000DE">
      <w:pPr>
        <w:pStyle w:val="Prrafodelista"/>
        <w:tabs>
          <w:tab w:val="left" w:pos="0"/>
        </w:tabs>
        <w:spacing w:line="276" w:lineRule="auto"/>
        <w:ind w:left="1416" w:right="-233"/>
        <w:contextualSpacing/>
        <w:jc w:val="both"/>
        <w:rPr>
          <w:rFonts w:ascii="Arial" w:hAnsi="Arial" w:cs="Arial"/>
          <w:iCs/>
          <w:color w:val="000000"/>
          <w:sz w:val="22"/>
          <w:szCs w:val="22"/>
          <w:lang w:val="es-CO" w:bidi="es-ES"/>
        </w:rPr>
      </w:pPr>
    </w:p>
    <w:p w14:paraId="2CD81094" w14:textId="7D8EF35C" w:rsidR="00FB277A" w:rsidRPr="00BC1225" w:rsidRDefault="00FB277A" w:rsidP="000000DE">
      <w:pPr>
        <w:pStyle w:val="Prrafodelista"/>
        <w:tabs>
          <w:tab w:val="left" w:pos="0"/>
        </w:tabs>
        <w:spacing w:line="276" w:lineRule="auto"/>
        <w:ind w:left="1416" w:right="-233"/>
        <w:contextualSpacing/>
        <w:jc w:val="both"/>
        <w:rPr>
          <w:rFonts w:ascii="Arial" w:hAnsi="Arial" w:cs="Arial"/>
          <w:iCs/>
          <w:color w:val="000000"/>
          <w:sz w:val="22"/>
          <w:szCs w:val="22"/>
          <w:lang w:val="es-CO" w:bidi="es-ES"/>
        </w:rPr>
      </w:pPr>
      <w:r w:rsidRPr="00FB277A">
        <w:rPr>
          <w:rFonts w:ascii="Arial" w:hAnsi="Arial" w:cs="Arial"/>
          <w:iCs/>
          <w:color w:val="000000"/>
          <w:sz w:val="22"/>
          <w:szCs w:val="22"/>
          <w:lang w:val="es-CO" w:bidi="es-ES"/>
        </w:rPr>
        <w:t>En conclusión, una cosa es la autorización para contratar y otra la efectiva realización del contrato, lo cual obedece a criterios de conveniencia y de oportunidad, aspectos cuya valoración son del exclusivo resorte del ejecutivo municipal. (…)”</w:t>
      </w:r>
      <w:r w:rsidRPr="00FB277A">
        <w:rPr>
          <w:rFonts w:ascii="Arial" w:hAnsi="Arial" w:cs="Arial"/>
          <w:iCs/>
          <w:color w:val="000000"/>
          <w:sz w:val="22"/>
          <w:szCs w:val="22"/>
          <w:vertAlign w:val="superscript"/>
          <w:lang w:val="es-CO" w:bidi="es-ES"/>
        </w:rPr>
        <w:footnoteReference w:id="42"/>
      </w:r>
      <w:r w:rsidRPr="00FB277A">
        <w:rPr>
          <w:rFonts w:ascii="Arial" w:hAnsi="Arial" w:cs="Arial"/>
          <w:iCs/>
          <w:color w:val="000000"/>
          <w:sz w:val="22"/>
          <w:szCs w:val="22"/>
          <w:lang w:val="es-CO" w:bidi="es-ES"/>
        </w:rPr>
        <w:t xml:space="preserve"> (Subraya y negrilla fuera del texto original)</w:t>
      </w:r>
    </w:p>
    <w:p w14:paraId="701B1C4F" w14:textId="5B1A07B2" w:rsidR="00FB277A" w:rsidRPr="00BC1225" w:rsidRDefault="00FB277A" w:rsidP="000000DE">
      <w:pPr>
        <w:pStyle w:val="Prrafodelista"/>
        <w:tabs>
          <w:tab w:val="left" w:pos="0"/>
        </w:tabs>
        <w:spacing w:line="276" w:lineRule="auto"/>
        <w:ind w:left="1416" w:right="-233"/>
        <w:contextualSpacing/>
        <w:jc w:val="both"/>
        <w:rPr>
          <w:rFonts w:ascii="Arial" w:hAnsi="Arial" w:cs="Arial"/>
          <w:iCs/>
          <w:color w:val="000000"/>
          <w:sz w:val="22"/>
          <w:szCs w:val="22"/>
          <w:lang w:val="es-CO" w:bidi="es-ES"/>
        </w:rPr>
      </w:pPr>
    </w:p>
    <w:p w14:paraId="2C6B5242" w14:textId="0703925B" w:rsidR="00BB2B12" w:rsidRDefault="00FB277A"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BC1225">
        <w:rPr>
          <w:rFonts w:ascii="Arial" w:hAnsi="Arial" w:cs="Arial"/>
          <w:iCs/>
          <w:color w:val="000000"/>
          <w:sz w:val="22"/>
          <w:szCs w:val="22"/>
          <w:lang w:bidi="es-ES"/>
        </w:rPr>
        <w:t>La Sala de Consulta y del Servicio Civil del Consejo de Estado ha insistido en que la “facultad de las corporaciones locales de someter a su revisión previa determinados contratos no es absoluta, tiene carácter excepcional y debe ejercerse racionalmente”. Además, “no puede utilizarse para interferir en la contratación del municipio o establecer trámites o requisitos no previstos en el Estatuto General de Contratación Pública y no puede en ningún caso desconocer las competencias constitucionales y legales propias del alcalde en materia contractual</w:t>
      </w:r>
      <w:r w:rsidR="00B523C0" w:rsidRPr="00BC1225">
        <w:rPr>
          <w:rFonts w:ascii="Arial" w:hAnsi="Arial" w:cs="Arial"/>
          <w:color w:val="000000"/>
          <w:sz w:val="22"/>
          <w:szCs w:val="22"/>
          <w:lang w:val="es-CO" w:bidi="es-ES"/>
        </w:rPr>
        <w:t>”</w:t>
      </w:r>
      <w:r w:rsidR="00B523C0" w:rsidRPr="00BC1225">
        <w:rPr>
          <w:rStyle w:val="Refdenotaalpie"/>
          <w:rFonts w:ascii="Arial" w:hAnsi="Arial" w:cs="Arial"/>
          <w:color w:val="000000"/>
          <w:sz w:val="22"/>
          <w:szCs w:val="22"/>
          <w:lang w:val="es-CO" w:bidi="es-ES"/>
        </w:rPr>
        <w:footnoteReference w:id="43"/>
      </w:r>
      <w:r w:rsidR="00BC1225" w:rsidRPr="00BC1225">
        <w:rPr>
          <w:rFonts w:ascii="Arial" w:hAnsi="Arial" w:cs="Arial"/>
          <w:color w:val="000000"/>
          <w:sz w:val="22"/>
          <w:szCs w:val="22"/>
          <w:lang w:val="es-CO" w:bidi="es-ES"/>
        </w:rPr>
        <w:t xml:space="preserve"> (negrillas y subrayas de la Sala)</w:t>
      </w:r>
      <w:r w:rsidR="00DE50EA">
        <w:rPr>
          <w:rStyle w:val="Refdenotaalpie"/>
          <w:rFonts w:ascii="Arial" w:hAnsi="Arial" w:cs="Arial"/>
          <w:color w:val="000000"/>
          <w:sz w:val="22"/>
          <w:szCs w:val="22"/>
          <w:lang w:val="es-CO" w:bidi="es-ES"/>
        </w:rPr>
        <w:footnoteReference w:id="44"/>
      </w:r>
      <w:r w:rsidR="00BC1225" w:rsidRPr="00BC1225">
        <w:rPr>
          <w:rFonts w:ascii="Arial" w:hAnsi="Arial" w:cs="Arial"/>
          <w:color w:val="000000"/>
          <w:sz w:val="22"/>
          <w:szCs w:val="22"/>
          <w:lang w:val="es-CO" w:bidi="es-ES"/>
        </w:rPr>
        <w:t>.</w:t>
      </w:r>
    </w:p>
    <w:p w14:paraId="2F12530C" w14:textId="6D08D0B8" w:rsidR="00BB2B12" w:rsidRDefault="00BB2B12"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p>
    <w:p w14:paraId="0DC576E3" w14:textId="3251517E" w:rsidR="0087460F" w:rsidRDefault="00F87405" w:rsidP="000000DE">
      <w:pPr>
        <w:tabs>
          <w:tab w:val="left" w:pos="0"/>
        </w:tabs>
        <w:spacing w:line="276" w:lineRule="auto"/>
        <w:ind w:right="-233"/>
        <w:contextualSpacing/>
        <w:jc w:val="both"/>
        <w:rPr>
          <w:rFonts w:ascii="Arial" w:hAnsi="Arial" w:cs="Arial"/>
          <w:color w:val="000000"/>
          <w:sz w:val="24"/>
          <w:szCs w:val="24"/>
          <w:lang w:val="es-CO" w:bidi="es-ES"/>
        </w:rPr>
      </w:pPr>
      <w:r w:rsidRPr="00BB2B12">
        <w:rPr>
          <w:rFonts w:ascii="Arial" w:hAnsi="Arial" w:cs="Arial"/>
          <w:color w:val="000000"/>
          <w:sz w:val="24"/>
          <w:szCs w:val="24"/>
          <w:lang w:val="es-CO" w:bidi="es-ES"/>
        </w:rPr>
        <w:t>28. En el caso concreto,</w:t>
      </w:r>
      <w:r w:rsidR="00594608">
        <w:rPr>
          <w:rFonts w:ascii="Arial" w:hAnsi="Arial" w:cs="Arial"/>
          <w:color w:val="000000"/>
          <w:sz w:val="24"/>
          <w:szCs w:val="24"/>
          <w:lang w:val="es-CO" w:bidi="es-ES"/>
        </w:rPr>
        <w:t xml:space="preserve"> existió una clara falta de técnica por parte de los miembros del Concejo del municipio de Tibaná</w:t>
      </w:r>
      <w:r w:rsidR="002271EC">
        <w:rPr>
          <w:rFonts w:ascii="Arial" w:hAnsi="Arial" w:cs="Arial"/>
          <w:color w:val="000000"/>
          <w:sz w:val="24"/>
          <w:szCs w:val="24"/>
          <w:lang w:val="es-CO" w:bidi="es-ES"/>
        </w:rPr>
        <w:t xml:space="preserve">, ya que en un solo artículo de un mismo acuerdo ―el artículo 1 del Acuerdo No. 001 de 19 de febrero de 2021― </w:t>
      </w:r>
      <w:r w:rsidR="00400A25">
        <w:rPr>
          <w:rFonts w:ascii="Arial" w:hAnsi="Arial" w:cs="Arial"/>
          <w:color w:val="000000"/>
          <w:sz w:val="24"/>
          <w:szCs w:val="24"/>
          <w:lang w:val="es-CO" w:bidi="es-ES"/>
        </w:rPr>
        <w:t xml:space="preserve">se dispuso la concesión de </w:t>
      </w:r>
      <w:r w:rsidR="0087460F">
        <w:rPr>
          <w:rFonts w:ascii="Arial" w:hAnsi="Arial" w:cs="Arial"/>
          <w:color w:val="000000"/>
          <w:sz w:val="24"/>
          <w:szCs w:val="24"/>
          <w:lang w:val="es-CO" w:bidi="es-ES"/>
        </w:rPr>
        <w:t>dos autorizaciones</w:t>
      </w:r>
      <w:r w:rsidR="00075C94">
        <w:rPr>
          <w:rFonts w:ascii="Arial" w:hAnsi="Arial" w:cs="Arial"/>
          <w:color w:val="000000"/>
          <w:sz w:val="24"/>
          <w:szCs w:val="24"/>
          <w:lang w:val="es-CO" w:bidi="es-ES"/>
        </w:rPr>
        <w:t xml:space="preserve"> diferentes </w:t>
      </w:r>
      <w:r w:rsidR="0087460F">
        <w:rPr>
          <w:rFonts w:ascii="Arial" w:hAnsi="Arial" w:cs="Arial"/>
          <w:color w:val="000000"/>
          <w:sz w:val="24"/>
          <w:szCs w:val="24"/>
          <w:lang w:val="es-CO" w:bidi="es-ES"/>
        </w:rPr>
        <w:t xml:space="preserve">que se regulan por normas </w:t>
      </w:r>
      <w:r w:rsidR="00075C94">
        <w:rPr>
          <w:rFonts w:ascii="Arial" w:hAnsi="Arial" w:cs="Arial"/>
          <w:color w:val="000000"/>
          <w:sz w:val="24"/>
          <w:szCs w:val="24"/>
          <w:lang w:val="es-CO" w:bidi="es-ES"/>
        </w:rPr>
        <w:t>disímiles</w:t>
      </w:r>
      <w:r w:rsidR="0087460F">
        <w:rPr>
          <w:rFonts w:ascii="Arial" w:hAnsi="Arial" w:cs="Arial"/>
          <w:color w:val="000000"/>
          <w:sz w:val="24"/>
          <w:szCs w:val="24"/>
          <w:lang w:val="es-CO" w:bidi="es-ES"/>
        </w:rPr>
        <w:t xml:space="preserve"> e implican consecuencias diversas. </w:t>
      </w:r>
    </w:p>
    <w:p w14:paraId="3CEFAA48" w14:textId="51646B04" w:rsidR="0087460F" w:rsidRDefault="0087460F" w:rsidP="000000DE">
      <w:pPr>
        <w:tabs>
          <w:tab w:val="left" w:pos="0"/>
        </w:tabs>
        <w:spacing w:line="276" w:lineRule="auto"/>
        <w:ind w:right="-233"/>
        <w:contextualSpacing/>
        <w:jc w:val="both"/>
        <w:rPr>
          <w:rFonts w:ascii="Arial" w:hAnsi="Arial" w:cs="Arial"/>
          <w:color w:val="000000"/>
          <w:sz w:val="24"/>
          <w:szCs w:val="24"/>
          <w:lang w:val="es-CO" w:bidi="es-ES"/>
        </w:rPr>
      </w:pPr>
    </w:p>
    <w:p w14:paraId="5471C9E3" w14:textId="46F78A70" w:rsidR="00913AC4" w:rsidRDefault="0087460F"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 xml:space="preserve">29. </w:t>
      </w:r>
      <w:r w:rsidR="007F2007">
        <w:rPr>
          <w:rFonts w:ascii="Arial" w:hAnsi="Arial" w:cs="Arial"/>
          <w:color w:val="000000"/>
          <w:sz w:val="24"/>
          <w:szCs w:val="24"/>
          <w:lang w:val="es-CO" w:bidi="es-ES"/>
        </w:rPr>
        <w:t>Sin perjuicio de lo anterior,</w:t>
      </w:r>
      <w:r w:rsidR="00400A25">
        <w:rPr>
          <w:rFonts w:ascii="Arial" w:hAnsi="Arial" w:cs="Arial"/>
          <w:color w:val="000000"/>
          <w:sz w:val="24"/>
          <w:szCs w:val="24"/>
          <w:lang w:val="es-CO" w:bidi="es-ES"/>
        </w:rPr>
        <w:t xml:space="preserve"> dado </w:t>
      </w:r>
      <w:r w:rsidR="00A13EAB">
        <w:rPr>
          <w:rFonts w:ascii="Arial" w:hAnsi="Arial" w:cs="Arial"/>
          <w:color w:val="000000"/>
          <w:sz w:val="24"/>
          <w:szCs w:val="24"/>
          <w:lang w:val="es-CO" w:bidi="es-ES"/>
        </w:rPr>
        <w:t xml:space="preserve">que el marco de competencia del Tribunal en este tipo de procesos se encuentra limitado ―exclusivamente― al análisis de los cargos propuestos por el departamento (estándole vedado a la Corporación judicial efectuar un juicio </w:t>
      </w:r>
      <w:r w:rsidR="00D02809">
        <w:rPr>
          <w:rFonts w:ascii="Arial" w:hAnsi="Arial" w:cs="Arial"/>
          <w:color w:val="000000"/>
          <w:sz w:val="24"/>
          <w:szCs w:val="24"/>
          <w:lang w:val="es-CO" w:bidi="es-ES"/>
        </w:rPr>
        <w:t xml:space="preserve">integral </w:t>
      </w:r>
      <w:r w:rsidR="00A13EAB">
        <w:rPr>
          <w:rFonts w:ascii="Arial" w:hAnsi="Arial" w:cs="Arial"/>
          <w:color w:val="000000"/>
          <w:sz w:val="24"/>
          <w:szCs w:val="24"/>
          <w:lang w:val="es-CO" w:bidi="es-ES"/>
        </w:rPr>
        <w:t>de legalidad</w:t>
      </w:r>
      <w:r w:rsidR="00075C94">
        <w:rPr>
          <w:rFonts w:ascii="Arial" w:hAnsi="Arial" w:cs="Arial"/>
          <w:color w:val="000000"/>
          <w:sz w:val="24"/>
          <w:szCs w:val="24"/>
          <w:lang w:val="es-CO" w:bidi="es-ES"/>
        </w:rPr>
        <w:t xml:space="preserve"> del acto acusado</w:t>
      </w:r>
      <w:r w:rsidR="00A13EAB">
        <w:rPr>
          <w:rFonts w:ascii="Arial" w:hAnsi="Arial" w:cs="Arial"/>
          <w:color w:val="000000"/>
          <w:sz w:val="24"/>
          <w:szCs w:val="24"/>
          <w:lang w:val="es-CO" w:bidi="es-ES"/>
        </w:rPr>
        <w:t>)</w:t>
      </w:r>
      <w:r w:rsidR="00075C94">
        <w:rPr>
          <w:rFonts w:ascii="Arial" w:hAnsi="Arial" w:cs="Arial"/>
          <w:color w:val="000000"/>
          <w:sz w:val="24"/>
          <w:szCs w:val="24"/>
          <w:lang w:val="es-CO" w:bidi="es-ES"/>
        </w:rPr>
        <w:t xml:space="preserve">, la Sala </w:t>
      </w:r>
      <w:r w:rsidR="00075C94">
        <w:rPr>
          <w:rFonts w:ascii="Arial" w:hAnsi="Arial" w:cs="Arial"/>
          <w:color w:val="000000"/>
          <w:sz w:val="24"/>
          <w:szCs w:val="24"/>
          <w:lang w:val="es-CO" w:bidi="es-ES"/>
        </w:rPr>
        <w:lastRenderedPageBreak/>
        <w:t>únicamente se pronunciará</w:t>
      </w:r>
      <w:r w:rsidR="00913AC4">
        <w:rPr>
          <w:rFonts w:ascii="Arial" w:hAnsi="Arial" w:cs="Arial"/>
          <w:color w:val="000000"/>
          <w:sz w:val="24"/>
          <w:szCs w:val="24"/>
          <w:lang w:val="es-CO" w:bidi="es-ES"/>
        </w:rPr>
        <w:t xml:space="preserve"> sobre la presunta ‘prórroga extemporánea de</w:t>
      </w:r>
      <w:r w:rsidR="00D54B5A">
        <w:rPr>
          <w:rFonts w:ascii="Arial" w:hAnsi="Arial" w:cs="Arial"/>
          <w:color w:val="000000"/>
          <w:sz w:val="24"/>
          <w:szCs w:val="24"/>
          <w:lang w:val="es-CO" w:bidi="es-ES"/>
        </w:rPr>
        <w:t xml:space="preserve"> las </w:t>
      </w:r>
      <w:r w:rsidR="00913AC4">
        <w:rPr>
          <w:rFonts w:ascii="Arial" w:hAnsi="Arial" w:cs="Arial"/>
          <w:color w:val="000000"/>
          <w:sz w:val="24"/>
          <w:szCs w:val="24"/>
          <w:lang w:val="es-CO" w:bidi="es-ES"/>
        </w:rPr>
        <w:t xml:space="preserve">facultades </w:t>
      </w:r>
      <w:r w:rsidR="00913AC4">
        <w:rPr>
          <w:rFonts w:ascii="Arial" w:hAnsi="Arial" w:cs="Arial"/>
          <w:i/>
          <w:iCs/>
          <w:color w:val="000000"/>
          <w:sz w:val="24"/>
          <w:szCs w:val="24"/>
          <w:lang w:val="es-CO" w:bidi="es-ES"/>
        </w:rPr>
        <w:t>pro tempore</w:t>
      </w:r>
      <w:r w:rsidR="00913AC4">
        <w:rPr>
          <w:rFonts w:ascii="Arial" w:hAnsi="Arial" w:cs="Arial"/>
          <w:color w:val="000000"/>
          <w:sz w:val="24"/>
          <w:szCs w:val="24"/>
          <w:lang w:val="es-CO" w:bidi="es-ES"/>
        </w:rPr>
        <w:t xml:space="preserve">’ </w:t>
      </w:r>
      <w:r w:rsidR="003600C0">
        <w:rPr>
          <w:rFonts w:ascii="Arial" w:hAnsi="Arial" w:cs="Arial"/>
          <w:color w:val="000000"/>
          <w:sz w:val="24"/>
          <w:szCs w:val="24"/>
          <w:lang w:val="es-CO" w:bidi="es-ES"/>
        </w:rPr>
        <w:t xml:space="preserve">que se otorgaron </w:t>
      </w:r>
      <w:r w:rsidR="00913AC4">
        <w:rPr>
          <w:rFonts w:ascii="Arial" w:hAnsi="Arial" w:cs="Arial"/>
          <w:color w:val="000000"/>
          <w:sz w:val="24"/>
          <w:szCs w:val="24"/>
          <w:lang w:val="es-CO" w:bidi="es-ES"/>
        </w:rPr>
        <w:t xml:space="preserve">al Alcalde de Tibaná. </w:t>
      </w:r>
    </w:p>
    <w:p w14:paraId="392D5236" w14:textId="77777777" w:rsidR="00913AC4" w:rsidRDefault="00913AC4"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0F3BA5B5" w14:textId="1B009D6A" w:rsidR="003600C0" w:rsidRDefault="00913AC4"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 xml:space="preserve">30. </w:t>
      </w:r>
      <w:r w:rsidR="00D54B5A">
        <w:rPr>
          <w:rFonts w:ascii="Arial" w:hAnsi="Arial" w:cs="Arial"/>
          <w:color w:val="000000"/>
          <w:sz w:val="24"/>
          <w:szCs w:val="24"/>
          <w:lang w:val="es-CO" w:bidi="es-ES"/>
        </w:rPr>
        <w:t xml:space="preserve">Según se analizó, solamente estamos en presencia de una autorización para el ejercicio de facultades </w:t>
      </w:r>
      <w:r w:rsidR="00D54B5A">
        <w:rPr>
          <w:rFonts w:ascii="Arial" w:hAnsi="Arial" w:cs="Arial"/>
          <w:i/>
          <w:iCs/>
          <w:color w:val="000000"/>
          <w:sz w:val="24"/>
          <w:szCs w:val="24"/>
          <w:lang w:val="es-CO" w:bidi="es-ES"/>
        </w:rPr>
        <w:t xml:space="preserve">pro tempore </w:t>
      </w:r>
      <w:r w:rsidR="00D54B5A">
        <w:rPr>
          <w:rFonts w:ascii="Arial" w:hAnsi="Arial" w:cs="Arial"/>
          <w:color w:val="000000"/>
          <w:sz w:val="24"/>
          <w:szCs w:val="24"/>
          <w:lang w:val="es-CO" w:bidi="es-ES"/>
        </w:rPr>
        <w:t xml:space="preserve">cuando el concejo se desprende, transitoriamente, del ejercicio de una de </w:t>
      </w:r>
      <w:r w:rsidR="003600C0">
        <w:rPr>
          <w:rFonts w:ascii="Arial" w:hAnsi="Arial" w:cs="Arial"/>
          <w:color w:val="000000"/>
          <w:sz w:val="24"/>
          <w:szCs w:val="24"/>
          <w:lang w:val="es-CO" w:bidi="es-ES"/>
        </w:rPr>
        <w:t>las funciones que tiene asignada a su cargo</w:t>
      </w:r>
      <w:r w:rsidR="00D54B5A">
        <w:rPr>
          <w:rFonts w:ascii="Arial" w:hAnsi="Arial" w:cs="Arial"/>
          <w:color w:val="000000"/>
          <w:sz w:val="24"/>
          <w:szCs w:val="24"/>
          <w:lang w:val="es-CO" w:bidi="es-ES"/>
        </w:rPr>
        <w:t>, la cual es trasladada al</w:t>
      </w:r>
      <w:r w:rsidR="00D02809">
        <w:rPr>
          <w:rFonts w:ascii="Arial" w:hAnsi="Arial" w:cs="Arial"/>
          <w:color w:val="000000"/>
          <w:sz w:val="24"/>
          <w:szCs w:val="24"/>
          <w:lang w:val="es-CO" w:bidi="es-ES"/>
        </w:rPr>
        <w:t xml:space="preserve"> alcalde </w:t>
      </w:r>
      <w:r w:rsidR="00D54B5A">
        <w:rPr>
          <w:rFonts w:ascii="Arial" w:hAnsi="Arial" w:cs="Arial"/>
          <w:color w:val="000000"/>
          <w:sz w:val="24"/>
          <w:szCs w:val="24"/>
          <w:lang w:val="es-CO" w:bidi="es-ES"/>
        </w:rPr>
        <w:t xml:space="preserve">municipal para que la ejerza en su nombre; siempre de manera precisa </w:t>
      </w:r>
      <w:r w:rsidR="003600C0">
        <w:rPr>
          <w:rFonts w:ascii="Arial" w:hAnsi="Arial" w:cs="Arial"/>
          <w:color w:val="000000"/>
          <w:sz w:val="24"/>
          <w:szCs w:val="24"/>
          <w:lang w:val="es-CO" w:bidi="es-ES"/>
        </w:rPr>
        <w:t xml:space="preserve">―en su objeto― </w:t>
      </w:r>
      <w:r w:rsidR="00D54B5A">
        <w:rPr>
          <w:rFonts w:ascii="Arial" w:hAnsi="Arial" w:cs="Arial"/>
          <w:color w:val="000000"/>
          <w:sz w:val="24"/>
          <w:szCs w:val="24"/>
          <w:lang w:val="es-CO" w:bidi="es-ES"/>
        </w:rPr>
        <w:t>y delimitada</w:t>
      </w:r>
      <w:r w:rsidR="003600C0">
        <w:rPr>
          <w:rFonts w:ascii="Arial" w:hAnsi="Arial" w:cs="Arial"/>
          <w:color w:val="000000"/>
          <w:sz w:val="24"/>
          <w:szCs w:val="24"/>
          <w:lang w:val="es-CO" w:bidi="es-ES"/>
        </w:rPr>
        <w:t xml:space="preserve"> ―en el tiempo―</w:t>
      </w:r>
      <w:r w:rsidR="00D54B5A">
        <w:rPr>
          <w:rFonts w:ascii="Arial" w:hAnsi="Arial" w:cs="Arial"/>
          <w:color w:val="000000"/>
          <w:sz w:val="24"/>
          <w:szCs w:val="24"/>
          <w:lang w:val="es-CO" w:bidi="es-ES"/>
        </w:rPr>
        <w:t>,</w:t>
      </w:r>
      <w:r w:rsidR="001236EE">
        <w:rPr>
          <w:rFonts w:ascii="Arial" w:hAnsi="Arial" w:cs="Arial"/>
          <w:color w:val="000000"/>
          <w:sz w:val="24"/>
          <w:szCs w:val="24"/>
          <w:lang w:val="es-CO" w:bidi="es-ES"/>
        </w:rPr>
        <w:t xml:space="preserve"> pues no es viable ‘desnaturalizar’ </w:t>
      </w:r>
      <w:r w:rsidR="001236EE" w:rsidRPr="001236EE">
        <w:rPr>
          <w:rFonts w:ascii="Arial" w:hAnsi="Arial" w:cs="Arial"/>
          <w:color w:val="000000"/>
          <w:sz w:val="24"/>
          <w:szCs w:val="24"/>
          <w:lang w:val="es-CO" w:bidi="es-ES"/>
        </w:rPr>
        <w:t xml:space="preserve">la distribución de funciones </w:t>
      </w:r>
      <w:r w:rsidR="001236EE">
        <w:rPr>
          <w:rFonts w:ascii="Arial" w:hAnsi="Arial" w:cs="Arial"/>
          <w:color w:val="000000"/>
          <w:sz w:val="24"/>
          <w:szCs w:val="24"/>
          <w:lang w:val="es-CO" w:bidi="es-ES"/>
        </w:rPr>
        <w:t>que previeron tanto el constituyente, como el legislador.</w:t>
      </w:r>
    </w:p>
    <w:p w14:paraId="7EEBECEB" w14:textId="77777777" w:rsidR="003600C0" w:rsidRDefault="003600C0"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59918F80" w14:textId="77777777" w:rsidR="00E00F48" w:rsidRDefault="003600C0"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31. Ahora bien,</w:t>
      </w:r>
      <w:r w:rsidR="00B11875">
        <w:rPr>
          <w:rFonts w:ascii="Arial" w:hAnsi="Arial" w:cs="Arial"/>
          <w:color w:val="000000"/>
          <w:sz w:val="24"/>
          <w:szCs w:val="24"/>
          <w:lang w:val="es-CO" w:bidi="es-ES"/>
        </w:rPr>
        <w:t xml:space="preserve"> revisado el artículo 1 del acuerdo demandado, la Sala observa que la única facultad </w:t>
      </w:r>
      <w:r w:rsidR="00B11875">
        <w:rPr>
          <w:rFonts w:ascii="Arial" w:hAnsi="Arial" w:cs="Arial"/>
          <w:i/>
          <w:iCs/>
          <w:color w:val="000000"/>
          <w:sz w:val="24"/>
          <w:szCs w:val="24"/>
          <w:lang w:val="es-CO" w:bidi="es-ES"/>
        </w:rPr>
        <w:t xml:space="preserve">pro tempore </w:t>
      </w:r>
      <w:r w:rsidR="00B11875">
        <w:rPr>
          <w:rFonts w:ascii="Arial" w:hAnsi="Arial" w:cs="Arial"/>
          <w:color w:val="000000"/>
          <w:sz w:val="24"/>
          <w:szCs w:val="24"/>
          <w:lang w:val="es-CO" w:bidi="es-ES"/>
        </w:rPr>
        <w:t xml:space="preserve">que fue autorizada por parte del Concejo de Tibaná fue aquella relativa a la entrega </w:t>
      </w:r>
      <w:r w:rsidR="00FA6B68">
        <w:rPr>
          <w:rFonts w:ascii="Arial" w:hAnsi="Arial" w:cs="Arial"/>
          <w:color w:val="000000"/>
          <w:sz w:val="24"/>
          <w:szCs w:val="24"/>
          <w:lang w:val="es-CO" w:bidi="es-ES"/>
        </w:rPr>
        <w:t xml:space="preserve">de los subsidios </w:t>
      </w:r>
      <w:r w:rsidR="00F42431">
        <w:rPr>
          <w:rFonts w:ascii="Arial" w:hAnsi="Arial" w:cs="Arial"/>
          <w:color w:val="000000"/>
          <w:sz w:val="24"/>
          <w:szCs w:val="24"/>
          <w:lang w:val="es-CO" w:bidi="es-ES"/>
        </w:rPr>
        <w:t xml:space="preserve">de vivienda de interés social, que en este caso corresponde al valor de los lotes donde se tiene previsto construir las casas. </w:t>
      </w:r>
      <w:r w:rsidR="000D5709">
        <w:rPr>
          <w:rFonts w:ascii="Arial" w:hAnsi="Arial" w:cs="Arial"/>
          <w:color w:val="000000"/>
          <w:sz w:val="24"/>
          <w:szCs w:val="24"/>
          <w:lang w:val="es-CO" w:bidi="es-ES"/>
        </w:rPr>
        <w:t xml:space="preserve">La Sala considera que tal facultad es propia de los concejos municipales pues </w:t>
      </w:r>
      <w:r w:rsidR="00E801B7">
        <w:rPr>
          <w:rFonts w:ascii="Arial" w:hAnsi="Arial" w:cs="Arial"/>
          <w:color w:val="000000"/>
          <w:sz w:val="24"/>
          <w:szCs w:val="24"/>
          <w:lang w:val="es-CO" w:bidi="es-ES"/>
        </w:rPr>
        <w:t>así lo previeron el Decreto 1168 de 1996 ―artículo 1</w:t>
      </w:r>
      <w:r w:rsidR="00E801B7">
        <w:rPr>
          <w:rStyle w:val="Refdenotaalpie"/>
          <w:rFonts w:ascii="Arial" w:hAnsi="Arial" w:cs="Arial"/>
          <w:color w:val="000000"/>
          <w:sz w:val="24"/>
          <w:szCs w:val="24"/>
          <w:lang w:val="es-CO" w:bidi="es-ES"/>
        </w:rPr>
        <w:footnoteReference w:id="45"/>
      </w:r>
      <w:r w:rsidR="00E801B7">
        <w:rPr>
          <w:rFonts w:ascii="Arial" w:hAnsi="Arial" w:cs="Arial"/>
          <w:color w:val="000000"/>
          <w:sz w:val="24"/>
          <w:szCs w:val="24"/>
          <w:lang w:val="es-CO" w:bidi="es-ES"/>
        </w:rPr>
        <w:t>― y la Ley 715 de 2001 ―numeral 76.2.2 del artículo 76</w:t>
      </w:r>
      <w:r w:rsidR="00091A95">
        <w:rPr>
          <w:rStyle w:val="Refdenotaalpie"/>
          <w:rFonts w:ascii="Arial" w:hAnsi="Arial" w:cs="Arial"/>
          <w:color w:val="000000"/>
          <w:sz w:val="24"/>
          <w:szCs w:val="24"/>
          <w:lang w:val="es-CO" w:bidi="es-ES"/>
        </w:rPr>
        <w:footnoteReference w:id="46"/>
      </w:r>
      <w:r w:rsidR="00E801B7">
        <w:rPr>
          <w:rFonts w:ascii="Arial" w:hAnsi="Arial" w:cs="Arial"/>
          <w:color w:val="000000"/>
          <w:sz w:val="24"/>
          <w:szCs w:val="24"/>
          <w:lang w:val="es-CO" w:bidi="es-ES"/>
        </w:rPr>
        <w:t>―</w:t>
      </w:r>
      <w:r w:rsidR="00544338">
        <w:rPr>
          <w:rFonts w:ascii="Arial" w:hAnsi="Arial" w:cs="Arial"/>
          <w:color w:val="000000"/>
          <w:sz w:val="24"/>
          <w:szCs w:val="24"/>
          <w:lang w:val="es-CO" w:bidi="es-ES"/>
        </w:rPr>
        <w:t xml:space="preserve">, en concordancia con lo </w:t>
      </w:r>
      <w:r w:rsidR="00091A95">
        <w:rPr>
          <w:rFonts w:ascii="Arial" w:hAnsi="Arial" w:cs="Arial"/>
          <w:color w:val="000000"/>
          <w:sz w:val="24"/>
          <w:szCs w:val="24"/>
          <w:lang w:val="es-CO" w:bidi="es-ES"/>
        </w:rPr>
        <w:t xml:space="preserve">normado </w:t>
      </w:r>
      <w:r w:rsidR="00544338">
        <w:rPr>
          <w:rFonts w:ascii="Arial" w:hAnsi="Arial" w:cs="Arial"/>
          <w:color w:val="000000"/>
          <w:sz w:val="24"/>
          <w:szCs w:val="24"/>
          <w:lang w:val="es-CO" w:bidi="es-ES"/>
        </w:rPr>
        <w:t xml:space="preserve">por </w:t>
      </w:r>
      <w:r w:rsidR="0096583B">
        <w:rPr>
          <w:rFonts w:ascii="Arial" w:hAnsi="Arial" w:cs="Arial"/>
          <w:color w:val="000000"/>
          <w:sz w:val="24"/>
          <w:szCs w:val="24"/>
          <w:lang w:val="es-CO" w:bidi="es-ES"/>
        </w:rPr>
        <w:t>el artículo 94 del Decreto 1333 de 1986</w:t>
      </w:r>
      <w:r w:rsidR="0096583B">
        <w:rPr>
          <w:rStyle w:val="Refdenotaalpie"/>
          <w:rFonts w:ascii="Arial" w:hAnsi="Arial" w:cs="Arial"/>
          <w:color w:val="000000"/>
          <w:sz w:val="24"/>
          <w:szCs w:val="24"/>
          <w:lang w:val="es-CO" w:bidi="es-ES"/>
        </w:rPr>
        <w:footnoteReference w:id="47"/>
      </w:r>
      <w:r w:rsidR="0096583B">
        <w:rPr>
          <w:rFonts w:ascii="Arial" w:hAnsi="Arial" w:cs="Arial"/>
          <w:color w:val="000000"/>
          <w:sz w:val="24"/>
          <w:szCs w:val="24"/>
          <w:lang w:val="es-CO" w:bidi="es-ES"/>
        </w:rPr>
        <w:t xml:space="preserve"> y </w:t>
      </w:r>
      <w:r w:rsidR="00544338">
        <w:rPr>
          <w:rFonts w:ascii="Arial" w:hAnsi="Arial" w:cs="Arial"/>
          <w:color w:val="000000"/>
          <w:sz w:val="24"/>
          <w:szCs w:val="24"/>
          <w:lang w:val="es-CO" w:bidi="es-ES"/>
        </w:rPr>
        <w:t>el parágrafo 2 del artículo 32 de la Ley 136 de 1994</w:t>
      </w:r>
      <w:r w:rsidR="00544338">
        <w:rPr>
          <w:rStyle w:val="Refdenotaalpie"/>
          <w:rFonts w:ascii="Arial" w:hAnsi="Arial" w:cs="Arial"/>
          <w:color w:val="000000"/>
          <w:sz w:val="24"/>
          <w:szCs w:val="24"/>
          <w:lang w:val="es-CO" w:bidi="es-ES"/>
        </w:rPr>
        <w:footnoteReference w:id="48"/>
      </w:r>
      <w:r w:rsidR="00544338">
        <w:rPr>
          <w:rFonts w:ascii="Arial" w:hAnsi="Arial" w:cs="Arial"/>
          <w:color w:val="000000"/>
          <w:sz w:val="24"/>
          <w:szCs w:val="24"/>
          <w:lang w:val="es-CO" w:bidi="es-ES"/>
        </w:rPr>
        <w:t>.</w:t>
      </w:r>
    </w:p>
    <w:p w14:paraId="30FA1397" w14:textId="77777777" w:rsidR="00E00F48" w:rsidRDefault="00E00F48"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736FCF49" w14:textId="44D0E7A8" w:rsidR="00F17E2C" w:rsidRDefault="00AC2D39" w:rsidP="00F17E2C">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3</w:t>
      </w:r>
      <w:r w:rsidR="00E00F48">
        <w:rPr>
          <w:rFonts w:ascii="Arial" w:hAnsi="Arial" w:cs="Arial"/>
          <w:color w:val="000000"/>
          <w:sz w:val="24"/>
          <w:szCs w:val="24"/>
          <w:lang w:val="es-CO" w:bidi="es-ES"/>
        </w:rPr>
        <w:t>2</w:t>
      </w:r>
      <w:r>
        <w:rPr>
          <w:rFonts w:ascii="Arial" w:hAnsi="Arial" w:cs="Arial"/>
          <w:color w:val="000000"/>
          <w:sz w:val="24"/>
          <w:szCs w:val="24"/>
          <w:lang w:val="es-CO" w:bidi="es-ES"/>
        </w:rPr>
        <w:t xml:space="preserve">. Teniendo en cuenta lo anterior, </w:t>
      </w:r>
      <w:r w:rsidR="00DB07A3">
        <w:rPr>
          <w:rFonts w:ascii="Arial" w:hAnsi="Arial" w:cs="Arial"/>
          <w:color w:val="000000"/>
          <w:sz w:val="24"/>
          <w:szCs w:val="24"/>
          <w:lang w:val="es-CO" w:bidi="es-ES"/>
        </w:rPr>
        <w:t xml:space="preserve">(i) </w:t>
      </w:r>
      <w:r>
        <w:rPr>
          <w:rFonts w:ascii="Arial" w:hAnsi="Arial" w:cs="Arial"/>
          <w:color w:val="000000"/>
          <w:sz w:val="24"/>
          <w:szCs w:val="24"/>
          <w:lang w:val="es-CO" w:bidi="es-ES"/>
        </w:rPr>
        <w:t xml:space="preserve">si consideramos que </w:t>
      </w:r>
      <w:r w:rsidR="00C12A0E">
        <w:rPr>
          <w:rFonts w:ascii="Arial" w:hAnsi="Arial" w:cs="Arial"/>
          <w:color w:val="000000"/>
          <w:sz w:val="24"/>
          <w:szCs w:val="24"/>
          <w:lang w:val="es-CO" w:bidi="es-ES"/>
        </w:rPr>
        <w:t xml:space="preserve">las facultades otorgadas en el Acuerdo No. 001 de 19 de febrero de 2021 ya habían sido asignadas </w:t>
      </w:r>
      <w:r w:rsidR="00C12A0E">
        <w:rPr>
          <w:rFonts w:ascii="Arial" w:hAnsi="Arial" w:cs="Arial"/>
          <w:i/>
          <w:iCs/>
          <w:color w:val="000000"/>
          <w:sz w:val="24"/>
          <w:szCs w:val="24"/>
          <w:lang w:val="es-CO" w:bidi="es-ES"/>
        </w:rPr>
        <w:t xml:space="preserve">pro tempore </w:t>
      </w:r>
      <w:r w:rsidR="00C12A0E">
        <w:rPr>
          <w:rFonts w:ascii="Arial" w:hAnsi="Arial" w:cs="Arial"/>
          <w:color w:val="000000"/>
          <w:sz w:val="24"/>
          <w:szCs w:val="24"/>
          <w:lang w:val="es-CO" w:bidi="es-ES"/>
        </w:rPr>
        <w:t xml:space="preserve">al Alcalde del municipio de Tibaná a través de los Acuerdos No. 037 de 21 de diciembre de 2018 y </w:t>
      </w:r>
      <w:r w:rsidR="00673836">
        <w:rPr>
          <w:rFonts w:ascii="Arial" w:hAnsi="Arial" w:cs="Arial"/>
          <w:color w:val="000000"/>
          <w:sz w:val="24"/>
          <w:szCs w:val="24"/>
          <w:lang w:val="es-CO" w:bidi="es-ES"/>
        </w:rPr>
        <w:t xml:space="preserve">No. 002 de 18 de febrero de 2020; </w:t>
      </w:r>
      <w:r w:rsidR="00DB07A3">
        <w:rPr>
          <w:rFonts w:ascii="Arial" w:hAnsi="Arial" w:cs="Arial"/>
          <w:color w:val="000000"/>
          <w:sz w:val="24"/>
          <w:szCs w:val="24"/>
          <w:lang w:val="es-CO" w:bidi="es-ES"/>
        </w:rPr>
        <w:t>(</w:t>
      </w:r>
      <w:proofErr w:type="spellStart"/>
      <w:r w:rsidR="00DB07A3">
        <w:rPr>
          <w:rFonts w:ascii="Arial" w:hAnsi="Arial" w:cs="Arial"/>
          <w:color w:val="000000"/>
          <w:sz w:val="24"/>
          <w:szCs w:val="24"/>
          <w:lang w:val="es-CO" w:bidi="es-ES"/>
        </w:rPr>
        <w:t>ii</w:t>
      </w:r>
      <w:proofErr w:type="spellEnd"/>
      <w:r w:rsidR="00DB07A3">
        <w:rPr>
          <w:rFonts w:ascii="Arial" w:hAnsi="Arial" w:cs="Arial"/>
          <w:color w:val="000000"/>
          <w:sz w:val="24"/>
          <w:szCs w:val="24"/>
          <w:lang w:val="es-CO" w:bidi="es-ES"/>
        </w:rPr>
        <w:t xml:space="preserve">) y ponemos de presente que, de acuerdo con la jurisprudencia, </w:t>
      </w:r>
      <w:r w:rsidR="00DB07A3" w:rsidRPr="00DB07A3">
        <w:rPr>
          <w:rFonts w:ascii="Arial" w:hAnsi="Arial" w:cs="Arial"/>
          <w:color w:val="000000"/>
          <w:sz w:val="24"/>
          <w:szCs w:val="24"/>
          <w:lang w:val="es-CO" w:bidi="es-ES"/>
        </w:rPr>
        <w:t xml:space="preserve">las facultades </w:t>
      </w:r>
      <w:r w:rsidR="00DB07A3" w:rsidRPr="00DB07A3">
        <w:rPr>
          <w:rFonts w:ascii="Arial" w:hAnsi="Arial" w:cs="Arial"/>
          <w:i/>
          <w:iCs/>
          <w:color w:val="000000"/>
          <w:sz w:val="24"/>
          <w:szCs w:val="24"/>
          <w:lang w:val="es-CO" w:bidi="es-ES"/>
        </w:rPr>
        <w:t>pro tempore</w:t>
      </w:r>
      <w:r w:rsidR="00DB07A3" w:rsidRPr="00DB07A3">
        <w:rPr>
          <w:rFonts w:ascii="Arial" w:hAnsi="Arial" w:cs="Arial"/>
          <w:color w:val="000000"/>
          <w:sz w:val="24"/>
          <w:szCs w:val="24"/>
          <w:lang w:val="es-CO" w:bidi="es-ES"/>
        </w:rPr>
        <w:t xml:space="preserve"> que </w:t>
      </w:r>
      <w:r w:rsidR="00DB07A3">
        <w:rPr>
          <w:rFonts w:ascii="Arial" w:hAnsi="Arial" w:cs="Arial"/>
          <w:color w:val="000000"/>
          <w:sz w:val="24"/>
          <w:szCs w:val="24"/>
          <w:lang w:val="es-CO" w:bidi="es-ES"/>
        </w:rPr>
        <w:t xml:space="preserve">los concejos confieren a los alcaldes </w:t>
      </w:r>
      <w:r w:rsidR="00DB07A3" w:rsidRPr="00DB07A3">
        <w:rPr>
          <w:rFonts w:ascii="Arial" w:hAnsi="Arial" w:cs="Arial"/>
          <w:color w:val="000000"/>
          <w:sz w:val="24"/>
          <w:szCs w:val="24"/>
          <w:lang w:val="es-CO" w:bidi="es-ES"/>
        </w:rPr>
        <w:t>solo pueden ser otorgadas por única vez y no pueden ser prorrogadas sucesivamente</w:t>
      </w:r>
      <w:r w:rsidR="00FC3080">
        <w:rPr>
          <w:rFonts w:ascii="Arial" w:hAnsi="Arial" w:cs="Arial"/>
          <w:color w:val="000000"/>
          <w:sz w:val="24"/>
          <w:szCs w:val="24"/>
          <w:lang w:val="es-CO" w:bidi="es-ES"/>
        </w:rPr>
        <w:t xml:space="preserve">; </w:t>
      </w:r>
      <w:r w:rsidR="000A4167">
        <w:rPr>
          <w:rFonts w:ascii="Arial" w:hAnsi="Arial" w:cs="Arial"/>
          <w:color w:val="000000"/>
          <w:sz w:val="24"/>
          <w:szCs w:val="24"/>
          <w:lang w:val="es-CO" w:bidi="es-ES"/>
        </w:rPr>
        <w:t>(</w:t>
      </w:r>
      <w:proofErr w:type="spellStart"/>
      <w:r w:rsidR="000A4167">
        <w:rPr>
          <w:rFonts w:ascii="Arial" w:hAnsi="Arial" w:cs="Arial"/>
          <w:color w:val="000000"/>
          <w:sz w:val="24"/>
          <w:szCs w:val="24"/>
          <w:lang w:val="es-CO" w:bidi="es-ES"/>
        </w:rPr>
        <w:t>iii</w:t>
      </w:r>
      <w:proofErr w:type="spellEnd"/>
      <w:r w:rsidR="000A4167">
        <w:rPr>
          <w:rFonts w:ascii="Arial" w:hAnsi="Arial" w:cs="Arial"/>
          <w:color w:val="000000"/>
          <w:sz w:val="24"/>
          <w:szCs w:val="24"/>
          <w:lang w:val="es-CO" w:bidi="es-ES"/>
        </w:rPr>
        <w:t xml:space="preserve">) </w:t>
      </w:r>
      <w:r w:rsidR="00FC3080">
        <w:rPr>
          <w:rFonts w:ascii="Arial" w:hAnsi="Arial" w:cs="Arial"/>
          <w:color w:val="000000"/>
          <w:sz w:val="24"/>
          <w:szCs w:val="24"/>
          <w:lang w:val="es-CO" w:bidi="es-ES"/>
        </w:rPr>
        <w:t xml:space="preserve">la Sala concluye que </w:t>
      </w:r>
      <w:r w:rsidR="00256EF2">
        <w:rPr>
          <w:rFonts w:ascii="Arial" w:hAnsi="Arial" w:cs="Arial"/>
          <w:color w:val="000000"/>
          <w:sz w:val="24"/>
          <w:szCs w:val="24"/>
          <w:lang w:val="es-CO" w:bidi="es-ES"/>
        </w:rPr>
        <w:t>resulta inválid</w:t>
      </w:r>
      <w:r w:rsidR="00774898">
        <w:rPr>
          <w:rFonts w:ascii="Arial" w:hAnsi="Arial" w:cs="Arial"/>
          <w:color w:val="000000"/>
          <w:sz w:val="24"/>
          <w:szCs w:val="24"/>
          <w:lang w:val="es-CO" w:bidi="es-ES"/>
        </w:rPr>
        <w:t>a la expresión “</w:t>
      </w:r>
      <w:r w:rsidR="00EB3262">
        <w:rPr>
          <w:rFonts w:ascii="Arial" w:hAnsi="Arial" w:cs="Arial"/>
          <w:color w:val="000000"/>
          <w:sz w:val="24"/>
          <w:szCs w:val="24"/>
          <w:lang w:val="es-CO" w:bidi="es-ES"/>
        </w:rPr>
        <w:t xml:space="preserve">y </w:t>
      </w:r>
      <w:r w:rsidR="00774898" w:rsidRPr="00774898">
        <w:rPr>
          <w:rFonts w:ascii="Arial" w:hAnsi="Arial" w:cs="Arial"/>
          <w:color w:val="000000"/>
          <w:sz w:val="24"/>
          <w:szCs w:val="24"/>
          <w:lang w:val="es-CO" w:bidi="es-ES"/>
        </w:rPr>
        <w:t>para que entregue como subsidio e</w:t>
      </w:r>
      <w:r w:rsidR="00774898">
        <w:rPr>
          <w:rFonts w:ascii="Arial" w:hAnsi="Arial" w:cs="Arial"/>
          <w:color w:val="000000"/>
          <w:sz w:val="24"/>
          <w:szCs w:val="24"/>
          <w:lang w:val="es-CO" w:bidi="es-ES"/>
        </w:rPr>
        <w:t>l</w:t>
      </w:r>
      <w:r w:rsidR="00774898" w:rsidRPr="00774898">
        <w:rPr>
          <w:rFonts w:ascii="Arial" w:hAnsi="Arial" w:cs="Arial"/>
          <w:color w:val="000000"/>
          <w:sz w:val="24"/>
          <w:szCs w:val="24"/>
          <w:lang w:val="es-CO" w:bidi="es-ES"/>
        </w:rPr>
        <w:t xml:space="preserve"> valor correspondiente a cada lote</w:t>
      </w:r>
      <w:r w:rsidR="00774898">
        <w:rPr>
          <w:rFonts w:ascii="Arial" w:hAnsi="Arial" w:cs="Arial"/>
          <w:color w:val="000000"/>
          <w:sz w:val="24"/>
          <w:szCs w:val="24"/>
          <w:lang w:val="es-CO" w:bidi="es-ES"/>
        </w:rPr>
        <w:t xml:space="preserve"> </w:t>
      </w:r>
      <w:r w:rsidR="00774898" w:rsidRPr="00774898">
        <w:rPr>
          <w:rFonts w:ascii="Arial" w:hAnsi="Arial" w:cs="Arial"/>
          <w:color w:val="000000"/>
          <w:sz w:val="24"/>
          <w:szCs w:val="24"/>
          <w:lang w:val="es-CO" w:bidi="es-ES"/>
        </w:rPr>
        <w:t>urbanizado a los beneficiarios que cumplan con los requisitos establecidos po</w:t>
      </w:r>
      <w:r w:rsidR="00774898">
        <w:rPr>
          <w:rFonts w:ascii="Arial" w:hAnsi="Arial" w:cs="Arial"/>
          <w:color w:val="000000"/>
          <w:sz w:val="24"/>
          <w:szCs w:val="24"/>
          <w:lang w:val="es-CO" w:bidi="es-ES"/>
        </w:rPr>
        <w:t xml:space="preserve">r el Ministerio de Vivienda, Ciudad y Territorio”, contenida en el artículo 1 del </w:t>
      </w:r>
      <w:r w:rsidR="00F17E2C">
        <w:rPr>
          <w:rFonts w:ascii="Arial" w:hAnsi="Arial" w:cs="Arial"/>
          <w:color w:val="000000"/>
          <w:sz w:val="24"/>
          <w:szCs w:val="24"/>
          <w:lang w:val="es-CO" w:bidi="es-ES"/>
        </w:rPr>
        <w:t>Acuerdo No. 001 de 19 de febrero de 2021.</w:t>
      </w:r>
    </w:p>
    <w:p w14:paraId="0E39C89C" w14:textId="59D1CF2E" w:rsidR="00F17E2C" w:rsidRDefault="00F17E2C" w:rsidP="00F17E2C">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53C451F6" w14:textId="282C187E" w:rsidR="002A0DFD" w:rsidRDefault="001C30B5"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lastRenderedPageBreak/>
        <w:t>3</w:t>
      </w:r>
      <w:r w:rsidR="00E00F48">
        <w:rPr>
          <w:rFonts w:ascii="Arial" w:hAnsi="Arial" w:cs="Arial"/>
          <w:color w:val="000000"/>
          <w:sz w:val="24"/>
          <w:szCs w:val="24"/>
          <w:lang w:val="es-CO" w:bidi="es-ES"/>
        </w:rPr>
        <w:t>3</w:t>
      </w:r>
      <w:r>
        <w:rPr>
          <w:rFonts w:ascii="Arial" w:hAnsi="Arial" w:cs="Arial"/>
          <w:color w:val="000000"/>
          <w:sz w:val="24"/>
          <w:szCs w:val="24"/>
          <w:lang w:val="es-CO" w:bidi="es-ES"/>
        </w:rPr>
        <w:t xml:space="preserve">. Aunado a lo anterior, </w:t>
      </w:r>
      <w:r w:rsidR="00287196">
        <w:rPr>
          <w:rFonts w:ascii="Arial" w:hAnsi="Arial" w:cs="Arial"/>
          <w:color w:val="000000"/>
          <w:sz w:val="24"/>
          <w:szCs w:val="24"/>
          <w:lang w:val="es-CO" w:bidi="es-ES"/>
        </w:rPr>
        <w:t>aún si fuera viable conceder de manera sucesiva</w:t>
      </w:r>
      <w:r w:rsidR="00AB29B5">
        <w:rPr>
          <w:rFonts w:ascii="Arial" w:hAnsi="Arial" w:cs="Arial"/>
          <w:color w:val="000000"/>
          <w:sz w:val="24"/>
          <w:szCs w:val="24"/>
          <w:lang w:val="es-CO" w:bidi="es-ES"/>
        </w:rPr>
        <w:t xml:space="preserve"> y continuada </w:t>
      </w:r>
      <w:r w:rsidR="00287196">
        <w:rPr>
          <w:rFonts w:ascii="Arial" w:hAnsi="Arial" w:cs="Arial"/>
          <w:color w:val="000000"/>
          <w:sz w:val="24"/>
          <w:szCs w:val="24"/>
          <w:lang w:val="es-CO" w:bidi="es-ES"/>
        </w:rPr>
        <w:t xml:space="preserve">facultades </w:t>
      </w:r>
      <w:r w:rsidR="00287196">
        <w:rPr>
          <w:rFonts w:ascii="Arial" w:hAnsi="Arial" w:cs="Arial"/>
          <w:i/>
          <w:iCs/>
          <w:color w:val="000000"/>
          <w:sz w:val="24"/>
          <w:szCs w:val="24"/>
          <w:lang w:val="es-CO" w:bidi="es-ES"/>
        </w:rPr>
        <w:t xml:space="preserve">pro tempore </w:t>
      </w:r>
      <w:r w:rsidR="00287196">
        <w:rPr>
          <w:rFonts w:ascii="Arial" w:hAnsi="Arial" w:cs="Arial"/>
          <w:color w:val="000000"/>
          <w:sz w:val="24"/>
          <w:szCs w:val="24"/>
          <w:lang w:val="es-CO" w:bidi="es-ES"/>
        </w:rPr>
        <w:t>a</w:t>
      </w:r>
      <w:r w:rsidR="00AB29B5">
        <w:rPr>
          <w:rFonts w:ascii="Arial" w:hAnsi="Arial" w:cs="Arial"/>
          <w:color w:val="000000"/>
          <w:sz w:val="24"/>
          <w:szCs w:val="24"/>
          <w:lang w:val="es-CO" w:bidi="es-ES"/>
        </w:rPr>
        <w:t xml:space="preserve"> los alcaldes para que éstos ejerzan </w:t>
      </w:r>
      <w:r w:rsidR="00287196">
        <w:rPr>
          <w:rFonts w:ascii="Arial" w:hAnsi="Arial" w:cs="Arial"/>
          <w:color w:val="000000"/>
          <w:sz w:val="24"/>
          <w:szCs w:val="24"/>
          <w:lang w:val="es-CO" w:bidi="es-ES"/>
        </w:rPr>
        <w:t>funciones</w:t>
      </w:r>
      <w:r w:rsidR="00AB29B5">
        <w:rPr>
          <w:rFonts w:ascii="Arial" w:hAnsi="Arial" w:cs="Arial"/>
          <w:color w:val="000000"/>
          <w:sz w:val="24"/>
          <w:szCs w:val="24"/>
          <w:lang w:val="es-CO" w:bidi="es-ES"/>
        </w:rPr>
        <w:t xml:space="preserve"> propias de los concejos, </w:t>
      </w:r>
      <w:r w:rsidR="00523C0C">
        <w:rPr>
          <w:rFonts w:ascii="Arial" w:hAnsi="Arial" w:cs="Arial"/>
          <w:color w:val="000000"/>
          <w:sz w:val="24"/>
          <w:szCs w:val="24"/>
          <w:lang w:val="es-CO" w:bidi="es-ES"/>
        </w:rPr>
        <w:t xml:space="preserve">en todo caso, </w:t>
      </w:r>
      <w:r>
        <w:rPr>
          <w:rFonts w:ascii="Arial" w:hAnsi="Arial" w:cs="Arial"/>
          <w:color w:val="000000"/>
          <w:sz w:val="24"/>
          <w:szCs w:val="24"/>
          <w:lang w:val="es-CO" w:bidi="es-ES"/>
        </w:rPr>
        <w:t xml:space="preserve">mal podría prorrogarse </w:t>
      </w:r>
      <w:r w:rsidR="002A0DFD">
        <w:rPr>
          <w:rFonts w:ascii="Arial" w:hAnsi="Arial" w:cs="Arial"/>
          <w:color w:val="000000"/>
          <w:sz w:val="24"/>
          <w:szCs w:val="24"/>
          <w:lang w:val="es-CO" w:bidi="es-ES"/>
        </w:rPr>
        <w:t>un acto administrativo que ya perdió su vigencia</w:t>
      </w:r>
      <w:r w:rsidR="007536F6">
        <w:rPr>
          <w:rFonts w:ascii="Arial" w:hAnsi="Arial" w:cs="Arial"/>
          <w:color w:val="000000"/>
          <w:sz w:val="24"/>
          <w:szCs w:val="24"/>
          <w:lang w:val="es-CO" w:bidi="es-ES"/>
        </w:rPr>
        <w:t xml:space="preserve"> ―según lo dispuesto por el numeral </w:t>
      </w:r>
      <w:r w:rsidR="0098098E">
        <w:rPr>
          <w:rFonts w:ascii="Arial" w:hAnsi="Arial" w:cs="Arial"/>
          <w:color w:val="000000"/>
          <w:sz w:val="24"/>
          <w:szCs w:val="24"/>
          <w:lang w:val="es-CO" w:bidi="es-ES"/>
        </w:rPr>
        <w:t>4</w:t>
      </w:r>
      <w:r w:rsidR="007536F6">
        <w:rPr>
          <w:rFonts w:ascii="Arial" w:hAnsi="Arial" w:cs="Arial"/>
          <w:color w:val="000000"/>
          <w:sz w:val="24"/>
          <w:szCs w:val="24"/>
          <w:lang w:val="es-CO" w:bidi="es-ES"/>
        </w:rPr>
        <w:t>° del artículo 91 del CPACA</w:t>
      </w:r>
      <w:r w:rsidR="007536F6">
        <w:rPr>
          <w:rStyle w:val="Refdenotaalpie"/>
          <w:rFonts w:ascii="Arial" w:hAnsi="Arial" w:cs="Arial"/>
          <w:color w:val="000000"/>
          <w:sz w:val="24"/>
          <w:szCs w:val="24"/>
          <w:lang w:val="es-CO" w:bidi="es-ES"/>
        </w:rPr>
        <w:footnoteReference w:id="49"/>
      </w:r>
      <w:r w:rsidR="007536F6">
        <w:rPr>
          <w:rFonts w:ascii="Arial" w:hAnsi="Arial" w:cs="Arial"/>
          <w:color w:val="000000"/>
          <w:sz w:val="24"/>
          <w:szCs w:val="24"/>
          <w:lang w:val="es-CO" w:bidi="es-ES"/>
        </w:rPr>
        <w:t>―</w:t>
      </w:r>
      <w:r w:rsidR="002A0DFD">
        <w:rPr>
          <w:rFonts w:ascii="Arial" w:hAnsi="Arial" w:cs="Arial"/>
          <w:color w:val="000000"/>
          <w:sz w:val="24"/>
          <w:szCs w:val="24"/>
          <w:lang w:val="es-CO" w:bidi="es-ES"/>
        </w:rPr>
        <w:t xml:space="preserve">. </w:t>
      </w:r>
      <w:r w:rsidR="00FA0BCF">
        <w:rPr>
          <w:rFonts w:ascii="Arial" w:hAnsi="Arial" w:cs="Arial"/>
          <w:color w:val="000000"/>
          <w:sz w:val="24"/>
          <w:szCs w:val="24"/>
          <w:lang w:val="es-CO" w:bidi="es-ES"/>
        </w:rPr>
        <w:t xml:space="preserve">Lo anterior, en la medida que los efectos </w:t>
      </w:r>
      <w:r w:rsidR="005D3322">
        <w:rPr>
          <w:rFonts w:ascii="Arial" w:hAnsi="Arial" w:cs="Arial"/>
          <w:color w:val="000000"/>
          <w:sz w:val="24"/>
          <w:szCs w:val="24"/>
          <w:lang w:val="es-CO" w:bidi="es-ES"/>
        </w:rPr>
        <w:t xml:space="preserve">del Acuerdo No. 002 de </w:t>
      </w:r>
      <w:r w:rsidR="00FA0BCF">
        <w:rPr>
          <w:rFonts w:ascii="Arial" w:hAnsi="Arial" w:cs="Arial"/>
          <w:color w:val="000000"/>
          <w:sz w:val="24"/>
          <w:szCs w:val="24"/>
          <w:lang w:val="es-CO" w:bidi="es-ES"/>
        </w:rPr>
        <w:t>18 de febrero de 2020</w:t>
      </w:r>
      <w:r w:rsidR="005D3322">
        <w:rPr>
          <w:rFonts w:ascii="Arial" w:hAnsi="Arial" w:cs="Arial"/>
          <w:color w:val="000000"/>
          <w:sz w:val="24"/>
          <w:szCs w:val="24"/>
          <w:lang w:val="es-CO" w:bidi="es-ES"/>
        </w:rPr>
        <w:t xml:space="preserve"> ―acto que se presume legal</w:t>
      </w:r>
      <w:r w:rsidR="005D3322">
        <w:rPr>
          <w:rStyle w:val="Refdenotaalpie"/>
          <w:rFonts w:ascii="Arial" w:hAnsi="Arial" w:cs="Arial"/>
          <w:color w:val="000000"/>
          <w:sz w:val="24"/>
          <w:szCs w:val="24"/>
          <w:lang w:val="es-CO" w:bidi="es-ES"/>
        </w:rPr>
        <w:footnoteReference w:id="50"/>
      </w:r>
      <w:r w:rsidR="00B30B94">
        <w:rPr>
          <w:rFonts w:ascii="Arial" w:hAnsi="Arial" w:cs="Arial"/>
          <w:color w:val="000000"/>
          <w:sz w:val="24"/>
          <w:szCs w:val="24"/>
          <w:lang w:val="es-CO" w:bidi="es-ES"/>
        </w:rPr>
        <w:t>― fenecieron el 31 de diciembre de ese año; mientras que los efectos</w:t>
      </w:r>
      <w:r w:rsidR="003F5994">
        <w:rPr>
          <w:rFonts w:ascii="Arial" w:hAnsi="Arial" w:cs="Arial"/>
          <w:color w:val="000000"/>
          <w:sz w:val="24"/>
          <w:szCs w:val="24"/>
          <w:lang w:val="es-CO" w:bidi="es-ES"/>
        </w:rPr>
        <w:t xml:space="preserve"> del Acuerdo No. 001 de 19 de febrero de 2021, apenas comenzaron desde el 22 de febrero del mismo mes y año</w:t>
      </w:r>
      <w:r w:rsidR="003F5994">
        <w:rPr>
          <w:rStyle w:val="Refdenotaalpie"/>
          <w:rFonts w:ascii="Arial" w:hAnsi="Arial" w:cs="Arial"/>
          <w:color w:val="000000"/>
          <w:sz w:val="24"/>
          <w:szCs w:val="24"/>
          <w:lang w:val="es-CO" w:bidi="es-ES"/>
        </w:rPr>
        <w:footnoteReference w:id="51"/>
      </w:r>
      <w:r w:rsidR="00582EC1">
        <w:rPr>
          <w:rFonts w:ascii="Arial" w:hAnsi="Arial" w:cs="Arial"/>
          <w:color w:val="000000"/>
          <w:sz w:val="24"/>
          <w:szCs w:val="24"/>
          <w:lang w:val="es-CO" w:bidi="es-ES"/>
        </w:rPr>
        <w:t>, siendo obvia la solución de continuidad</w:t>
      </w:r>
      <w:r w:rsidR="003F5994">
        <w:rPr>
          <w:rFonts w:ascii="Arial" w:hAnsi="Arial" w:cs="Arial"/>
          <w:color w:val="000000"/>
          <w:sz w:val="24"/>
          <w:szCs w:val="24"/>
          <w:lang w:val="es-CO" w:bidi="es-ES"/>
        </w:rPr>
        <w:t>.</w:t>
      </w:r>
      <w:r w:rsidR="00582EC1">
        <w:rPr>
          <w:rFonts w:ascii="Arial" w:hAnsi="Arial" w:cs="Arial"/>
          <w:color w:val="000000"/>
          <w:sz w:val="24"/>
          <w:szCs w:val="24"/>
          <w:lang w:val="es-CO" w:bidi="es-ES"/>
        </w:rPr>
        <w:t xml:space="preserve"> </w:t>
      </w:r>
      <w:r w:rsidR="002A0DFD">
        <w:rPr>
          <w:rFonts w:ascii="Arial" w:hAnsi="Arial" w:cs="Arial"/>
          <w:color w:val="000000"/>
          <w:sz w:val="24"/>
          <w:szCs w:val="24"/>
          <w:lang w:val="es-CO" w:bidi="es-ES"/>
        </w:rPr>
        <w:t xml:space="preserve">Sobre el punto, en sentencia de 15 de agosto de 2019, este Tribunal manifestó: </w:t>
      </w:r>
    </w:p>
    <w:p w14:paraId="02CE64F4" w14:textId="77777777" w:rsidR="002A0DFD" w:rsidRDefault="002A0DFD"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75B4ED0C" w14:textId="77777777" w:rsidR="009410F1" w:rsidRDefault="002A0DFD" w:rsidP="000000DE">
      <w:pPr>
        <w:pStyle w:val="Prrafodelista"/>
        <w:tabs>
          <w:tab w:val="left" w:pos="0"/>
        </w:tabs>
        <w:spacing w:line="276" w:lineRule="auto"/>
        <w:ind w:right="-233"/>
        <w:contextualSpacing/>
        <w:jc w:val="both"/>
        <w:rPr>
          <w:rFonts w:ascii="Arial" w:hAnsi="Arial" w:cs="Arial"/>
          <w:color w:val="000000"/>
          <w:sz w:val="22"/>
          <w:szCs w:val="22"/>
          <w:lang w:val="es-CO" w:bidi="es-ES"/>
        </w:rPr>
      </w:pPr>
      <w:r w:rsidRPr="009410F1">
        <w:rPr>
          <w:rFonts w:ascii="Arial" w:hAnsi="Arial" w:cs="Arial"/>
          <w:color w:val="000000"/>
          <w:sz w:val="22"/>
          <w:szCs w:val="22"/>
          <w:lang w:val="es-CO" w:bidi="es-ES"/>
        </w:rPr>
        <w:t>“</w:t>
      </w:r>
      <w:r w:rsidR="007536F6" w:rsidRPr="009410F1">
        <w:rPr>
          <w:rFonts w:ascii="Arial" w:hAnsi="Arial" w:cs="Arial"/>
          <w:color w:val="000000"/>
          <w:sz w:val="22"/>
          <w:szCs w:val="22"/>
          <w:lang w:val="es-CO" w:bidi="es-ES"/>
        </w:rPr>
        <w:t xml:space="preserve">(…) resulta evidente que para la fecha en que fue aprobado el Acuerdo No. 004 (15 de marzo de 2019), ya se encontraba fenecida la facultad concedida mediante el Acuerdo No. 020 de 2018, al Alcalde de Buenavista "para contratar una operación de crédito público interno y para pignorar las rentas provenientes del Sistema General de Participaciones Propósito General Libre Inversión" que lo fue hasta el 31 de diciembre de 2018, lo que significa que al haberse vencido el plazo de autorización concedido en éste último acuerdo, el mismo ya había perdido ejecutoriedad, conforme lo establece el numeral </w:t>
      </w:r>
      <w:r w:rsidR="0098098E" w:rsidRPr="009410F1">
        <w:rPr>
          <w:rFonts w:ascii="Arial" w:hAnsi="Arial" w:cs="Arial"/>
          <w:color w:val="000000"/>
          <w:sz w:val="22"/>
          <w:szCs w:val="22"/>
          <w:lang w:val="es-CO" w:bidi="es-ES"/>
        </w:rPr>
        <w:t>4</w:t>
      </w:r>
      <w:r w:rsidR="007536F6" w:rsidRPr="009410F1">
        <w:rPr>
          <w:rFonts w:ascii="Arial" w:hAnsi="Arial" w:cs="Arial"/>
          <w:color w:val="000000"/>
          <w:sz w:val="22"/>
          <w:szCs w:val="22"/>
          <w:lang w:val="es-CO" w:bidi="es-ES"/>
        </w:rPr>
        <w:t>° del artículo 91 del CPACA, y por consiguiente, el Acuerdo 004 de 2019 no podía modificar un acuerdo que ya había perdido vigencia, por lo que resulta evidente que este Acuerdo es inválido</w:t>
      </w:r>
      <w:r w:rsidRPr="009410F1">
        <w:rPr>
          <w:rFonts w:ascii="Arial" w:hAnsi="Arial" w:cs="Arial"/>
          <w:color w:val="000000"/>
          <w:sz w:val="22"/>
          <w:szCs w:val="22"/>
          <w:lang w:val="es-CO" w:bidi="es-ES"/>
        </w:rPr>
        <w:t>”</w:t>
      </w:r>
      <w:r w:rsidRPr="009410F1">
        <w:rPr>
          <w:rStyle w:val="Refdenotaalpie"/>
          <w:rFonts w:ascii="Arial" w:hAnsi="Arial" w:cs="Arial"/>
          <w:color w:val="000000"/>
          <w:sz w:val="22"/>
          <w:szCs w:val="22"/>
          <w:lang w:val="es-CO" w:bidi="es-ES"/>
        </w:rPr>
        <w:footnoteReference w:id="52"/>
      </w:r>
      <w:r w:rsidR="009410F1">
        <w:rPr>
          <w:rFonts w:ascii="Arial" w:hAnsi="Arial" w:cs="Arial"/>
          <w:color w:val="000000"/>
          <w:sz w:val="22"/>
          <w:szCs w:val="22"/>
          <w:lang w:val="es-CO" w:bidi="es-ES"/>
        </w:rPr>
        <w:t>.</w:t>
      </w:r>
    </w:p>
    <w:p w14:paraId="24504CE7" w14:textId="77777777" w:rsidR="00EE7738" w:rsidRDefault="00EE7738"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2BF0343C" w14:textId="47DF3931" w:rsidR="00EB4ABC" w:rsidRDefault="00140723" w:rsidP="00412842">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val="es-CO" w:bidi="es-ES"/>
        </w:rPr>
        <w:t>3</w:t>
      </w:r>
      <w:r w:rsidR="00E00F48">
        <w:rPr>
          <w:rFonts w:ascii="Arial" w:hAnsi="Arial" w:cs="Arial"/>
          <w:color w:val="000000"/>
          <w:sz w:val="24"/>
          <w:szCs w:val="24"/>
          <w:lang w:val="es-CO" w:bidi="es-ES"/>
        </w:rPr>
        <w:t>4</w:t>
      </w:r>
      <w:r>
        <w:rPr>
          <w:rFonts w:ascii="Arial" w:hAnsi="Arial" w:cs="Arial"/>
          <w:color w:val="000000"/>
          <w:sz w:val="24"/>
          <w:szCs w:val="24"/>
          <w:lang w:val="es-CO" w:bidi="es-ES"/>
        </w:rPr>
        <w:t>. Ahora bien,</w:t>
      </w:r>
      <w:r w:rsidR="004316F9">
        <w:rPr>
          <w:rFonts w:ascii="Arial" w:hAnsi="Arial" w:cs="Arial"/>
          <w:color w:val="000000"/>
          <w:sz w:val="24"/>
          <w:szCs w:val="24"/>
          <w:lang w:val="es-CO" w:bidi="es-ES"/>
        </w:rPr>
        <w:t xml:space="preserve"> </w:t>
      </w:r>
      <w:r w:rsidR="00EB4ABC">
        <w:rPr>
          <w:rFonts w:ascii="Arial" w:hAnsi="Arial" w:cs="Arial"/>
          <w:color w:val="000000"/>
          <w:sz w:val="24"/>
          <w:szCs w:val="24"/>
          <w:lang w:val="es-CO" w:bidi="es-ES"/>
        </w:rPr>
        <w:t>la Sala considera que</w:t>
      </w:r>
      <w:r w:rsidR="00E53375">
        <w:rPr>
          <w:rFonts w:ascii="Arial" w:hAnsi="Arial" w:cs="Arial"/>
          <w:color w:val="000000"/>
          <w:sz w:val="24"/>
          <w:szCs w:val="24"/>
          <w:lang w:val="es-CO" w:bidi="es-ES"/>
        </w:rPr>
        <w:t>, en virtud de su conexidad inescindible con el aparte anulado del artículo 1, también debe ser declarada la invalidez del resto de la norma</w:t>
      </w:r>
      <w:r w:rsidR="00EB3262">
        <w:rPr>
          <w:rFonts w:ascii="Arial" w:hAnsi="Arial" w:cs="Arial"/>
          <w:color w:val="000000"/>
          <w:sz w:val="24"/>
          <w:szCs w:val="24"/>
          <w:lang w:val="es-CO" w:bidi="es-ES"/>
        </w:rPr>
        <w:t xml:space="preserve"> en cita</w:t>
      </w:r>
      <w:r w:rsidR="00512690">
        <w:rPr>
          <w:rStyle w:val="Refdenotaalpie"/>
          <w:rFonts w:ascii="Arial" w:hAnsi="Arial" w:cs="Arial"/>
          <w:color w:val="000000"/>
          <w:sz w:val="24"/>
          <w:szCs w:val="24"/>
          <w:lang w:val="es-CO" w:bidi="es-ES"/>
        </w:rPr>
        <w:footnoteReference w:id="53"/>
      </w:r>
      <w:r w:rsidR="00E53375">
        <w:rPr>
          <w:rFonts w:ascii="Arial" w:hAnsi="Arial" w:cs="Arial"/>
          <w:color w:val="000000"/>
          <w:sz w:val="24"/>
          <w:szCs w:val="24"/>
          <w:lang w:val="es-CO" w:bidi="es-ES"/>
        </w:rPr>
        <w:t xml:space="preserve"> y de los artículos 2 y 3 del Acuerdo municipal objeto de control judicial.  </w:t>
      </w:r>
    </w:p>
    <w:p w14:paraId="59A1F7DF" w14:textId="35AF1582" w:rsidR="00736B1F" w:rsidRDefault="00736B1F" w:rsidP="00412842">
      <w:pPr>
        <w:pStyle w:val="Prrafodelista"/>
        <w:tabs>
          <w:tab w:val="left" w:pos="0"/>
        </w:tabs>
        <w:spacing w:line="276" w:lineRule="auto"/>
        <w:ind w:left="0" w:right="-233"/>
        <w:contextualSpacing/>
        <w:jc w:val="both"/>
        <w:rPr>
          <w:rFonts w:ascii="Arial" w:hAnsi="Arial" w:cs="Arial"/>
          <w:color w:val="000000"/>
          <w:sz w:val="24"/>
          <w:szCs w:val="24"/>
          <w:lang w:val="es-CO" w:bidi="es-ES"/>
        </w:rPr>
      </w:pPr>
    </w:p>
    <w:p w14:paraId="0A8DB747" w14:textId="600530FC" w:rsidR="00DA0FEB" w:rsidRPr="00DA0FEB" w:rsidRDefault="00DA0FEB" w:rsidP="000000DE">
      <w:pPr>
        <w:pStyle w:val="Prrafodelista"/>
        <w:tabs>
          <w:tab w:val="left" w:pos="0"/>
        </w:tabs>
        <w:spacing w:line="276" w:lineRule="auto"/>
        <w:ind w:left="0" w:right="-233"/>
        <w:contextualSpacing/>
        <w:jc w:val="both"/>
        <w:rPr>
          <w:rFonts w:ascii="Arial" w:hAnsi="Arial" w:cs="Arial"/>
          <w:color w:val="000000"/>
          <w:sz w:val="24"/>
          <w:szCs w:val="24"/>
          <w:lang w:val="es-ES_tradnl" w:bidi="es-ES"/>
        </w:rPr>
      </w:pPr>
      <w:r>
        <w:rPr>
          <w:rFonts w:ascii="Arial" w:hAnsi="Arial" w:cs="Arial"/>
          <w:color w:val="000000"/>
          <w:sz w:val="24"/>
          <w:szCs w:val="24"/>
          <w:lang w:val="es-CO" w:bidi="es-ES"/>
        </w:rPr>
        <w:t>3</w:t>
      </w:r>
      <w:r w:rsidR="00E00F48">
        <w:rPr>
          <w:rFonts w:ascii="Arial" w:hAnsi="Arial" w:cs="Arial"/>
          <w:color w:val="000000"/>
          <w:sz w:val="24"/>
          <w:szCs w:val="24"/>
          <w:lang w:val="es-CO" w:bidi="es-ES"/>
        </w:rPr>
        <w:t>5</w:t>
      </w:r>
      <w:r>
        <w:rPr>
          <w:rFonts w:ascii="Arial" w:hAnsi="Arial" w:cs="Arial"/>
          <w:color w:val="000000"/>
          <w:sz w:val="24"/>
          <w:szCs w:val="24"/>
          <w:lang w:val="es-CO" w:bidi="es-ES"/>
        </w:rPr>
        <w:t xml:space="preserve">. </w:t>
      </w:r>
      <w:r w:rsidRPr="00DA0FEB">
        <w:rPr>
          <w:rFonts w:ascii="Arial" w:hAnsi="Arial" w:cs="Arial"/>
          <w:color w:val="000000"/>
          <w:sz w:val="24"/>
          <w:szCs w:val="24"/>
          <w:lang w:val="es-CO" w:bidi="es-ES"/>
        </w:rPr>
        <w:t>Sobre el principio de unidad normativa</w:t>
      </w:r>
      <w:r w:rsidRPr="00DA0FEB">
        <w:rPr>
          <w:rFonts w:ascii="Arial" w:hAnsi="Arial" w:cs="Arial"/>
          <w:color w:val="000000"/>
          <w:sz w:val="24"/>
          <w:szCs w:val="24"/>
          <w:vertAlign w:val="superscript"/>
          <w:lang w:val="es-CO" w:bidi="es-ES"/>
        </w:rPr>
        <w:footnoteReference w:id="54"/>
      </w:r>
      <w:r w:rsidRPr="00DA0FEB">
        <w:rPr>
          <w:rFonts w:ascii="Arial" w:hAnsi="Arial" w:cs="Arial"/>
          <w:color w:val="000000"/>
          <w:sz w:val="24"/>
          <w:szCs w:val="24"/>
          <w:lang w:val="es-CO" w:bidi="es-ES"/>
        </w:rPr>
        <w:t>, en la sentencia C-871 de 2003</w:t>
      </w:r>
      <w:r w:rsidR="005C1768">
        <w:rPr>
          <w:rFonts w:ascii="Arial" w:hAnsi="Arial" w:cs="Arial"/>
          <w:color w:val="000000"/>
          <w:sz w:val="24"/>
          <w:szCs w:val="24"/>
          <w:lang w:val="es-CO" w:bidi="es-ES"/>
        </w:rPr>
        <w:t xml:space="preserve">, </w:t>
      </w:r>
      <w:r w:rsidRPr="00DA0FEB">
        <w:rPr>
          <w:rFonts w:ascii="Arial" w:hAnsi="Arial" w:cs="Arial"/>
          <w:color w:val="000000"/>
          <w:sz w:val="24"/>
          <w:szCs w:val="24"/>
          <w:lang w:val="es-CO" w:bidi="es-ES"/>
        </w:rPr>
        <w:t>la Corte Constitucional</w:t>
      </w:r>
      <w:r w:rsidR="00664F5E">
        <w:rPr>
          <w:rFonts w:ascii="Arial" w:hAnsi="Arial" w:cs="Arial"/>
          <w:color w:val="000000"/>
          <w:sz w:val="24"/>
          <w:szCs w:val="24"/>
          <w:lang w:val="es-CO" w:bidi="es-ES"/>
        </w:rPr>
        <w:t xml:space="preserve"> </w:t>
      </w:r>
      <w:r w:rsidRPr="00DA0FEB">
        <w:rPr>
          <w:rFonts w:ascii="Arial" w:hAnsi="Arial" w:cs="Arial"/>
          <w:color w:val="000000"/>
          <w:sz w:val="24"/>
          <w:szCs w:val="24"/>
          <w:lang w:val="es-CO" w:bidi="es-ES"/>
        </w:rPr>
        <w:t>explicó en qué casos estamos en presencia de la misma, indicándose que ésta se presenta:</w:t>
      </w:r>
    </w:p>
    <w:p w14:paraId="79BCD08B" w14:textId="77777777" w:rsidR="00DA0FEB" w:rsidRPr="00DA0FEB" w:rsidRDefault="00DA0FEB" w:rsidP="000000DE">
      <w:pPr>
        <w:pStyle w:val="Prrafodelista"/>
        <w:tabs>
          <w:tab w:val="left" w:pos="0"/>
        </w:tabs>
        <w:spacing w:line="276" w:lineRule="auto"/>
        <w:ind w:left="0"/>
        <w:contextualSpacing/>
        <w:jc w:val="both"/>
        <w:rPr>
          <w:rFonts w:ascii="Arial" w:hAnsi="Arial" w:cs="Arial"/>
          <w:i/>
          <w:iCs/>
          <w:color w:val="000000"/>
          <w:sz w:val="24"/>
          <w:szCs w:val="24"/>
          <w:lang w:val="es-ES_tradnl" w:bidi="es-ES"/>
        </w:rPr>
      </w:pPr>
    </w:p>
    <w:p w14:paraId="5B9955B6" w14:textId="0849A0E6" w:rsidR="00DA0FEB" w:rsidRPr="00C102CE" w:rsidRDefault="00C102CE" w:rsidP="000000DE">
      <w:pPr>
        <w:tabs>
          <w:tab w:val="left" w:pos="0"/>
        </w:tabs>
        <w:spacing w:line="276" w:lineRule="auto"/>
        <w:contextualSpacing/>
        <w:jc w:val="both"/>
        <w:rPr>
          <w:rFonts w:ascii="Arial" w:hAnsi="Arial" w:cs="Arial"/>
          <w:i/>
          <w:iCs/>
          <w:color w:val="000000"/>
          <w:sz w:val="24"/>
          <w:szCs w:val="24"/>
          <w:lang w:val="es-ES_tradnl" w:bidi="es-ES"/>
        </w:rPr>
      </w:pPr>
      <w:r>
        <w:rPr>
          <w:rFonts w:ascii="Arial" w:hAnsi="Arial" w:cs="Arial"/>
          <w:color w:val="000000"/>
          <w:sz w:val="24"/>
          <w:szCs w:val="24"/>
          <w:lang w:val="es-ES_tradnl" w:bidi="es-ES"/>
        </w:rPr>
        <w:t>3</w:t>
      </w:r>
      <w:r w:rsidR="00E00F48">
        <w:rPr>
          <w:rFonts w:ascii="Arial" w:hAnsi="Arial" w:cs="Arial"/>
          <w:color w:val="000000"/>
          <w:sz w:val="24"/>
          <w:szCs w:val="24"/>
          <w:lang w:val="es-ES_tradnl" w:bidi="es-ES"/>
        </w:rPr>
        <w:t>5</w:t>
      </w:r>
      <w:r>
        <w:rPr>
          <w:rFonts w:ascii="Arial" w:hAnsi="Arial" w:cs="Arial"/>
          <w:color w:val="000000"/>
          <w:sz w:val="24"/>
          <w:szCs w:val="24"/>
          <w:lang w:val="es-ES_tradnl" w:bidi="es-ES"/>
        </w:rPr>
        <w:t xml:space="preserve">.1. </w:t>
      </w:r>
      <w:r w:rsidR="00DA0FEB" w:rsidRPr="00C102CE">
        <w:rPr>
          <w:rFonts w:ascii="Arial" w:hAnsi="Arial" w:cs="Arial"/>
          <w:color w:val="000000"/>
          <w:sz w:val="24"/>
          <w:szCs w:val="24"/>
          <w:lang w:val="es-ES_tradnl" w:bidi="es-ES"/>
        </w:rPr>
        <w:t>En primer lugar, cuando el texto legal que debe examinarse no tiene un sentido regulador claro y unívoco, sin relacionarlo con otro u otros que no son objeto del proceso de constitucionalidad</w:t>
      </w:r>
      <w:r>
        <w:rPr>
          <w:rStyle w:val="Refdenotaalpie"/>
          <w:rFonts w:ascii="Arial" w:hAnsi="Arial" w:cs="Arial"/>
          <w:color w:val="000000"/>
          <w:sz w:val="24"/>
          <w:szCs w:val="24"/>
          <w:lang w:val="es-ES_tradnl" w:bidi="es-ES"/>
        </w:rPr>
        <w:footnoteReference w:id="55"/>
      </w:r>
      <w:r w:rsidR="00DA0FEB" w:rsidRPr="00C102CE">
        <w:rPr>
          <w:rFonts w:ascii="Arial" w:hAnsi="Arial" w:cs="Arial"/>
          <w:color w:val="000000"/>
          <w:sz w:val="24"/>
          <w:szCs w:val="24"/>
          <w:lang w:val="es-ES_tradnl" w:bidi="es-ES"/>
        </w:rPr>
        <w:t xml:space="preserve">. </w:t>
      </w:r>
    </w:p>
    <w:p w14:paraId="247A12A4" w14:textId="77777777" w:rsidR="00DA0FEB" w:rsidRPr="00DA0FEB" w:rsidRDefault="00DA0FEB" w:rsidP="000000DE">
      <w:pPr>
        <w:pStyle w:val="Prrafodelista"/>
        <w:tabs>
          <w:tab w:val="left" w:pos="0"/>
        </w:tabs>
        <w:spacing w:line="276" w:lineRule="auto"/>
        <w:ind w:left="0"/>
        <w:contextualSpacing/>
        <w:jc w:val="both"/>
        <w:rPr>
          <w:rFonts w:ascii="Arial" w:hAnsi="Arial" w:cs="Arial"/>
          <w:i/>
          <w:iCs/>
          <w:color w:val="000000"/>
          <w:sz w:val="24"/>
          <w:szCs w:val="24"/>
          <w:lang w:val="es-ES_tradnl" w:bidi="es-ES"/>
        </w:rPr>
      </w:pPr>
    </w:p>
    <w:p w14:paraId="7A29EA27" w14:textId="39AC3621" w:rsidR="00DA0FEB" w:rsidRPr="00C102CE" w:rsidRDefault="00C102CE" w:rsidP="000000DE">
      <w:pPr>
        <w:tabs>
          <w:tab w:val="left" w:pos="0"/>
        </w:tabs>
        <w:spacing w:line="276" w:lineRule="auto"/>
        <w:contextualSpacing/>
        <w:jc w:val="both"/>
        <w:rPr>
          <w:rFonts w:ascii="Arial" w:hAnsi="Arial" w:cs="Arial"/>
          <w:i/>
          <w:iCs/>
          <w:color w:val="000000"/>
          <w:sz w:val="24"/>
          <w:szCs w:val="24"/>
          <w:lang w:val="es-ES_tradnl" w:bidi="es-ES"/>
        </w:rPr>
      </w:pPr>
      <w:r>
        <w:rPr>
          <w:rFonts w:ascii="Arial" w:hAnsi="Arial" w:cs="Arial"/>
          <w:color w:val="000000"/>
          <w:sz w:val="24"/>
          <w:szCs w:val="24"/>
          <w:lang w:val="es-ES_tradnl" w:bidi="es-ES"/>
        </w:rPr>
        <w:t>3</w:t>
      </w:r>
      <w:r w:rsidR="00E00F48">
        <w:rPr>
          <w:rFonts w:ascii="Arial" w:hAnsi="Arial" w:cs="Arial"/>
          <w:color w:val="000000"/>
          <w:sz w:val="24"/>
          <w:szCs w:val="24"/>
          <w:lang w:val="es-ES_tradnl" w:bidi="es-ES"/>
        </w:rPr>
        <w:t>5</w:t>
      </w:r>
      <w:r>
        <w:rPr>
          <w:rFonts w:ascii="Arial" w:hAnsi="Arial" w:cs="Arial"/>
          <w:color w:val="000000"/>
          <w:sz w:val="24"/>
          <w:szCs w:val="24"/>
          <w:lang w:val="es-ES_tradnl" w:bidi="es-ES"/>
        </w:rPr>
        <w:t xml:space="preserve">.2. </w:t>
      </w:r>
      <w:r w:rsidR="00DA0FEB" w:rsidRPr="00C102CE">
        <w:rPr>
          <w:rFonts w:ascii="Arial" w:hAnsi="Arial" w:cs="Arial"/>
          <w:color w:val="000000"/>
          <w:sz w:val="24"/>
          <w:szCs w:val="24"/>
          <w:lang w:val="es-ES_tradnl" w:bidi="es-ES"/>
        </w:rPr>
        <w:t xml:space="preserve">En segundo lugar, la unidad normativa se presenta cuando la disposición examinada está reproducida en otra que no está siendo estudiada en ese momento. En tal </w:t>
      </w:r>
      <w:r w:rsidR="00DA0FEB" w:rsidRPr="00D27150">
        <w:rPr>
          <w:rFonts w:ascii="Arial" w:hAnsi="Arial" w:cs="Arial"/>
          <w:color w:val="000000"/>
          <w:sz w:val="24"/>
          <w:szCs w:val="24"/>
          <w:lang w:val="es-ES_tradnl" w:bidi="es-ES"/>
        </w:rPr>
        <w:t>evento, “la decisión de constitucionalidad o de inconstitucionalidad debe cobijarlas a ambas”</w:t>
      </w:r>
      <w:r w:rsidR="00990603">
        <w:rPr>
          <w:rStyle w:val="Refdenotaalpie"/>
          <w:rFonts w:ascii="Arial" w:hAnsi="Arial" w:cs="Arial"/>
          <w:color w:val="000000"/>
          <w:sz w:val="24"/>
          <w:szCs w:val="24"/>
          <w:lang w:val="es-ES_tradnl" w:bidi="es-ES"/>
        </w:rPr>
        <w:footnoteReference w:id="56"/>
      </w:r>
      <w:r w:rsidR="00DA0FEB" w:rsidRPr="00C102CE">
        <w:rPr>
          <w:rFonts w:ascii="Arial" w:hAnsi="Arial" w:cs="Arial"/>
          <w:color w:val="000000"/>
          <w:sz w:val="24"/>
          <w:szCs w:val="24"/>
          <w:lang w:val="es-ES_tradnl" w:bidi="es-ES"/>
        </w:rPr>
        <w:t xml:space="preserve">. </w:t>
      </w:r>
    </w:p>
    <w:p w14:paraId="3508CC6F" w14:textId="77777777" w:rsidR="00DA0FEB" w:rsidRPr="00DA0FEB" w:rsidRDefault="00DA0FEB" w:rsidP="000000DE">
      <w:pPr>
        <w:pStyle w:val="Prrafodelista"/>
        <w:tabs>
          <w:tab w:val="left" w:pos="0"/>
        </w:tabs>
        <w:spacing w:line="276" w:lineRule="auto"/>
        <w:ind w:left="0"/>
        <w:contextualSpacing/>
        <w:jc w:val="both"/>
        <w:rPr>
          <w:rFonts w:ascii="Arial" w:hAnsi="Arial" w:cs="Arial"/>
          <w:i/>
          <w:iCs/>
          <w:color w:val="000000"/>
          <w:sz w:val="24"/>
          <w:szCs w:val="24"/>
          <w:lang w:val="es-ES_tradnl" w:bidi="es-ES"/>
        </w:rPr>
      </w:pPr>
    </w:p>
    <w:p w14:paraId="2D979851" w14:textId="49CB87D8" w:rsidR="00DA0FEB" w:rsidRPr="009C4D61" w:rsidRDefault="009C4D61" w:rsidP="000000DE">
      <w:pPr>
        <w:tabs>
          <w:tab w:val="left" w:pos="0"/>
        </w:tabs>
        <w:spacing w:line="276" w:lineRule="auto"/>
        <w:contextualSpacing/>
        <w:jc w:val="both"/>
        <w:rPr>
          <w:rFonts w:ascii="Arial" w:hAnsi="Arial" w:cs="Arial"/>
          <w:color w:val="000000"/>
          <w:sz w:val="24"/>
          <w:szCs w:val="24"/>
          <w:lang w:val="es-ES_tradnl" w:bidi="es-ES"/>
        </w:rPr>
      </w:pPr>
      <w:r>
        <w:rPr>
          <w:rFonts w:ascii="Arial" w:hAnsi="Arial" w:cs="Arial"/>
          <w:color w:val="000000"/>
          <w:sz w:val="24"/>
          <w:szCs w:val="24"/>
          <w:lang w:val="es-ES_tradnl" w:bidi="es-ES"/>
        </w:rPr>
        <w:t>3</w:t>
      </w:r>
      <w:r w:rsidR="00E00F48">
        <w:rPr>
          <w:rFonts w:ascii="Arial" w:hAnsi="Arial" w:cs="Arial"/>
          <w:color w:val="000000"/>
          <w:sz w:val="24"/>
          <w:szCs w:val="24"/>
          <w:lang w:val="es-ES_tradnl" w:bidi="es-ES"/>
        </w:rPr>
        <w:t>5</w:t>
      </w:r>
      <w:r>
        <w:rPr>
          <w:rFonts w:ascii="Arial" w:hAnsi="Arial" w:cs="Arial"/>
          <w:color w:val="000000"/>
          <w:sz w:val="24"/>
          <w:szCs w:val="24"/>
          <w:lang w:val="es-ES_tradnl" w:bidi="es-ES"/>
        </w:rPr>
        <w:t xml:space="preserve">.3. </w:t>
      </w:r>
      <w:r w:rsidR="00DA0FEB" w:rsidRPr="009C4D61">
        <w:rPr>
          <w:rFonts w:ascii="Arial" w:hAnsi="Arial" w:cs="Arial"/>
          <w:color w:val="000000"/>
          <w:sz w:val="24"/>
          <w:szCs w:val="24"/>
          <w:lang w:val="es-ES_tradnl" w:bidi="es-ES"/>
        </w:rPr>
        <w:t>En tercer lugar, la unidad normativa se presenta también cuando la disposición que se estudia tiene un sentido regulador propio o autónomo, pero “se encuentra intrínsecamente relacionada con otra disposición que, a primera vista, presenta serias dudas de constitucionalidad”.</w:t>
      </w:r>
    </w:p>
    <w:p w14:paraId="2BBB14AC" w14:textId="77777777" w:rsidR="00DA0FEB" w:rsidRPr="00DA0FEB" w:rsidRDefault="00DA0FEB" w:rsidP="000000DE">
      <w:pPr>
        <w:pStyle w:val="Prrafodelista"/>
        <w:tabs>
          <w:tab w:val="left" w:pos="0"/>
        </w:tabs>
        <w:spacing w:line="276" w:lineRule="auto"/>
        <w:contextualSpacing/>
        <w:jc w:val="both"/>
        <w:rPr>
          <w:rFonts w:ascii="Arial" w:hAnsi="Arial" w:cs="Arial"/>
          <w:color w:val="000000"/>
          <w:sz w:val="24"/>
          <w:szCs w:val="24"/>
          <w:lang w:val="es-ES_tradnl" w:bidi="es-ES"/>
        </w:rPr>
      </w:pPr>
    </w:p>
    <w:p w14:paraId="473E84A8" w14:textId="1DCC79AF" w:rsidR="00DA0FEB" w:rsidRPr="0054434D" w:rsidRDefault="00B31ACA" w:rsidP="000000DE">
      <w:pPr>
        <w:tabs>
          <w:tab w:val="left" w:pos="0"/>
        </w:tabs>
        <w:spacing w:line="276" w:lineRule="auto"/>
        <w:contextualSpacing/>
        <w:jc w:val="both"/>
        <w:rPr>
          <w:rFonts w:ascii="Arial" w:hAnsi="Arial" w:cs="Arial"/>
          <w:i/>
          <w:iCs/>
          <w:color w:val="000000"/>
          <w:sz w:val="24"/>
          <w:szCs w:val="24"/>
          <w:lang w:bidi="es-ES"/>
        </w:rPr>
      </w:pPr>
      <w:r>
        <w:rPr>
          <w:rFonts w:ascii="Arial" w:hAnsi="Arial" w:cs="Arial"/>
          <w:color w:val="000000"/>
          <w:sz w:val="24"/>
          <w:szCs w:val="24"/>
          <w:lang w:val="es-ES_tradnl" w:bidi="es-ES"/>
        </w:rPr>
        <w:t>3</w:t>
      </w:r>
      <w:r w:rsidR="00E00F48">
        <w:rPr>
          <w:rFonts w:ascii="Arial" w:hAnsi="Arial" w:cs="Arial"/>
          <w:color w:val="000000"/>
          <w:sz w:val="24"/>
          <w:szCs w:val="24"/>
          <w:lang w:val="es-ES_tradnl" w:bidi="es-ES"/>
        </w:rPr>
        <w:t>6</w:t>
      </w:r>
      <w:r>
        <w:rPr>
          <w:rFonts w:ascii="Arial" w:hAnsi="Arial" w:cs="Arial"/>
          <w:color w:val="000000"/>
          <w:sz w:val="24"/>
          <w:szCs w:val="24"/>
          <w:lang w:val="es-ES_tradnl" w:bidi="es-ES"/>
        </w:rPr>
        <w:t xml:space="preserve">. </w:t>
      </w:r>
      <w:r w:rsidR="00990603">
        <w:rPr>
          <w:rFonts w:ascii="Arial" w:hAnsi="Arial" w:cs="Arial"/>
          <w:color w:val="000000"/>
          <w:sz w:val="24"/>
          <w:szCs w:val="24"/>
          <w:lang w:val="es-ES_tradnl" w:bidi="es-ES"/>
        </w:rPr>
        <w:t>Además, s</w:t>
      </w:r>
      <w:r w:rsidR="00DA0FEB" w:rsidRPr="0054434D">
        <w:rPr>
          <w:rFonts w:ascii="Arial" w:hAnsi="Arial" w:cs="Arial"/>
          <w:color w:val="000000"/>
          <w:sz w:val="24"/>
          <w:szCs w:val="24"/>
          <w:lang w:bidi="es-ES"/>
        </w:rPr>
        <w:t>obre la ‘separabilidad’ o no de una disposición normativa, la Corte Constitucional ha dicho que tal fenómeno “consiste en la posibilidad de excluirla del texto dentro del cual está insertada, sin alterar substancialmente este último”</w:t>
      </w:r>
      <w:r w:rsidR="00DA0FEB" w:rsidRPr="0054434D">
        <w:rPr>
          <w:rFonts w:ascii="Arial" w:hAnsi="Arial" w:cs="Arial"/>
          <w:sz w:val="24"/>
          <w:szCs w:val="24"/>
          <w:vertAlign w:val="superscript"/>
          <w:lang w:bidi="es-ES"/>
        </w:rPr>
        <w:footnoteReference w:id="57"/>
      </w:r>
      <w:r w:rsidR="00DA0FEB" w:rsidRPr="0054434D">
        <w:rPr>
          <w:rFonts w:ascii="Arial" w:hAnsi="Arial" w:cs="Arial"/>
          <w:color w:val="000000"/>
          <w:sz w:val="24"/>
          <w:szCs w:val="24"/>
          <w:lang w:bidi="es-ES"/>
        </w:rPr>
        <w:t>. Para tal efecto, “debe entenderse como alteración substancial aquella que hace que la propuesta legislativa globalmente considerada, no sea la misma sin la norma excluida, sino otra radicalmente diferente”</w:t>
      </w:r>
      <w:r w:rsidR="00DA0FEB" w:rsidRPr="0054434D">
        <w:rPr>
          <w:rFonts w:ascii="Arial" w:hAnsi="Arial" w:cs="Arial"/>
          <w:sz w:val="24"/>
          <w:szCs w:val="24"/>
          <w:vertAlign w:val="superscript"/>
          <w:lang w:bidi="es-ES"/>
        </w:rPr>
        <w:footnoteReference w:id="58"/>
      </w:r>
      <w:r w:rsidR="00DA0FEB" w:rsidRPr="0054434D">
        <w:rPr>
          <w:rFonts w:ascii="Arial" w:hAnsi="Arial" w:cs="Arial"/>
          <w:color w:val="000000"/>
          <w:sz w:val="24"/>
          <w:szCs w:val="24"/>
          <w:lang w:bidi="es-ES"/>
        </w:rPr>
        <w:t>.</w:t>
      </w:r>
    </w:p>
    <w:p w14:paraId="4473F8B3" w14:textId="77777777" w:rsidR="00DA0FEB" w:rsidRPr="00DA0FEB" w:rsidRDefault="00DA0FEB" w:rsidP="000000DE">
      <w:pPr>
        <w:pStyle w:val="Prrafodelista"/>
        <w:tabs>
          <w:tab w:val="left" w:pos="0"/>
        </w:tabs>
        <w:spacing w:line="276" w:lineRule="auto"/>
        <w:ind w:left="0" w:right="-233"/>
        <w:contextualSpacing/>
        <w:jc w:val="both"/>
        <w:rPr>
          <w:rFonts w:ascii="Arial" w:hAnsi="Arial" w:cs="Arial"/>
          <w:i/>
          <w:iCs/>
          <w:color w:val="000000"/>
          <w:sz w:val="24"/>
          <w:szCs w:val="24"/>
          <w:lang w:bidi="es-ES"/>
        </w:rPr>
      </w:pPr>
    </w:p>
    <w:p w14:paraId="7DA311C6" w14:textId="62C20D10" w:rsidR="00DA0FEB" w:rsidRDefault="00CA196C" w:rsidP="000000DE">
      <w:pPr>
        <w:tabs>
          <w:tab w:val="left" w:pos="0"/>
        </w:tabs>
        <w:spacing w:line="276" w:lineRule="auto"/>
        <w:contextualSpacing/>
        <w:jc w:val="both"/>
        <w:rPr>
          <w:rFonts w:ascii="Arial" w:hAnsi="Arial" w:cs="Arial"/>
          <w:color w:val="000000"/>
          <w:sz w:val="24"/>
          <w:szCs w:val="24"/>
          <w:lang w:bidi="es-ES"/>
        </w:rPr>
      </w:pPr>
      <w:r>
        <w:rPr>
          <w:rFonts w:ascii="Arial" w:hAnsi="Arial" w:cs="Arial"/>
          <w:color w:val="000000"/>
          <w:sz w:val="24"/>
          <w:szCs w:val="24"/>
          <w:lang w:bidi="es-ES"/>
        </w:rPr>
        <w:t>3</w:t>
      </w:r>
      <w:r w:rsidR="00E00F48">
        <w:rPr>
          <w:rFonts w:ascii="Arial" w:hAnsi="Arial" w:cs="Arial"/>
          <w:color w:val="000000"/>
          <w:sz w:val="24"/>
          <w:szCs w:val="24"/>
          <w:lang w:bidi="es-ES"/>
        </w:rPr>
        <w:t>7</w:t>
      </w:r>
      <w:r w:rsidR="00E14435">
        <w:rPr>
          <w:rFonts w:ascii="Arial" w:hAnsi="Arial" w:cs="Arial"/>
          <w:color w:val="000000"/>
          <w:sz w:val="24"/>
          <w:szCs w:val="24"/>
          <w:lang w:bidi="es-ES"/>
        </w:rPr>
        <w:t>.</w:t>
      </w:r>
      <w:r>
        <w:rPr>
          <w:rFonts w:ascii="Arial" w:hAnsi="Arial" w:cs="Arial"/>
          <w:color w:val="000000"/>
          <w:sz w:val="24"/>
          <w:szCs w:val="24"/>
          <w:lang w:bidi="es-ES"/>
        </w:rPr>
        <w:t xml:space="preserve"> </w:t>
      </w:r>
      <w:r w:rsidR="00DA0FEB" w:rsidRPr="00CA196C">
        <w:rPr>
          <w:rFonts w:ascii="Arial" w:hAnsi="Arial" w:cs="Arial"/>
          <w:color w:val="000000"/>
          <w:sz w:val="24"/>
          <w:szCs w:val="24"/>
          <w:lang w:bidi="es-ES"/>
        </w:rPr>
        <w:t xml:space="preserve">En otras palabras, la ‘inseparabilidad’ o ‘inescindibilidad’ se traduce en la imposibilidad de retirar de una norma una disposición aislada, sin alterar el contenido sustancial de otras relacionadas con aquella; por lo cual, pronunciada la ‘inexequibilidad’ ―en este caso, la invalidez― particular de una norma en concreto, la decisión debe necesariamente extenderse respecto de las demás disposiciones que la complementan y desarrollan. </w:t>
      </w:r>
    </w:p>
    <w:p w14:paraId="132FDD77" w14:textId="2E4FD754" w:rsidR="00C372D3" w:rsidRDefault="00C372D3" w:rsidP="000000DE">
      <w:pPr>
        <w:tabs>
          <w:tab w:val="left" w:pos="0"/>
        </w:tabs>
        <w:spacing w:line="276" w:lineRule="auto"/>
        <w:contextualSpacing/>
        <w:jc w:val="both"/>
        <w:rPr>
          <w:rFonts w:ascii="Arial" w:hAnsi="Arial" w:cs="Arial"/>
          <w:color w:val="000000"/>
          <w:sz w:val="24"/>
          <w:szCs w:val="24"/>
          <w:lang w:bidi="es-ES"/>
        </w:rPr>
      </w:pPr>
    </w:p>
    <w:p w14:paraId="04233C62" w14:textId="31A6BCE9" w:rsidR="00DA0FEB" w:rsidRPr="00ED460E" w:rsidRDefault="00C372D3" w:rsidP="000000DE">
      <w:pPr>
        <w:tabs>
          <w:tab w:val="left" w:pos="0"/>
        </w:tabs>
        <w:spacing w:line="276" w:lineRule="auto"/>
        <w:contextualSpacing/>
        <w:jc w:val="both"/>
        <w:rPr>
          <w:rFonts w:ascii="Arial" w:hAnsi="Arial" w:cs="Arial"/>
          <w:color w:val="000000"/>
          <w:sz w:val="24"/>
          <w:szCs w:val="24"/>
          <w:lang w:val="es-CO" w:bidi="es-ES"/>
        </w:rPr>
      </w:pPr>
      <w:r>
        <w:rPr>
          <w:rFonts w:ascii="Arial" w:hAnsi="Arial" w:cs="Arial"/>
          <w:color w:val="000000"/>
          <w:sz w:val="24"/>
          <w:szCs w:val="24"/>
          <w:lang w:bidi="es-ES"/>
        </w:rPr>
        <w:t>3</w:t>
      </w:r>
      <w:r w:rsidR="00E00F48">
        <w:rPr>
          <w:rFonts w:ascii="Arial" w:hAnsi="Arial" w:cs="Arial"/>
          <w:color w:val="000000"/>
          <w:sz w:val="24"/>
          <w:szCs w:val="24"/>
          <w:lang w:bidi="es-ES"/>
        </w:rPr>
        <w:t>8</w:t>
      </w:r>
      <w:r>
        <w:rPr>
          <w:rFonts w:ascii="Arial" w:hAnsi="Arial" w:cs="Arial"/>
          <w:color w:val="000000"/>
          <w:sz w:val="24"/>
          <w:szCs w:val="24"/>
          <w:lang w:bidi="es-ES"/>
        </w:rPr>
        <w:t xml:space="preserve">. </w:t>
      </w:r>
      <w:r w:rsidR="00DA0FEB" w:rsidRPr="00ED460E">
        <w:rPr>
          <w:rFonts w:ascii="Arial" w:hAnsi="Arial" w:cs="Arial"/>
          <w:color w:val="000000"/>
          <w:sz w:val="24"/>
          <w:szCs w:val="24"/>
          <w:lang w:bidi="es-ES"/>
        </w:rPr>
        <w:t xml:space="preserve">En el </w:t>
      </w:r>
      <w:r>
        <w:rPr>
          <w:rFonts w:ascii="Arial" w:hAnsi="Arial" w:cs="Arial"/>
          <w:color w:val="000000"/>
          <w:sz w:val="24"/>
          <w:szCs w:val="24"/>
          <w:lang w:bidi="es-ES"/>
        </w:rPr>
        <w:t xml:space="preserve">presente caso, la Sala encuentra </w:t>
      </w:r>
      <w:r w:rsidR="00DA0FEB" w:rsidRPr="00ED460E">
        <w:rPr>
          <w:rFonts w:ascii="Arial" w:hAnsi="Arial" w:cs="Arial"/>
          <w:color w:val="000000"/>
          <w:sz w:val="24"/>
          <w:szCs w:val="24"/>
          <w:lang w:bidi="es-ES"/>
        </w:rPr>
        <w:t xml:space="preserve">que </w:t>
      </w:r>
      <w:r w:rsidR="00944F7B">
        <w:rPr>
          <w:rFonts w:ascii="Arial" w:hAnsi="Arial" w:cs="Arial"/>
          <w:color w:val="000000"/>
          <w:sz w:val="24"/>
          <w:szCs w:val="24"/>
          <w:lang w:bidi="es-ES"/>
        </w:rPr>
        <w:t xml:space="preserve">las demás </w:t>
      </w:r>
      <w:r w:rsidR="007E3C4B">
        <w:rPr>
          <w:rFonts w:ascii="Arial" w:hAnsi="Arial" w:cs="Arial"/>
          <w:color w:val="000000"/>
          <w:sz w:val="24"/>
          <w:szCs w:val="24"/>
          <w:lang w:bidi="es-ES"/>
        </w:rPr>
        <w:t xml:space="preserve">disposiciones del Acuerdo </w:t>
      </w:r>
      <w:r w:rsidR="00DA0FEB" w:rsidRPr="00ED460E">
        <w:rPr>
          <w:rFonts w:ascii="Arial" w:hAnsi="Arial" w:cs="Arial"/>
          <w:color w:val="000000"/>
          <w:sz w:val="24"/>
          <w:szCs w:val="24"/>
          <w:lang w:bidi="es-ES"/>
        </w:rPr>
        <w:t>N</w:t>
      </w:r>
      <w:r>
        <w:rPr>
          <w:rFonts w:ascii="Arial" w:hAnsi="Arial" w:cs="Arial"/>
          <w:color w:val="000000"/>
          <w:sz w:val="24"/>
          <w:szCs w:val="24"/>
          <w:lang w:bidi="es-ES"/>
        </w:rPr>
        <w:t xml:space="preserve">o. 001 de 19 de febrero de 2021 </w:t>
      </w:r>
      <w:r w:rsidR="00DA0FEB" w:rsidRPr="00ED460E">
        <w:rPr>
          <w:rFonts w:ascii="Arial" w:hAnsi="Arial" w:cs="Arial"/>
          <w:color w:val="000000"/>
          <w:sz w:val="24"/>
          <w:szCs w:val="24"/>
          <w:lang w:bidi="es-ES"/>
        </w:rPr>
        <w:t>también debe</w:t>
      </w:r>
      <w:r w:rsidR="007E3C4B">
        <w:rPr>
          <w:rFonts w:ascii="Arial" w:hAnsi="Arial" w:cs="Arial"/>
          <w:color w:val="000000"/>
          <w:sz w:val="24"/>
          <w:szCs w:val="24"/>
          <w:lang w:bidi="es-ES"/>
        </w:rPr>
        <w:t>n</w:t>
      </w:r>
      <w:r w:rsidR="00DA0FEB" w:rsidRPr="00ED460E">
        <w:rPr>
          <w:rFonts w:ascii="Arial" w:hAnsi="Arial" w:cs="Arial"/>
          <w:color w:val="000000"/>
          <w:sz w:val="24"/>
          <w:szCs w:val="24"/>
          <w:lang w:bidi="es-ES"/>
        </w:rPr>
        <w:t xml:space="preserve"> ser declarad</w:t>
      </w:r>
      <w:r w:rsidR="007E3C4B">
        <w:rPr>
          <w:rFonts w:ascii="Arial" w:hAnsi="Arial" w:cs="Arial"/>
          <w:color w:val="000000"/>
          <w:sz w:val="24"/>
          <w:szCs w:val="24"/>
          <w:lang w:bidi="es-ES"/>
        </w:rPr>
        <w:t>as</w:t>
      </w:r>
      <w:r w:rsidR="00DA0FEB" w:rsidRPr="00ED460E">
        <w:rPr>
          <w:rFonts w:ascii="Arial" w:hAnsi="Arial" w:cs="Arial"/>
          <w:color w:val="000000"/>
          <w:sz w:val="24"/>
          <w:szCs w:val="24"/>
          <w:lang w:bidi="es-ES"/>
        </w:rPr>
        <w:t xml:space="preserve"> inválid</w:t>
      </w:r>
      <w:r w:rsidR="007E3C4B">
        <w:rPr>
          <w:rFonts w:ascii="Arial" w:hAnsi="Arial" w:cs="Arial"/>
          <w:color w:val="000000"/>
          <w:sz w:val="24"/>
          <w:szCs w:val="24"/>
          <w:lang w:bidi="es-ES"/>
        </w:rPr>
        <w:t>as</w:t>
      </w:r>
      <w:r w:rsidR="00DA0FEB" w:rsidRPr="00ED460E">
        <w:rPr>
          <w:rFonts w:ascii="Arial" w:hAnsi="Arial" w:cs="Arial"/>
          <w:color w:val="000000"/>
          <w:sz w:val="24"/>
          <w:szCs w:val="24"/>
          <w:lang w:bidi="es-ES"/>
        </w:rPr>
        <w:t xml:space="preserve">, puesto que </w:t>
      </w:r>
      <w:r w:rsidR="00944F7B">
        <w:rPr>
          <w:rFonts w:ascii="Arial" w:hAnsi="Arial" w:cs="Arial"/>
          <w:color w:val="000000"/>
          <w:sz w:val="24"/>
          <w:szCs w:val="24"/>
          <w:lang w:bidi="es-ES"/>
        </w:rPr>
        <w:t>las mismas</w:t>
      </w:r>
      <w:r w:rsidR="00DA0FEB" w:rsidRPr="00ED460E">
        <w:rPr>
          <w:rFonts w:ascii="Arial" w:hAnsi="Arial" w:cs="Arial"/>
          <w:color w:val="000000"/>
          <w:sz w:val="24"/>
          <w:szCs w:val="24"/>
          <w:lang w:bidi="es-ES"/>
        </w:rPr>
        <w:t>, aisladamente considerad</w:t>
      </w:r>
      <w:r w:rsidR="00944F7B">
        <w:rPr>
          <w:rFonts w:ascii="Arial" w:hAnsi="Arial" w:cs="Arial"/>
          <w:color w:val="000000"/>
          <w:sz w:val="24"/>
          <w:szCs w:val="24"/>
          <w:lang w:bidi="es-ES"/>
        </w:rPr>
        <w:t>as</w:t>
      </w:r>
      <w:r w:rsidR="00DA0FEB" w:rsidRPr="00ED460E">
        <w:rPr>
          <w:rFonts w:ascii="Arial" w:hAnsi="Arial" w:cs="Arial"/>
          <w:color w:val="000000"/>
          <w:sz w:val="24"/>
          <w:szCs w:val="24"/>
          <w:lang w:bidi="es-ES"/>
        </w:rPr>
        <w:t>, carece</w:t>
      </w:r>
      <w:r w:rsidR="00944F7B">
        <w:rPr>
          <w:rFonts w:ascii="Arial" w:hAnsi="Arial" w:cs="Arial"/>
          <w:color w:val="000000"/>
          <w:sz w:val="24"/>
          <w:szCs w:val="24"/>
          <w:lang w:bidi="es-ES"/>
        </w:rPr>
        <w:t>n</w:t>
      </w:r>
      <w:r w:rsidR="00DA0FEB" w:rsidRPr="00ED460E">
        <w:rPr>
          <w:rFonts w:ascii="Arial" w:hAnsi="Arial" w:cs="Arial"/>
          <w:color w:val="000000"/>
          <w:sz w:val="24"/>
          <w:szCs w:val="24"/>
          <w:lang w:bidi="es-ES"/>
        </w:rPr>
        <w:t xml:space="preserve"> de contenido propio, ya que su verdadero significado dependía de lo regulado en el </w:t>
      </w:r>
      <w:r w:rsidR="00944F7B">
        <w:rPr>
          <w:rFonts w:ascii="Arial" w:hAnsi="Arial" w:cs="Arial"/>
          <w:color w:val="000000"/>
          <w:sz w:val="24"/>
          <w:szCs w:val="24"/>
          <w:lang w:bidi="es-ES"/>
        </w:rPr>
        <w:t xml:space="preserve">aparte anulado del </w:t>
      </w:r>
      <w:r w:rsidR="00DA0FEB" w:rsidRPr="00ED460E">
        <w:rPr>
          <w:rFonts w:ascii="Arial" w:hAnsi="Arial" w:cs="Arial"/>
          <w:color w:val="000000"/>
          <w:sz w:val="24"/>
          <w:szCs w:val="24"/>
          <w:lang w:bidi="es-ES"/>
        </w:rPr>
        <w:t xml:space="preserve">artículo 1 del </w:t>
      </w:r>
      <w:r w:rsidR="00D25718">
        <w:rPr>
          <w:rFonts w:ascii="Arial" w:hAnsi="Arial" w:cs="Arial"/>
          <w:color w:val="000000"/>
          <w:sz w:val="24"/>
          <w:szCs w:val="24"/>
          <w:lang w:bidi="es-ES"/>
        </w:rPr>
        <w:t>a</w:t>
      </w:r>
      <w:r w:rsidR="00DA0FEB" w:rsidRPr="00ED460E">
        <w:rPr>
          <w:rFonts w:ascii="Arial" w:hAnsi="Arial" w:cs="Arial"/>
          <w:color w:val="000000"/>
          <w:sz w:val="24"/>
          <w:szCs w:val="24"/>
          <w:lang w:bidi="es-ES"/>
        </w:rPr>
        <w:t>cuerdo objeto de estudio</w:t>
      </w:r>
      <w:r w:rsidR="00D25718">
        <w:rPr>
          <w:rFonts w:ascii="Arial" w:hAnsi="Arial" w:cs="Arial"/>
          <w:color w:val="000000"/>
          <w:sz w:val="24"/>
          <w:szCs w:val="24"/>
          <w:lang w:bidi="es-ES"/>
        </w:rPr>
        <w:t>.</w:t>
      </w:r>
      <w:r w:rsidR="00DA0FEB" w:rsidRPr="00ED460E">
        <w:rPr>
          <w:rFonts w:ascii="Arial" w:hAnsi="Arial" w:cs="Arial"/>
          <w:color w:val="000000"/>
          <w:sz w:val="24"/>
          <w:szCs w:val="24"/>
          <w:lang w:bidi="es-ES"/>
        </w:rPr>
        <w:t xml:space="preserve"> </w:t>
      </w:r>
    </w:p>
    <w:p w14:paraId="56D03D76" w14:textId="77777777" w:rsidR="00DA0FEB" w:rsidRPr="00DA0FEB" w:rsidRDefault="00DA0FEB" w:rsidP="000000DE">
      <w:pPr>
        <w:pStyle w:val="Prrafodelista"/>
        <w:tabs>
          <w:tab w:val="left" w:pos="0"/>
        </w:tabs>
        <w:spacing w:line="276" w:lineRule="auto"/>
        <w:contextualSpacing/>
        <w:jc w:val="both"/>
        <w:rPr>
          <w:rFonts w:ascii="Arial" w:hAnsi="Arial" w:cs="Arial"/>
          <w:color w:val="000000"/>
          <w:sz w:val="24"/>
          <w:szCs w:val="24"/>
          <w:lang w:val="es-CO" w:bidi="es-ES"/>
        </w:rPr>
      </w:pPr>
    </w:p>
    <w:p w14:paraId="38F90E30" w14:textId="1A7B4E36" w:rsidR="00EB4ABC" w:rsidRDefault="00E00F48"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r>
        <w:rPr>
          <w:rFonts w:ascii="Arial" w:hAnsi="Arial" w:cs="Arial"/>
          <w:color w:val="000000"/>
          <w:sz w:val="24"/>
          <w:szCs w:val="24"/>
          <w:lang w:bidi="es-ES"/>
        </w:rPr>
        <w:t>39</w:t>
      </w:r>
      <w:r w:rsidR="00D25718">
        <w:rPr>
          <w:rFonts w:ascii="Arial" w:hAnsi="Arial" w:cs="Arial"/>
          <w:color w:val="000000"/>
          <w:sz w:val="24"/>
          <w:szCs w:val="24"/>
          <w:lang w:bidi="es-ES"/>
        </w:rPr>
        <w:t xml:space="preserve">. </w:t>
      </w:r>
      <w:r w:rsidR="00DA0FEB" w:rsidRPr="00DA0FEB">
        <w:rPr>
          <w:rFonts w:ascii="Arial" w:hAnsi="Arial" w:cs="Arial"/>
          <w:color w:val="000000"/>
          <w:sz w:val="24"/>
          <w:szCs w:val="24"/>
          <w:lang w:bidi="es-ES"/>
        </w:rPr>
        <w:t>En consecuencia, no tiene sentido preservar en el ordenamiento jurídico tal</w:t>
      </w:r>
      <w:r w:rsidR="00944F7B">
        <w:rPr>
          <w:rFonts w:ascii="Arial" w:hAnsi="Arial" w:cs="Arial"/>
          <w:color w:val="000000"/>
          <w:sz w:val="24"/>
          <w:szCs w:val="24"/>
          <w:lang w:bidi="es-ES"/>
        </w:rPr>
        <w:t xml:space="preserve">es disposiciones </w:t>
      </w:r>
      <w:r w:rsidR="00DA0FEB" w:rsidRPr="00DA0FEB">
        <w:rPr>
          <w:rFonts w:ascii="Arial" w:hAnsi="Arial" w:cs="Arial"/>
          <w:color w:val="000000"/>
          <w:sz w:val="24"/>
          <w:szCs w:val="24"/>
          <w:lang w:bidi="es-ES"/>
        </w:rPr>
        <w:t>contenida</w:t>
      </w:r>
      <w:r w:rsidR="00944F7B">
        <w:rPr>
          <w:rFonts w:ascii="Arial" w:hAnsi="Arial" w:cs="Arial"/>
          <w:color w:val="000000"/>
          <w:sz w:val="24"/>
          <w:szCs w:val="24"/>
          <w:lang w:bidi="es-ES"/>
        </w:rPr>
        <w:t>s</w:t>
      </w:r>
      <w:r w:rsidR="00DA0FEB" w:rsidRPr="00DA0FEB">
        <w:rPr>
          <w:rFonts w:ascii="Arial" w:hAnsi="Arial" w:cs="Arial"/>
          <w:color w:val="000000"/>
          <w:sz w:val="24"/>
          <w:szCs w:val="24"/>
          <w:lang w:bidi="es-ES"/>
        </w:rPr>
        <w:t xml:space="preserve"> en </w:t>
      </w:r>
      <w:r w:rsidR="00944F7B">
        <w:rPr>
          <w:rFonts w:ascii="Arial" w:hAnsi="Arial" w:cs="Arial"/>
          <w:color w:val="000000"/>
          <w:sz w:val="24"/>
          <w:szCs w:val="24"/>
          <w:lang w:bidi="es-ES"/>
        </w:rPr>
        <w:t>la porción restante del artículo 1 y los artículos 2 y 3</w:t>
      </w:r>
      <w:r w:rsidR="00A51396">
        <w:rPr>
          <w:rFonts w:ascii="Arial" w:hAnsi="Arial" w:cs="Arial"/>
          <w:color w:val="000000"/>
          <w:sz w:val="24"/>
          <w:szCs w:val="24"/>
          <w:lang w:bidi="es-ES"/>
        </w:rPr>
        <w:t xml:space="preserve"> del acuerdo demandado, </w:t>
      </w:r>
      <w:r w:rsidR="00DA0FEB" w:rsidRPr="00DA0FEB">
        <w:rPr>
          <w:rFonts w:ascii="Arial" w:hAnsi="Arial" w:cs="Arial"/>
          <w:color w:val="000000"/>
          <w:sz w:val="24"/>
          <w:szCs w:val="24"/>
          <w:lang w:bidi="es-ES"/>
        </w:rPr>
        <w:t xml:space="preserve">puesto que </w:t>
      </w:r>
      <w:r w:rsidR="00DA0FEB" w:rsidRPr="00DA0FEB">
        <w:rPr>
          <w:rFonts w:ascii="Arial" w:hAnsi="Arial" w:cs="Arial"/>
          <w:color w:val="000000"/>
          <w:sz w:val="24"/>
          <w:szCs w:val="24"/>
          <w:lang w:val="es-CO" w:bidi="es-ES"/>
        </w:rPr>
        <w:t>la</w:t>
      </w:r>
      <w:r w:rsidR="00A51396">
        <w:rPr>
          <w:rFonts w:ascii="Arial" w:hAnsi="Arial" w:cs="Arial"/>
          <w:color w:val="000000"/>
          <w:sz w:val="24"/>
          <w:szCs w:val="24"/>
          <w:lang w:val="es-CO" w:bidi="es-ES"/>
        </w:rPr>
        <w:t>s</w:t>
      </w:r>
      <w:r w:rsidR="00DA0FEB" w:rsidRPr="00DA0FEB">
        <w:rPr>
          <w:rFonts w:ascii="Arial" w:hAnsi="Arial" w:cs="Arial"/>
          <w:color w:val="000000"/>
          <w:sz w:val="24"/>
          <w:szCs w:val="24"/>
          <w:lang w:val="es-CO" w:bidi="es-ES"/>
        </w:rPr>
        <w:t xml:space="preserve"> misma</w:t>
      </w:r>
      <w:r w:rsidR="00A51396">
        <w:rPr>
          <w:rFonts w:ascii="Arial" w:hAnsi="Arial" w:cs="Arial"/>
          <w:color w:val="000000"/>
          <w:sz w:val="24"/>
          <w:szCs w:val="24"/>
          <w:lang w:val="es-CO" w:bidi="es-ES"/>
        </w:rPr>
        <w:t>s</w:t>
      </w:r>
      <w:r w:rsidR="00DA0FEB" w:rsidRPr="00DA0FEB">
        <w:rPr>
          <w:rFonts w:ascii="Arial" w:hAnsi="Arial" w:cs="Arial"/>
          <w:color w:val="000000"/>
          <w:sz w:val="24"/>
          <w:szCs w:val="24"/>
          <w:lang w:val="es-CO" w:bidi="es-ES"/>
        </w:rPr>
        <w:t xml:space="preserve"> </w:t>
      </w:r>
      <w:r w:rsidR="00A51396">
        <w:rPr>
          <w:rFonts w:ascii="Arial" w:hAnsi="Arial" w:cs="Arial"/>
          <w:color w:val="000000"/>
          <w:sz w:val="24"/>
          <w:szCs w:val="24"/>
          <w:lang w:val="es-CO" w:bidi="es-ES"/>
        </w:rPr>
        <w:t xml:space="preserve">constituían </w:t>
      </w:r>
      <w:r w:rsidR="00DA0FEB" w:rsidRPr="00DA0FEB">
        <w:rPr>
          <w:rFonts w:ascii="Arial" w:hAnsi="Arial" w:cs="Arial"/>
          <w:color w:val="000000"/>
          <w:sz w:val="24"/>
          <w:szCs w:val="24"/>
          <w:lang w:val="es-CO" w:bidi="es-ES"/>
        </w:rPr>
        <w:t xml:space="preserve">una regulación </w:t>
      </w:r>
      <w:r w:rsidR="00DA0FEB" w:rsidRPr="00DA0FEB">
        <w:rPr>
          <w:rFonts w:ascii="Arial" w:hAnsi="Arial" w:cs="Arial"/>
          <w:color w:val="000000"/>
          <w:sz w:val="24"/>
          <w:szCs w:val="24"/>
          <w:lang w:val="es-CO" w:bidi="es-ES"/>
        </w:rPr>
        <w:lastRenderedPageBreak/>
        <w:t>accesoria de la norma declarada inválida, es decir, era</w:t>
      </w:r>
      <w:r w:rsidR="00A51396">
        <w:rPr>
          <w:rFonts w:ascii="Arial" w:hAnsi="Arial" w:cs="Arial"/>
          <w:color w:val="000000"/>
          <w:sz w:val="24"/>
          <w:szCs w:val="24"/>
          <w:lang w:val="es-CO" w:bidi="es-ES"/>
        </w:rPr>
        <w:t xml:space="preserve">n disposiciones </w:t>
      </w:r>
      <w:r w:rsidR="00DA0FEB" w:rsidRPr="00DA0FEB">
        <w:rPr>
          <w:rFonts w:ascii="Arial" w:hAnsi="Arial" w:cs="Arial"/>
          <w:color w:val="000000"/>
          <w:sz w:val="24"/>
          <w:szCs w:val="24"/>
          <w:lang w:val="es-CO" w:bidi="es-ES"/>
        </w:rPr>
        <w:t>‘inescindible</w:t>
      </w:r>
      <w:r w:rsidR="00A51396">
        <w:rPr>
          <w:rFonts w:ascii="Arial" w:hAnsi="Arial" w:cs="Arial"/>
          <w:color w:val="000000"/>
          <w:sz w:val="24"/>
          <w:szCs w:val="24"/>
          <w:lang w:val="es-CO" w:bidi="es-ES"/>
        </w:rPr>
        <w:t>s</w:t>
      </w:r>
      <w:r w:rsidR="00DA0FEB" w:rsidRPr="00DA0FEB">
        <w:rPr>
          <w:rFonts w:ascii="Arial" w:hAnsi="Arial" w:cs="Arial"/>
          <w:color w:val="000000"/>
          <w:sz w:val="24"/>
          <w:szCs w:val="24"/>
          <w:lang w:val="es-CO" w:bidi="es-ES"/>
        </w:rPr>
        <w:t xml:space="preserve">’ de aquella, razón por la cual concluye la Sala que </w:t>
      </w:r>
      <w:r w:rsidR="00A03695">
        <w:rPr>
          <w:rFonts w:ascii="Arial" w:hAnsi="Arial" w:cs="Arial"/>
          <w:color w:val="000000"/>
          <w:sz w:val="24"/>
          <w:szCs w:val="24"/>
          <w:lang w:val="es-CO" w:bidi="es-ES"/>
        </w:rPr>
        <w:t xml:space="preserve">perdieron </w:t>
      </w:r>
      <w:r w:rsidR="00DA0FEB" w:rsidRPr="00DA0FEB">
        <w:rPr>
          <w:rFonts w:ascii="Arial" w:hAnsi="Arial" w:cs="Arial"/>
          <w:color w:val="000000"/>
          <w:sz w:val="24"/>
          <w:szCs w:val="24"/>
          <w:lang w:val="es-CO" w:bidi="es-ES"/>
        </w:rPr>
        <w:t>su razón de ser y viene</w:t>
      </w:r>
      <w:r w:rsidR="00A03695">
        <w:rPr>
          <w:rFonts w:ascii="Arial" w:hAnsi="Arial" w:cs="Arial"/>
          <w:color w:val="000000"/>
          <w:sz w:val="24"/>
          <w:szCs w:val="24"/>
          <w:lang w:val="es-CO" w:bidi="es-ES"/>
        </w:rPr>
        <w:t>n</w:t>
      </w:r>
      <w:r w:rsidR="00DA0FEB" w:rsidRPr="00DA0FEB">
        <w:rPr>
          <w:rFonts w:ascii="Arial" w:hAnsi="Arial" w:cs="Arial"/>
          <w:color w:val="000000"/>
          <w:sz w:val="24"/>
          <w:szCs w:val="24"/>
          <w:lang w:val="es-CO" w:bidi="es-ES"/>
        </w:rPr>
        <w:t xml:space="preserve"> a carecer de sentido sin la misma</w:t>
      </w:r>
      <w:r w:rsidR="00D25718">
        <w:rPr>
          <w:rFonts w:ascii="Arial" w:hAnsi="Arial" w:cs="Arial"/>
          <w:color w:val="000000"/>
          <w:sz w:val="24"/>
          <w:szCs w:val="24"/>
          <w:lang w:val="es-CO" w:bidi="es-ES"/>
        </w:rPr>
        <w:t xml:space="preserve">. </w:t>
      </w:r>
    </w:p>
    <w:p w14:paraId="07743A0C" w14:textId="6658F497" w:rsidR="00A03695" w:rsidRDefault="00A03695" w:rsidP="000000DE">
      <w:pPr>
        <w:pStyle w:val="Prrafodelista"/>
        <w:tabs>
          <w:tab w:val="left" w:pos="0"/>
        </w:tabs>
        <w:spacing w:line="276" w:lineRule="auto"/>
        <w:ind w:left="0" w:right="-233"/>
        <w:contextualSpacing/>
        <w:jc w:val="both"/>
        <w:rPr>
          <w:rFonts w:ascii="Arial" w:hAnsi="Arial" w:cs="Arial"/>
          <w:color w:val="000000"/>
          <w:sz w:val="24"/>
          <w:szCs w:val="24"/>
          <w:lang w:val="es-CO" w:bidi="es-ES"/>
        </w:rPr>
      </w:pPr>
    </w:p>
    <w:bookmarkEnd w:id="3"/>
    <w:p w14:paraId="41B027A9" w14:textId="1AAE61E7" w:rsidR="00E25F36" w:rsidRPr="00E25F36" w:rsidRDefault="00E25F36" w:rsidP="000000DE">
      <w:pPr>
        <w:spacing w:line="276" w:lineRule="auto"/>
        <w:contextualSpacing/>
        <w:jc w:val="center"/>
        <w:rPr>
          <w:rFonts w:ascii="Arial" w:hAnsi="Arial" w:cs="Arial"/>
          <w:b/>
          <w:bCs/>
          <w:color w:val="000000"/>
          <w:sz w:val="24"/>
          <w:szCs w:val="24"/>
          <w:lang w:val="es-CO"/>
        </w:rPr>
      </w:pPr>
      <w:r w:rsidRPr="00E25F36">
        <w:rPr>
          <w:rFonts w:ascii="Arial" w:hAnsi="Arial" w:cs="Arial"/>
          <w:b/>
          <w:bCs/>
          <w:color w:val="000000"/>
          <w:sz w:val="24"/>
          <w:szCs w:val="24"/>
          <w:lang w:val="es-CO"/>
        </w:rPr>
        <w:t>III.- DECISIÓN</w:t>
      </w:r>
    </w:p>
    <w:p w14:paraId="2EEEA2A0" w14:textId="77777777" w:rsidR="00E25F36" w:rsidRPr="001B0C42" w:rsidRDefault="00E25F36" w:rsidP="000000DE">
      <w:pPr>
        <w:spacing w:line="276" w:lineRule="auto"/>
        <w:contextualSpacing/>
        <w:jc w:val="both"/>
        <w:rPr>
          <w:rFonts w:ascii="Arial" w:hAnsi="Arial" w:cs="Arial"/>
          <w:color w:val="000000"/>
          <w:sz w:val="24"/>
          <w:szCs w:val="24"/>
          <w:lang w:val="es-CO"/>
        </w:rPr>
      </w:pPr>
    </w:p>
    <w:p w14:paraId="2F9B75E4" w14:textId="1075397F" w:rsidR="001A5435" w:rsidRDefault="001A5435" w:rsidP="000000DE">
      <w:pPr>
        <w:tabs>
          <w:tab w:val="left" w:pos="-720"/>
        </w:tabs>
        <w:suppressAutoHyphens/>
        <w:spacing w:line="276" w:lineRule="auto"/>
        <w:ind w:right="-233"/>
        <w:contextualSpacing/>
        <w:jc w:val="both"/>
        <w:rPr>
          <w:rFonts w:ascii="Arial" w:hAnsi="Arial" w:cs="Arial"/>
          <w:iCs/>
          <w:sz w:val="24"/>
          <w:szCs w:val="24"/>
          <w:lang w:val="es-CO"/>
        </w:rPr>
      </w:pPr>
      <w:r w:rsidRPr="001B0C42">
        <w:rPr>
          <w:rFonts w:ascii="Arial" w:hAnsi="Arial" w:cs="Arial"/>
          <w:iCs/>
          <w:sz w:val="24"/>
          <w:szCs w:val="24"/>
          <w:lang w:val="es-CO"/>
        </w:rPr>
        <w:t xml:space="preserve">En mérito de lo expuesto, el Tribunal Administrativo de Boyacá, Sala </w:t>
      </w:r>
      <w:r w:rsidR="004C43E2">
        <w:rPr>
          <w:rFonts w:ascii="Arial" w:hAnsi="Arial" w:cs="Arial"/>
          <w:iCs/>
          <w:sz w:val="24"/>
          <w:szCs w:val="24"/>
          <w:lang w:val="es-CO"/>
        </w:rPr>
        <w:t xml:space="preserve">Virtual de Decisión </w:t>
      </w:r>
      <w:r w:rsidRPr="001B0C42">
        <w:rPr>
          <w:rFonts w:ascii="Arial" w:hAnsi="Arial" w:cs="Arial"/>
          <w:iCs/>
          <w:sz w:val="24"/>
          <w:szCs w:val="24"/>
          <w:lang w:val="es-CO"/>
        </w:rPr>
        <w:t xml:space="preserve">No. </w:t>
      </w:r>
      <w:r w:rsidR="004C43E2">
        <w:rPr>
          <w:rFonts w:ascii="Arial" w:hAnsi="Arial" w:cs="Arial"/>
          <w:iCs/>
          <w:sz w:val="24"/>
          <w:szCs w:val="24"/>
          <w:lang w:val="es-CO"/>
        </w:rPr>
        <w:t>4</w:t>
      </w:r>
      <w:r w:rsidRPr="001B0C42">
        <w:rPr>
          <w:rFonts w:ascii="Arial" w:hAnsi="Arial" w:cs="Arial"/>
          <w:iCs/>
          <w:sz w:val="24"/>
          <w:szCs w:val="24"/>
          <w:lang w:val="es-CO"/>
        </w:rPr>
        <w:t>, administrando justicia en nombre de la República y por autoridad de la ley,</w:t>
      </w:r>
    </w:p>
    <w:p w14:paraId="7C2B8298" w14:textId="77777777" w:rsidR="00567B40" w:rsidRPr="001B0C42" w:rsidRDefault="00567B40" w:rsidP="000000DE">
      <w:pPr>
        <w:tabs>
          <w:tab w:val="left" w:pos="-720"/>
        </w:tabs>
        <w:suppressAutoHyphens/>
        <w:spacing w:line="276" w:lineRule="auto"/>
        <w:ind w:right="-233"/>
        <w:contextualSpacing/>
        <w:jc w:val="both"/>
        <w:rPr>
          <w:rFonts w:ascii="Arial" w:hAnsi="Arial" w:cs="Arial"/>
          <w:iCs/>
          <w:sz w:val="24"/>
          <w:szCs w:val="24"/>
          <w:lang w:val="es-CO"/>
        </w:rPr>
      </w:pPr>
    </w:p>
    <w:p w14:paraId="658DD673" w14:textId="621888B0" w:rsidR="001A5435" w:rsidRPr="001B0C42" w:rsidRDefault="004C43E2" w:rsidP="000000DE">
      <w:pPr>
        <w:spacing w:line="276" w:lineRule="auto"/>
        <w:ind w:right="-233"/>
        <w:contextualSpacing/>
        <w:jc w:val="center"/>
        <w:rPr>
          <w:rFonts w:ascii="Arial" w:hAnsi="Arial" w:cs="Arial"/>
          <w:b/>
          <w:iCs/>
          <w:sz w:val="24"/>
          <w:szCs w:val="24"/>
          <w:lang w:val="es-CO"/>
        </w:rPr>
      </w:pPr>
      <w:r>
        <w:rPr>
          <w:rFonts w:ascii="Arial" w:hAnsi="Arial" w:cs="Arial"/>
          <w:b/>
          <w:iCs/>
          <w:sz w:val="24"/>
          <w:szCs w:val="24"/>
          <w:lang w:val="es-CO"/>
        </w:rPr>
        <w:t>FALLA</w:t>
      </w:r>
    </w:p>
    <w:p w14:paraId="0D68DFE8" w14:textId="77777777" w:rsidR="001A5435" w:rsidRPr="001B0C42" w:rsidRDefault="001A5435" w:rsidP="000000DE">
      <w:pPr>
        <w:pStyle w:val="Prrafodelista"/>
        <w:spacing w:line="276" w:lineRule="auto"/>
        <w:ind w:right="-233"/>
        <w:contextualSpacing/>
        <w:rPr>
          <w:rFonts w:ascii="Arial" w:hAnsi="Arial" w:cs="Arial"/>
          <w:bCs/>
          <w:iCs/>
          <w:sz w:val="24"/>
          <w:szCs w:val="24"/>
          <w:lang w:val="es-CO"/>
        </w:rPr>
      </w:pPr>
    </w:p>
    <w:p w14:paraId="4500B0D5" w14:textId="0EA3ED74" w:rsidR="004D0785" w:rsidRPr="003A0925" w:rsidRDefault="00FA616C" w:rsidP="003A0925">
      <w:pPr>
        <w:pStyle w:val="Prrafodelista"/>
        <w:numPr>
          <w:ilvl w:val="0"/>
          <w:numId w:val="1"/>
        </w:numPr>
        <w:spacing w:line="276" w:lineRule="auto"/>
        <w:ind w:left="0" w:right="-233" w:firstLine="0"/>
        <w:contextualSpacing/>
        <w:jc w:val="both"/>
        <w:rPr>
          <w:rFonts w:ascii="Arial" w:hAnsi="Arial" w:cs="Arial"/>
          <w:color w:val="000000"/>
          <w:sz w:val="22"/>
          <w:szCs w:val="22"/>
          <w:lang w:val="es-CO" w:bidi="es-ES"/>
        </w:rPr>
      </w:pPr>
      <w:r w:rsidRPr="00FA616C">
        <w:rPr>
          <w:rFonts w:ascii="Arial" w:hAnsi="Arial" w:cs="Arial"/>
          <w:iCs/>
          <w:sz w:val="24"/>
          <w:szCs w:val="24"/>
        </w:rPr>
        <w:t>Declarar</w:t>
      </w:r>
      <w:r w:rsidR="001A5435" w:rsidRPr="00FA616C">
        <w:rPr>
          <w:rFonts w:ascii="Arial" w:hAnsi="Arial" w:cs="Arial"/>
          <w:iCs/>
          <w:sz w:val="24"/>
          <w:szCs w:val="24"/>
        </w:rPr>
        <w:t xml:space="preserve"> la invalidez</w:t>
      </w:r>
      <w:r w:rsidR="00C14A3C">
        <w:rPr>
          <w:rFonts w:ascii="Arial" w:hAnsi="Arial" w:cs="Arial"/>
          <w:iCs/>
          <w:sz w:val="24"/>
          <w:szCs w:val="24"/>
        </w:rPr>
        <w:t xml:space="preserve"> del Acuerdo No. 001 de 19 de febrero de 2021</w:t>
      </w:r>
      <w:r w:rsidR="00AE1825">
        <w:rPr>
          <w:rFonts w:ascii="Arial" w:hAnsi="Arial" w:cs="Arial"/>
          <w:color w:val="000000"/>
          <w:sz w:val="24"/>
          <w:szCs w:val="24"/>
          <w:lang w:val="es-CO" w:bidi="es-ES"/>
        </w:rPr>
        <w:t>,</w:t>
      </w:r>
      <w:r w:rsidR="00E748F8">
        <w:rPr>
          <w:rFonts w:ascii="Arial" w:hAnsi="Arial" w:cs="Arial"/>
          <w:color w:val="000000"/>
          <w:sz w:val="24"/>
          <w:szCs w:val="24"/>
          <w:lang w:val="es-CO" w:bidi="es-ES"/>
        </w:rPr>
        <w:t xml:space="preserve"> expedido por el Concejo del municipio de Tibaná, </w:t>
      </w:r>
      <w:r w:rsidR="001A5435" w:rsidRPr="001B0C42">
        <w:rPr>
          <w:rFonts w:ascii="Arial" w:hAnsi="Arial" w:cs="Arial"/>
          <w:color w:val="000000"/>
          <w:sz w:val="24"/>
          <w:szCs w:val="24"/>
          <w:lang w:val="es-CO"/>
        </w:rPr>
        <w:t>de acuerdo con lo expuesto en la parte motiva de esta providencia</w:t>
      </w:r>
      <w:r w:rsidR="003A0925">
        <w:rPr>
          <w:rFonts w:ascii="Arial" w:hAnsi="Arial" w:cs="Arial"/>
          <w:color w:val="000000"/>
          <w:sz w:val="24"/>
          <w:szCs w:val="24"/>
          <w:lang w:val="es-CO"/>
        </w:rPr>
        <w:t>.</w:t>
      </w:r>
    </w:p>
    <w:p w14:paraId="41D9216E" w14:textId="77777777" w:rsidR="003A0925" w:rsidRDefault="003A0925" w:rsidP="003A0925">
      <w:pPr>
        <w:pStyle w:val="Prrafodelista"/>
        <w:spacing w:line="276" w:lineRule="auto"/>
        <w:ind w:left="0" w:right="-233"/>
        <w:contextualSpacing/>
        <w:jc w:val="both"/>
        <w:rPr>
          <w:rFonts w:ascii="Arial" w:hAnsi="Arial" w:cs="Arial"/>
          <w:color w:val="000000"/>
          <w:sz w:val="22"/>
          <w:szCs w:val="22"/>
          <w:lang w:val="es-CO" w:bidi="es-ES"/>
        </w:rPr>
      </w:pPr>
    </w:p>
    <w:p w14:paraId="6EAA2EF0" w14:textId="614F6B8A" w:rsidR="001A5435" w:rsidRPr="001B0C42" w:rsidRDefault="001A5435" w:rsidP="000000DE">
      <w:pPr>
        <w:pStyle w:val="Prrafodelista"/>
        <w:numPr>
          <w:ilvl w:val="0"/>
          <w:numId w:val="1"/>
        </w:numPr>
        <w:spacing w:line="276" w:lineRule="auto"/>
        <w:ind w:left="0" w:right="-233" w:firstLine="0"/>
        <w:contextualSpacing/>
        <w:jc w:val="both"/>
        <w:rPr>
          <w:rFonts w:ascii="Arial" w:hAnsi="Arial" w:cs="Arial"/>
          <w:sz w:val="24"/>
          <w:szCs w:val="24"/>
          <w:lang w:val="es-CO"/>
        </w:rPr>
      </w:pPr>
      <w:r w:rsidRPr="368ECF32">
        <w:rPr>
          <w:rFonts w:ascii="Arial" w:eastAsia="Calibri" w:hAnsi="Arial" w:cs="Arial"/>
          <w:sz w:val="24"/>
          <w:szCs w:val="24"/>
        </w:rPr>
        <w:t xml:space="preserve">Por Secretaría, </w:t>
      </w:r>
      <w:r w:rsidR="004D0785" w:rsidRPr="368ECF32">
        <w:rPr>
          <w:rFonts w:ascii="Arial" w:eastAsia="Calibri" w:hAnsi="Arial" w:cs="Arial"/>
          <w:sz w:val="24"/>
          <w:szCs w:val="24"/>
        </w:rPr>
        <w:t>comunicar</w:t>
      </w:r>
      <w:r w:rsidRPr="368ECF32">
        <w:rPr>
          <w:rFonts w:ascii="Arial" w:eastAsia="Calibri" w:hAnsi="Arial" w:cs="Arial"/>
          <w:sz w:val="24"/>
          <w:szCs w:val="24"/>
        </w:rPr>
        <w:t xml:space="preserve"> esta providencia al representante legal del </w:t>
      </w:r>
      <w:r w:rsidR="004D0785" w:rsidRPr="368ECF32">
        <w:rPr>
          <w:rFonts w:ascii="Arial" w:eastAsia="Calibri" w:hAnsi="Arial" w:cs="Arial"/>
          <w:sz w:val="24"/>
          <w:szCs w:val="24"/>
        </w:rPr>
        <w:t xml:space="preserve">departamento de </w:t>
      </w:r>
      <w:r w:rsidR="004D0785">
        <w:rPr>
          <w:rFonts w:ascii="Arial" w:eastAsia="Calibri" w:hAnsi="Arial" w:cs="Arial"/>
          <w:sz w:val="24"/>
          <w:szCs w:val="24"/>
        </w:rPr>
        <w:t>B</w:t>
      </w:r>
      <w:r w:rsidR="004D0785" w:rsidRPr="368ECF32">
        <w:rPr>
          <w:rFonts w:ascii="Arial" w:eastAsia="Calibri" w:hAnsi="Arial" w:cs="Arial"/>
          <w:sz w:val="24"/>
          <w:szCs w:val="24"/>
        </w:rPr>
        <w:t xml:space="preserve">oyacá, </w:t>
      </w:r>
      <w:r w:rsidRPr="368ECF32">
        <w:rPr>
          <w:rFonts w:ascii="Arial" w:eastAsia="Calibri" w:hAnsi="Arial" w:cs="Arial"/>
          <w:sz w:val="24"/>
          <w:szCs w:val="24"/>
        </w:rPr>
        <w:t xml:space="preserve">al </w:t>
      </w:r>
      <w:r w:rsidR="74AE424B" w:rsidRPr="368ECF32">
        <w:rPr>
          <w:rFonts w:ascii="Arial" w:eastAsia="Calibri" w:hAnsi="Arial" w:cs="Arial"/>
          <w:sz w:val="24"/>
          <w:szCs w:val="24"/>
        </w:rPr>
        <w:t>presidente</w:t>
      </w:r>
      <w:r w:rsidRPr="368ECF32">
        <w:rPr>
          <w:rFonts w:ascii="Arial" w:eastAsia="Calibri" w:hAnsi="Arial" w:cs="Arial"/>
          <w:sz w:val="24"/>
          <w:szCs w:val="24"/>
        </w:rPr>
        <w:t xml:space="preserve"> del Concejo, al </w:t>
      </w:r>
      <w:r w:rsidR="004D0785">
        <w:rPr>
          <w:rFonts w:ascii="Arial" w:eastAsia="Calibri" w:hAnsi="Arial" w:cs="Arial"/>
          <w:sz w:val="24"/>
          <w:szCs w:val="24"/>
        </w:rPr>
        <w:t>A</w:t>
      </w:r>
      <w:r w:rsidR="4C2EBE74" w:rsidRPr="368ECF32">
        <w:rPr>
          <w:rFonts w:ascii="Arial" w:eastAsia="Calibri" w:hAnsi="Arial" w:cs="Arial"/>
          <w:sz w:val="24"/>
          <w:szCs w:val="24"/>
        </w:rPr>
        <w:t>lcalde</w:t>
      </w:r>
      <w:r w:rsidRPr="368ECF32">
        <w:rPr>
          <w:rFonts w:ascii="Arial" w:eastAsia="Calibri" w:hAnsi="Arial" w:cs="Arial"/>
          <w:sz w:val="24"/>
          <w:szCs w:val="24"/>
        </w:rPr>
        <w:t xml:space="preserve"> y al Personero</w:t>
      </w:r>
      <w:r w:rsidR="00935CFA">
        <w:rPr>
          <w:rFonts w:ascii="Arial" w:eastAsia="Calibri" w:hAnsi="Arial" w:cs="Arial"/>
          <w:sz w:val="24"/>
          <w:szCs w:val="24"/>
        </w:rPr>
        <w:t xml:space="preserve"> del municipio de </w:t>
      </w:r>
      <w:r w:rsidR="00E4700F">
        <w:rPr>
          <w:rFonts w:ascii="Arial" w:eastAsia="Calibri" w:hAnsi="Arial" w:cs="Arial"/>
          <w:sz w:val="24"/>
          <w:szCs w:val="24"/>
        </w:rPr>
        <w:t>Tibaná</w:t>
      </w:r>
      <w:r w:rsidR="00935CFA">
        <w:rPr>
          <w:rFonts w:ascii="Arial" w:eastAsia="Calibri" w:hAnsi="Arial" w:cs="Arial"/>
          <w:sz w:val="24"/>
          <w:szCs w:val="24"/>
        </w:rPr>
        <w:t xml:space="preserve">. </w:t>
      </w:r>
    </w:p>
    <w:p w14:paraId="043CC1FA" w14:textId="77777777" w:rsidR="0015469B" w:rsidRPr="001B0C42" w:rsidRDefault="0015469B" w:rsidP="000000DE">
      <w:pPr>
        <w:pStyle w:val="Prrafodelista"/>
        <w:spacing w:line="276" w:lineRule="auto"/>
        <w:contextualSpacing/>
        <w:rPr>
          <w:rFonts w:ascii="Arial" w:hAnsi="Arial" w:cs="Arial"/>
          <w:iCs/>
          <w:sz w:val="24"/>
          <w:szCs w:val="24"/>
          <w:lang w:val="es-CO"/>
        </w:rPr>
      </w:pPr>
    </w:p>
    <w:p w14:paraId="17B6C303" w14:textId="2467C441" w:rsidR="001A5435" w:rsidRPr="001B0C42" w:rsidRDefault="00882C7E" w:rsidP="000000DE">
      <w:pPr>
        <w:pStyle w:val="Prrafodelista"/>
        <w:numPr>
          <w:ilvl w:val="0"/>
          <w:numId w:val="1"/>
        </w:numPr>
        <w:spacing w:line="276" w:lineRule="auto"/>
        <w:ind w:left="0" w:right="-233" w:firstLine="0"/>
        <w:contextualSpacing/>
        <w:jc w:val="both"/>
        <w:rPr>
          <w:rFonts w:ascii="Arial" w:hAnsi="Arial" w:cs="Arial"/>
          <w:bCs/>
          <w:iCs/>
          <w:sz w:val="24"/>
          <w:szCs w:val="24"/>
          <w:lang w:val="es-CO"/>
        </w:rPr>
      </w:pPr>
      <w:r w:rsidRPr="001B0C42">
        <w:rPr>
          <w:rFonts w:ascii="Arial" w:eastAsia="Calibri" w:hAnsi="Arial" w:cs="Arial"/>
          <w:sz w:val="24"/>
          <w:szCs w:val="24"/>
        </w:rPr>
        <w:t>Arch</w:t>
      </w:r>
      <w:r>
        <w:rPr>
          <w:rFonts w:ascii="Arial" w:eastAsia="Calibri" w:hAnsi="Arial" w:cs="Arial"/>
          <w:sz w:val="24"/>
          <w:szCs w:val="24"/>
        </w:rPr>
        <w:t>i</w:t>
      </w:r>
      <w:r w:rsidRPr="001B0C42">
        <w:rPr>
          <w:rFonts w:ascii="Arial" w:eastAsia="Calibri" w:hAnsi="Arial" w:cs="Arial"/>
          <w:sz w:val="24"/>
          <w:szCs w:val="24"/>
        </w:rPr>
        <w:t>v</w:t>
      </w:r>
      <w:r>
        <w:rPr>
          <w:rFonts w:ascii="Arial" w:eastAsia="Calibri" w:hAnsi="Arial" w:cs="Arial"/>
          <w:sz w:val="24"/>
          <w:szCs w:val="24"/>
        </w:rPr>
        <w:t>ar</w:t>
      </w:r>
      <w:r w:rsidRPr="001B0C42">
        <w:rPr>
          <w:rFonts w:ascii="Arial" w:eastAsia="Calibri" w:hAnsi="Arial" w:cs="Arial"/>
          <w:sz w:val="24"/>
          <w:szCs w:val="24"/>
        </w:rPr>
        <w:t xml:space="preserve"> </w:t>
      </w:r>
      <w:r w:rsidR="001A5435" w:rsidRPr="001B0C42">
        <w:rPr>
          <w:rFonts w:ascii="Arial" w:eastAsia="Calibri" w:hAnsi="Arial" w:cs="Arial"/>
          <w:sz w:val="24"/>
          <w:szCs w:val="24"/>
        </w:rPr>
        <w:t>el expediente, una vez en firme esta providencia</w:t>
      </w:r>
      <w:r w:rsidR="001A5435" w:rsidRPr="001B0C42">
        <w:rPr>
          <w:rFonts w:ascii="Arial" w:eastAsia="Calibri" w:hAnsi="Arial" w:cs="Arial"/>
          <w:sz w:val="24"/>
          <w:szCs w:val="24"/>
          <w:lang w:val="es-CO"/>
        </w:rPr>
        <w:t xml:space="preserve">. </w:t>
      </w:r>
    </w:p>
    <w:p w14:paraId="59640BE0" w14:textId="77777777" w:rsidR="001A5435" w:rsidRPr="001B0C42" w:rsidRDefault="001A5435" w:rsidP="000000DE">
      <w:pPr>
        <w:tabs>
          <w:tab w:val="left" w:pos="8222"/>
        </w:tabs>
        <w:spacing w:line="276" w:lineRule="auto"/>
        <w:ind w:right="-233"/>
        <w:contextualSpacing/>
        <w:jc w:val="both"/>
        <w:rPr>
          <w:rFonts w:ascii="Arial" w:eastAsia="Calibri" w:hAnsi="Arial" w:cs="Arial"/>
          <w:sz w:val="24"/>
          <w:szCs w:val="24"/>
          <w:lang w:val="es-CO"/>
        </w:rPr>
      </w:pPr>
    </w:p>
    <w:p w14:paraId="6E287CA5" w14:textId="4DD62CDA" w:rsidR="001A5435" w:rsidRPr="001B0C42" w:rsidRDefault="001A5435" w:rsidP="000000DE">
      <w:pPr>
        <w:spacing w:line="276" w:lineRule="auto"/>
        <w:ind w:right="-233"/>
        <w:contextualSpacing/>
        <w:jc w:val="center"/>
        <w:rPr>
          <w:rFonts w:ascii="Arial" w:hAnsi="Arial" w:cs="Arial"/>
          <w:b/>
          <w:sz w:val="24"/>
          <w:szCs w:val="24"/>
          <w:lang w:val="es-CO"/>
        </w:rPr>
      </w:pPr>
      <w:r w:rsidRPr="001B0C42">
        <w:rPr>
          <w:rFonts w:ascii="Arial" w:hAnsi="Arial" w:cs="Arial"/>
          <w:b/>
          <w:sz w:val="24"/>
          <w:szCs w:val="24"/>
          <w:lang w:val="es-CO"/>
        </w:rPr>
        <w:t>CÓPIESE, NOTIFÍQUESE Y CÚMPLASE</w:t>
      </w:r>
    </w:p>
    <w:p w14:paraId="2242B1D7" w14:textId="4D418323" w:rsidR="001A5435" w:rsidRDefault="001A5435" w:rsidP="000000DE">
      <w:pPr>
        <w:spacing w:line="276" w:lineRule="auto"/>
        <w:ind w:right="-233"/>
        <w:contextualSpacing/>
        <w:jc w:val="both"/>
        <w:rPr>
          <w:rFonts w:ascii="Arial" w:hAnsi="Arial" w:cs="Arial"/>
          <w:sz w:val="24"/>
          <w:szCs w:val="24"/>
          <w:lang w:val="es-CO"/>
        </w:rPr>
      </w:pPr>
    </w:p>
    <w:p w14:paraId="73AD4E28" w14:textId="6FE1631E" w:rsidR="001A5435" w:rsidRDefault="001A5435" w:rsidP="000000DE">
      <w:pPr>
        <w:spacing w:line="276" w:lineRule="auto"/>
        <w:ind w:right="-233"/>
        <w:contextualSpacing/>
        <w:jc w:val="both"/>
        <w:rPr>
          <w:rFonts w:ascii="Arial" w:hAnsi="Arial" w:cs="Arial"/>
          <w:sz w:val="24"/>
          <w:szCs w:val="24"/>
          <w:lang w:val="es-CO"/>
        </w:rPr>
      </w:pPr>
      <w:r w:rsidRPr="001B0C42">
        <w:rPr>
          <w:rFonts w:ascii="Arial" w:hAnsi="Arial" w:cs="Arial"/>
          <w:sz w:val="24"/>
          <w:szCs w:val="24"/>
          <w:lang w:val="es-CO"/>
        </w:rPr>
        <w:t xml:space="preserve">La anterior providencia fue estudiada y aprobada por la Sala en sesión </w:t>
      </w:r>
      <w:r w:rsidR="004C43E2">
        <w:rPr>
          <w:rFonts w:ascii="Arial" w:hAnsi="Arial" w:cs="Arial"/>
          <w:sz w:val="24"/>
          <w:szCs w:val="24"/>
          <w:lang w:val="es-CO"/>
        </w:rPr>
        <w:t xml:space="preserve">virtual </w:t>
      </w:r>
      <w:r w:rsidRPr="001B0C42">
        <w:rPr>
          <w:rFonts w:ascii="Arial" w:hAnsi="Arial" w:cs="Arial"/>
          <w:sz w:val="24"/>
          <w:szCs w:val="24"/>
          <w:lang w:val="es-CO"/>
        </w:rPr>
        <w:t>de la fecha.</w:t>
      </w:r>
    </w:p>
    <w:p w14:paraId="34A47368" w14:textId="77777777" w:rsidR="003F3127" w:rsidRPr="001B0C42" w:rsidRDefault="003F3127" w:rsidP="000000DE">
      <w:pPr>
        <w:spacing w:line="276" w:lineRule="auto"/>
        <w:ind w:right="-233"/>
        <w:contextualSpacing/>
        <w:jc w:val="both"/>
        <w:rPr>
          <w:rFonts w:ascii="Arial" w:hAnsi="Arial" w:cs="Arial"/>
          <w:sz w:val="24"/>
          <w:szCs w:val="24"/>
          <w:lang w:val="es-CO"/>
        </w:rPr>
      </w:pPr>
    </w:p>
    <w:p w14:paraId="10E4D0A2" w14:textId="7533601C" w:rsidR="0008175B" w:rsidRPr="00A135DD" w:rsidRDefault="00E00558" w:rsidP="000000DE">
      <w:pPr>
        <w:pStyle w:val="Estilo"/>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center"/>
        <w:rPr>
          <w:i/>
          <w:lang w:val="es-CO" w:bidi="he-IL"/>
        </w:rPr>
      </w:pPr>
      <w:r w:rsidRPr="00A135DD">
        <w:rPr>
          <w:i/>
          <w:lang w:val="es-CO" w:bidi="he-IL"/>
        </w:rPr>
        <w:t>Firmado electrónicamente</w:t>
      </w:r>
    </w:p>
    <w:p w14:paraId="4C174360" w14:textId="2773EFCC" w:rsidR="00497452" w:rsidRPr="00A135DD" w:rsidRDefault="0060079B" w:rsidP="000000DE">
      <w:pPr>
        <w:spacing w:line="276" w:lineRule="auto"/>
        <w:ind w:right="-233"/>
        <w:contextualSpacing/>
        <w:jc w:val="center"/>
        <w:rPr>
          <w:rFonts w:ascii="Arial" w:hAnsi="Arial" w:cs="Arial"/>
          <w:b/>
          <w:bCs/>
          <w:sz w:val="24"/>
          <w:szCs w:val="24"/>
          <w:lang w:val="es-CO"/>
        </w:rPr>
      </w:pPr>
      <w:r w:rsidRPr="00A135DD">
        <w:rPr>
          <w:rFonts w:ascii="Arial" w:hAnsi="Arial" w:cs="Arial"/>
          <w:b/>
          <w:bCs/>
          <w:sz w:val="24"/>
          <w:szCs w:val="24"/>
          <w:lang w:val="es-CO"/>
        </w:rPr>
        <w:t>DAY</w:t>
      </w:r>
      <w:r w:rsidR="005A434D" w:rsidRPr="00A135DD">
        <w:rPr>
          <w:rFonts w:ascii="Arial" w:hAnsi="Arial" w:cs="Arial"/>
          <w:b/>
          <w:bCs/>
          <w:sz w:val="24"/>
          <w:szCs w:val="24"/>
          <w:lang w:val="es-CO"/>
        </w:rPr>
        <w:t>Á</w:t>
      </w:r>
      <w:r w:rsidRPr="00A135DD">
        <w:rPr>
          <w:rFonts w:ascii="Arial" w:hAnsi="Arial" w:cs="Arial"/>
          <w:b/>
          <w:bCs/>
          <w:sz w:val="24"/>
          <w:szCs w:val="24"/>
          <w:lang w:val="es-CO"/>
        </w:rPr>
        <w:t>N ALBERTO BLANCO LEGU</w:t>
      </w:r>
      <w:r w:rsidR="005A434D" w:rsidRPr="00A135DD">
        <w:rPr>
          <w:rFonts w:ascii="Arial" w:hAnsi="Arial" w:cs="Arial"/>
          <w:b/>
          <w:bCs/>
          <w:sz w:val="24"/>
          <w:szCs w:val="24"/>
          <w:lang w:val="es-CO"/>
        </w:rPr>
        <w:t>Í</w:t>
      </w:r>
      <w:r w:rsidRPr="00A135DD">
        <w:rPr>
          <w:rFonts w:ascii="Arial" w:hAnsi="Arial" w:cs="Arial"/>
          <w:b/>
          <w:bCs/>
          <w:sz w:val="24"/>
          <w:szCs w:val="24"/>
          <w:lang w:val="es-CO"/>
        </w:rPr>
        <w:t>ZAMO</w:t>
      </w:r>
    </w:p>
    <w:p w14:paraId="3380A686" w14:textId="55ECE0A9" w:rsidR="00497452" w:rsidRPr="00A135DD" w:rsidRDefault="00497452" w:rsidP="000000DE">
      <w:pPr>
        <w:spacing w:line="276" w:lineRule="auto"/>
        <w:ind w:right="-233"/>
        <w:contextualSpacing/>
        <w:jc w:val="center"/>
        <w:rPr>
          <w:rFonts w:ascii="Arial" w:hAnsi="Arial" w:cs="Arial"/>
          <w:b/>
          <w:bCs/>
          <w:sz w:val="24"/>
          <w:szCs w:val="24"/>
          <w:lang w:val="es-CO"/>
        </w:rPr>
      </w:pPr>
      <w:r w:rsidRPr="00A135DD">
        <w:rPr>
          <w:rFonts w:ascii="Arial" w:hAnsi="Arial" w:cs="Arial"/>
          <w:b/>
          <w:bCs/>
          <w:sz w:val="24"/>
          <w:szCs w:val="24"/>
          <w:lang w:val="es-CO"/>
        </w:rPr>
        <w:t>Magistrad</w:t>
      </w:r>
      <w:r w:rsidR="0060079B" w:rsidRPr="00A135DD">
        <w:rPr>
          <w:rFonts w:ascii="Arial" w:hAnsi="Arial" w:cs="Arial"/>
          <w:b/>
          <w:bCs/>
          <w:sz w:val="24"/>
          <w:szCs w:val="24"/>
          <w:lang w:val="es-CO"/>
        </w:rPr>
        <w:t>o</w:t>
      </w:r>
    </w:p>
    <w:p w14:paraId="1A69751E" w14:textId="60493B33" w:rsidR="00497452" w:rsidRPr="00A135DD" w:rsidRDefault="00497452" w:rsidP="000000DE">
      <w:pPr>
        <w:spacing w:line="276" w:lineRule="auto"/>
        <w:ind w:right="-233"/>
        <w:contextualSpacing/>
        <w:jc w:val="center"/>
        <w:rPr>
          <w:rFonts w:ascii="Arial" w:hAnsi="Arial" w:cs="Arial"/>
          <w:b/>
          <w:bCs/>
          <w:sz w:val="24"/>
          <w:szCs w:val="24"/>
          <w:lang w:val="es-CO"/>
        </w:rPr>
      </w:pPr>
    </w:p>
    <w:p w14:paraId="7470F502" w14:textId="77777777" w:rsidR="001F060E" w:rsidRPr="00A135DD" w:rsidRDefault="001F060E" w:rsidP="000000DE">
      <w:pPr>
        <w:spacing w:line="276" w:lineRule="auto"/>
        <w:ind w:right="-233"/>
        <w:contextualSpacing/>
        <w:jc w:val="center"/>
        <w:rPr>
          <w:rFonts w:ascii="Arial" w:hAnsi="Arial" w:cs="Arial"/>
          <w:b/>
          <w:bCs/>
          <w:sz w:val="24"/>
          <w:szCs w:val="24"/>
          <w:lang w:val="es-CO"/>
        </w:rPr>
      </w:pPr>
    </w:p>
    <w:p w14:paraId="6CD23F82" w14:textId="77777777" w:rsidR="00E00558" w:rsidRPr="00A135DD" w:rsidRDefault="00E00558" w:rsidP="000000DE">
      <w:pPr>
        <w:pStyle w:val="Estilo"/>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center"/>
        <w:rPr>
          <w:i/>
          <w:lang w:val="es-CO" w:bidi="he-IL"/>
        </w:rPr>
      </w:pPr>
      <w:r w:rsidRPr="00A135DD">
        <w:rPr>
          <w:i/>
          <w:lang w:val="es-CO" w:bidi="he-IL"/>
        </w:rPr>
        <w:t>Firmado electrónicamente</w:t>
      </w:r>
    </w:p>
    <w:p w14:paraId="61CEB1B7" w14:textId="77777777" w:rsidR="00497452" w:rsidRPr="00A135DD" w:rsidRDefault="00497452" w:rsidP="000000DE">
      <w:pPr>
        <w:spacing w:line="276" w:lineRule="auto"/>
        <w:ind w:right="-233"/>
        <w:contextualSpacing/>
        <w:jc w:val="center"/>
        <w:rPr>
          <w:rFonts w:ascii="Arial" w:hAnsi="Arial" w:cs="Arial"/>
          <w:b/>
          <w:bCs/>
          <w:sz w:val="24"/>
          <w:szCs w:val="24"/>
          <w:lang w:val="es-CO"/>
        </w:rPr>
      </w:pPr>
      <w:r w:rsidRPr="00A135DD">
        <w:rPr>
          <w:rFonts w:ascii="Arial" w:hAnsi="Arial" w:cs="Arial"/>
          <w:b/>
          <w:bCs/>
          <w:sz w:val="24"/>
          <w:szCs w:val="24"/>
          <w:lang w:val="es-CO"/>
        </w:rPr>
        <w:t>FÉLIX ALBERTO RODRÍGUEZ RIVEROS</w:t>
      </w:r>
    </w:p>
    <w:p w14:paraId="5184B2F0" w14:textId="77777777" w:rsidR="00497452" w:rsidRPr="00A135DD" w:rsidRDefault="00497452" w:rsidP="000000DE">
      <w:pPr>
        <w:spacing w:line="276" w:lineRule="auto"/>
        <w:ind w:right="-233"/>
        <w:contextualSpacing/>
        <w:jc w:val="center"/>
        <w:rPr>
          <w:rFonts w:ascii="Arial" w:hAnsi="Arial" w:cs="Arial"/>
          <w:b/>
          <w:bCs/>
          <w:sz w:val="24"/>
          <w:szCs w:val="24"/>
          <w:lang w:val="es-CO"/>
        </w:rPr>
      </w:pPr>
      <w:r w:rsidRPr="00A135DD">
        <w:rPr>
          <w:rFonts w:ascii="Arial" w:hAnsi="Arial" w:cs="Arial"/>
          <w:b/>
          <w:bCs/>
          <w:sz w:val="24"/>
          <w:szCs w:val="24"/>
          <w:lang w:val="es-CO"/>
        </w:rPr>
        <w:t>Magistrado</w:t>
      </w:r>
    </w:p>
    <w:p w14:paraId="03F0501F" w14:textId="2C7433A1" w:rsidR="00497452" w:rsidRPr="00A135DD" w:rsidRDefault="00497452" w:rsidP="000000DE">
      <w:pPr>
        <w:spacing w:line="276" w:lineRule="auto"/>
        <w:ind w:right="-233"/>
        <w:contextualSpacing/>
        <w:jc w:val="center"/>
        <w:rPr>
          <w:rFonts w:ascii="Arial" w:hAnsi="Arial" w:cs="Arial"/>
          <w:b/>
          <w:bCs/>
          <w:sz w:val="24"/>
          <w:szCs w:val="24"/>
          <w:lang w:val="es-CO"/>
        </w:rPr>
      </w:pPr>
    </w:p>
    <w:p w14:paraId="00ED8288" w14:textId="77777777" w:rsidR="001F060E" w:rsidRPr="00A135DD" w:rsidRDefault="001F060E" w:rsidP="000000DE">
      <w:pPr>
        <w:spacing w:line="276" w:lineRule="auto"/>
        <w:ind w:right="-233"/>
        <w:contextualSpacing/>
        <w:jc w:val="center"/>
        <w:rPr>
          <w:rFonts w:ascii="Arial" w:hAnsi="Arial" w:cs="Arial"/>
          <w:b/>
          <w:bCs/>
          <w:sz w:val="24"/>
          <w:szCs w:val="24"/>
          <w:lang w:val="es-CO"/>
        </w:rPr>
      </w:pPr>
    </w:p>
    <w:p w14:paraId="70FC4823" w14:textId="77777777" w:rsidR="00E00558" w:rsidRPr="00A135DD" w:rsidRDefault="00E00558" w:rsidP="000000DE">
      <w:pPr>
        <w:pStyle w:val="Estilo"/>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center"/>
        <w:rPr>
          <w:i/>
          <w:lang w:val="es-CO" w:bidi="he-IL"/>
        </w:rPr>
      </w:pPr>
      <w:r w:rsidRPr="00A135DD">
        <w:rPr>
          <w:i/>
          <w:lang w:val="es-CO" w:bidi="he-IL"/>
        </w:rPr>
        <w:t>Firmado electrónicamente</w:t>
      </w:r>
    </w:p>
    <w:p w14:paraId="73CB5C8D" w14:textId="77777777" w:rsidR="005A434D" w:rsidRPr="00A135DD" w:rsidRDefault="005A434D" w:rsidP="000000DE">
      <w:pPr>
        <w:spacing w:line="276" w:lineRule="auto"/>
        <w:ind w:right="50"/>
        <w:contextualSpacing/>
        <w:jc w:val="center"/>
        <w:rPr>
          <w:rFonts w:ascii="Arial" w:hAnsi="Arial" w:cs="Arial"/>
          <w:b/>
          <w:bCs/>
          <w:sz w:val="24"/>
          <w:szCs w:val="24"/>
          <w:lang w:val="es-CO"/>
        </w:rPr>
      </w:pPr>
      <w:r w:rsidRPr="00A135DD">
        <w:rPr>
          <w:rFonts w:ascii="Arial" w:hAnsi="Arial" w:cs="Arial"/>
          <w:b/>
          <w:bCs/>
          <w:sz w:val="24"/>
          <w:szCs w:val="24"/>
          <w:lang w:val="es-CO"/>
        </w:rPr>
        <w:t>FABIO IVÁN AFANADOR GARCÍA</w:t>
      </w:r>
    </w:p>
    <w:p w14:paraId="5A9C588E" w14:textId="5BAA70CD" w:rsidR="001A5435" w:rsidRPr="001B0C42" w:rsidRDefault="005A434D" w:rsidP="000000DE">
      <w:pPr>
        <w:spacing w:line="276" w:lineRule="auto"/>
        <w:contextualSpacing/>
        <w:jc w:val="center"/>
        <w:rPr>
          <w:rFonts w:ascii="Arial" w:hAnsi="Arial" w:cs="Arial"/>
          <w:sz w:val="24"/>
          <w:szCs w:val="24"/>
        </w:rPr>
      </w:pPr>
      <w:r w:rsidRPr="00A135DD">
        <w:rPr>
          <w:rFonts w:ascii="Arial" w:hAnsi="Arial" w:cs="Arial"/>
          <w:b/>
          <w:bCs/>
          <w:sz w:val="24"/>
          <w:szCs w:val="24"/>
          <w:lang w:val="es-CO"/>
        </w:rPr>
        <w:t>Magistrado (E)</w:t>
      </w:r>
    </w:p>
    <w:sectPr w:rsidR="001A5435" w:rsidRPr="001B0C42" w:rsidSect="00F86AC8">
      <w:headerReference w:type="even" r:id="rId11"/>
      <w:headerReference w:type="default" r:id="rId12"/>
      <w:footerReference w:type="default" r:id="rId13"/>
      <w:headerReference w:type="first" r:id="rId14"/>
      <w:pgSz w:w="12240" w:h="18720" w:code="41"/>
      <w:pgMar w:top="2210" w:right="1985" w:bottom="1985" w:left="1985" w:header="992"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BAFE" w14:textId="77777777" w:rsidR="00AB52A8" w:rsidRDefault="00AB52A8" w:rsidP="00614090">
      <w:r>
        <w:separator/>
      </w:r>
    </w:p>
  </w:endnote>
  <w:endnote w:type="continuationSeparator" w:id="0">
    <w:p w14:paraId="663BC93B" w14:textId="77777777" w:rsidR="00AB52A8" w:rsidRDefault="00AB52A8" w:rsidP="0061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no Pro">
    <w:altName w:val="Cambria"/>
    <w:panose1 w:val="020205020405060204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C18B" w14:textId="77777777" w:rsidR="00827F9B" w:rsidRDefault="00827F9B">
    <w:pPr>
      <w:pStyle w:val="Piedepgina"/>
      <w:jc w:val="center"/>
    </w:pPr>
  </w:p>
  <w:p w14:paraId="691B9BD4" w14:textId="77777777" w:rsidR="00827F9B" w:rsidRDefault="00827F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FF63" w14:textId="77777777" w:rsidR="00AB52A8" w:rsidRDefault="00AB52A8" w:rsidP="00614090">
      <w:r>
        <w:separator/>
      </w:r>
    </w:p>
  </w:footnote>
  <w:footnote w:type="continuationSeparator" w:id="0">
    <w:p w14:paraId="54805840" w14:textId="77777777" w:rsidR="00AB52A8" w:rsidRDefault="00AB52A8" w:rsidP="00614090">
      <w:r>
        <w:continuationSeparator/>
      </w:r>
    </w:p>
  </w:footnote>
  <w:footnote w:id="1">
    <w:p w14:paraId="7D7447FD" w14:textId="5A96400A" w:rsidR="000227A0" w:rsidRPr="00C329B5" w:rsidRDefault="000227A0"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proofErr w:type="spellStart"/>
      <w:r w:rsidRPr="00C329B5">
        <w:rPr>
          <w:rFonts w:cs="Arial"/>
          <w:sz w:val="19"/>
          <w:szCs w:val="19"/>
          <w:lang w:val="es-CO"/>
        </w:rPr>
        <w:t>Ff</w:t>
      </w:r>
      <w:proofErr w:type="spellEnd"/>
      <w:r w:rsidRPr="00C329B5">
        <w:rPr>
          <w:rFonts w:cs="Arial"/>
          <w:sz w:val="19"/>
          <w:szCs w:val="19"/>
          <w:lang w:val="es-CO"/>
        </w:rPr>
        <w:t>. 4-7 archivo ‘3_150012333000202100262001expedientedigidemanday20210325155221’.</w:t>
      </w:r>
    </w:p>
  </w:footnote>
  <w:footnote w:id="2">
    <w:p w14:paraId="3864FF15" w14:textId="37C7CC1F" w:rsidR="007B29B3" w:rsidRPr="007B29B3" w:rsidRDefault="007B29B3">
      <w:pPr>
        <w:pStyle w:val="Textonotapie"/>
        <w:rPr>
          <w:i/>
          <w:iCs/>
          <w:lang w:val="es-CO"/>
        </w:rPr>
      </w:pPr>
      <w:r>
        <w:rPr>
          <w:rStyle w:val="Refdenotaalpie"/>
        </w:rPr>
        <w:footnoteRef/>
      </w:r>
      <w:r>
        <w:t xml:space="preserve"> </w:t>
      </w:r>
      <w:r>
        <w:rPr>
          <w:lang w:val="es-CO"/>
        </w:rPr>
        <w:t xml:space="preserve">F. 6 </w:t>
      </w:r>
      <w:r>
        <w:rPr>
          <w:i/>
          <w:iCs/>
          <w:lang w:val="es-CO"/>
        </w:rPr>
        <w:t>ibid.</w:t>
      </w:r>
    </w:p>
  </w:footnote>
  <w:footnote w:id="3">
    <w:p w14:paraId="40A8F5BA" w14:textId="7B12C039" w:rsidR="00E4700F" w:rsidRPr="00C329B5" w:rsidRDefault="00E4700F"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lang w:val="es-CO"/>
        </w:rPr>
        <w:t xml:space="preserve"> FF. </w:t>
      </w:r>
      <w:r w:rsidR="007B28B5" w:rsidRPr="00C329B5">
        <w:rPr>
          <w:rFonts w:cs="Arial"/>
          <w:sz w:val="19"/>
          <w:szCs w:val="19"/>
          <w:lang w:val="es-CO"/>
        </w:rPr>
        <w:t>1-6 archivo ‘9_150012333000202100262002recepcioncorrecontestaci20210501112850’.</w:t>
      </w:r>
    </w:p>
  </w:footnote>
  <w:footnote w:id="4">
    <w:p w14:paraId="0015C789" w14:textId="393FEA32" w:rsidR="00CA3070" w:rsidRPr="00C329B5" w:rsidRDefault="00CA3070" w:rsidP="00C372D3">
      <w:pPr>
        <w:pStyle w:val="Textonotapie"/>
        <w:rPr>
          <w:rFonts w:cs="Arial"/>
          <w:i/>
          <w:iCs/>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F. 4 </w:t>
      </w:r>
      <w:r w:rsidRPr="00C329B5">
        <w:rPr>
          <w:rFonts w:cs="Arial"/>
          <w:i/>
          <w:iCs/>
          <w:sz w:val="19"/>
          <w:szCs w:val="19"/>
          <w:lang w:val="es-CO"/>
        </w:rPr>
        <w:t>ibid.</w:t>
      </w:r>
    </w:p>
  </w:footnote>
  <w:footnote w:id="5">
    <w:p w14:paraId="19FCE17E" w14:textId="14A7CDE9" w:rsidR="00D77268" w:rsidRPr="00C329B5" w:rsidRDefault="00D77268" w:rsidP="00C372D3">
      <w:pPr>
        <w:pStyle w:val="Textonotapie"/>
        <w:rPr>
          <w:rFonts w:cs="Arial"/>
          <w:i/>
          <w:iCs/>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F. 5 </w:t>
      </w:r>
      <w:r w:rsidRPr="00C329B5">
        <w:rPr>
          <w:rFonts w:cs="Arial"/>
          <w:i/>
          <w:iCs/>
          <w:sz w:val="19"/>
          <w:szCs w:val="19"/>
          <w:lang w:val="es-CO"/>
        </w:rPr>
        <w:t>ibid.</w:t>
      </w:r>
    </w:p>
  </w:footnote>
  <w:footnote w:id="6">
    <w:p w14:paraId="787268BF" w14:textId="77777777" w:rsidR="009C57F8" w:rsidRPr="00C329B5" w:rsidRDefault="009C57F8" w:rsidP="00C372D3">
      <w:pPr>
        <w:pStyle w:val="Textonotapie"/>
        <w:rPr>
          <w:rFonts w:cs="Arial"/>
          <w:b/>
          <w:sz w:val="19"/>
          <w:szCs w:val="19"/>
        </w:rPr>
      </w:pPr>
      <w:r w:rsidRPr="00C329B5">
        <w:rPr>
          <w:rStyle w:val="Refdenotaalpie"/>
          <w:rFonts w:cs="Arial"/>
          <w:b/>
          <w:sz w:val="19"/>
          <w:szCs w:val="19"/>
        </w:rPr>
        <w:footnoteRef/>
      </w:r>
      <w:r w:rsidRPr="00C329B5">
        <w:rPr>
          <w:rFonts w:cs="Arial"/>
          <w:b/>
          <w:sz w:val="19"/>
          <w:szCs w:val="19"/>
        </w:rPr>
        <w:t xml:space="preserve"> </w:t>
      </w:r>
      <w:r w:rsidRPr="00C329B5">
        <w:rPr>
          <w:rStyle w:val="Textoennegrita"/>
          <w:rFonts w:cs="Arial"/>
          <w:b w:val="0"/>
          <w:color w:val="000000"/>
          <w:sz w:val="19"/>
          <w:szCs w:val="19"/>
          <w:shd w:val="clear" w:color="auto" w:fill="FFFFFF"/>
        </w:rPr>
        <w:t>Por el cual se expide el Código de Régimen Municipal.</w:t>
      </w:r>
    </w:p>
  </w:footnote>
  <w:footnote w:id="7">
    <w:p w14:paraId="58296AF6" w14:textId="77777777" w:rsidR="009C57F8" w:rsidRPr="00C329B5" w:rsidRDefault="009C57F8" w:rsidP="00C372D3">
      <w:pPr>
        <w:pStyle w:val="NormalWeb"/>
        <w:spacing w:before="0" w:beforeAutospacing="0" w:after="0" w:afterAutospacing="0"/>
        <w:jc w:val="both"/>
        <w:rPr>
          <w:rFonts w:ascii="Arial" w:hAnsi="Arial" w:cs="Arial"/>
          <w:sz w:val="19"/>
          <w:szCs w:val="19"/>
        </w:rPr>
      </w:pPr>
      <w:r w:rsidRPr="00C329B5">
        <w:rPr>
          <w:rStyle w:val="Refdenotaalpie"/>
          <w:rFonts w:ascii="Arial" w:hAnsi="Arial" w:cs="Arial"/>
          <w:sz w:val="19"/>
          <w:szCs w:val="19"/>
        </w:rPr>
        <w:footnoteRef/>
      </w:r>
      <w:r w:rsidRPr="00C329B5">
        <w:rPr>
          <w:rFonts w:ascii="Arial" w:hAnsi="Arial" w:cs="Arial"/>
          <w:sz w:val="19"/>
          <w:szCs w:val="19"/>
        </w:rPr>
        <w:t xml:space="preserve"> </w:t>
      </w:r>
      <w:r w:rsidRPr="00C329B5">
        <w:rPr>
          <w:rFonts w:ascii="Arial" w:hAnsi="Arial" w:cs="Arial"/>
          <w:bCs/>
          <w:color w:val="000000"/>
          <w:sz w:val="19"/>
          <w:szCs w:val="19"/>
          <w:shd w:val="clear" w:color="auto" w:fill="FFFFFF"/>
        </w:rPr>
        <w:t>Por la cual se dicta el Estatuto Básico de la Administración Municipal y se ordena la participación de la comunidad en el manejo de los asuntos locales.</w:t>
      </w:r>
    </w:p>
  </w:footnote>
  <w:footnote w:id="8">
    <w:p w14:paraId="1A1E8CF6" w14:textId="26958A1B" w:rsidR="003238A6" w:rsidRPr="00C329B5" w:rsidRDefault="003238A6" w:rsidP="00C372D3">
      <w:pPr>
        <w:pStyle w:val="Textonotapie"/>
        <w:rPr>
          <w:rFonts w:cs="Arial"/>
          <w:sz w:val="19"/>
          <w:szCs w:val="19"/>
        </w:rPr>
      </w:pPr>
      <w:r w:rsidRPr="00C329B5">
        <w:rPr>
          <w:rStyle w:val="Refdenotaalpie"/>
          <w:rFonts w:cs="Arial"/>
          <w:sz w:val="19"/>
          <w:szCs w:val="19"/>
        </w:rPr>
        <w:footnoteRef/>
      </w:r>
      <w:r w:rsidRPr="00C329B5">
        <w:rPr>
          <w:rFonts w:cs="Arial"/>
          <w:sz w:val="19"/>
          <w:szCs w:val="19"/>
        </w:rPr>
        <w:t xml:space="preserve"> Archivo ‘</w:t>
      </w:r>
      <w:proofErr w:type="spellStart"/>
      <w:r w:rsidRPr="00C329B5">
        <w:rPr>
          <w:rFonts w:cs="Arial"/>
          <w:sz w:val="19"/>
          <w:szCs w:val="19"/>
        </w:rPr>
        <w:t>6_150012333000202100262001autoadmite20210408174451</w:t>
      </w:r>
      <w:proofErr w:type="spellEnd"/>
      <w:r w:rsidRPr="00C329B5">
        <w:rPr>
          <w:rFonts w:cs="Arial"/>
          <w:sz w:val="19"/>
          <w:szCs w:val="19"/>
        </w:rPr>
        <w:t>’.</w:t>
      </w:r>
    </w:p>
  </w:footnote>
  <w:footnote w:id="9">
    <w:p w14:paraId="1E63ACD5" w14:textId="77777777" w:rsidR="008A71AC" w:rsidRPr="00C329B5" w:rsidRDefault="008A71AC"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bCs/>
          <w:i/>
          <w:iCs/>
          <w:sz w:val="19"/>
          <w:szCs w:val="19"/>
        </w:rPr>
        <w:t xml:space="preserve">“(…) Según constante jurisprudencia, el examen que realiza la Corte de las disposiciones objetadas por el Presidente de la República, ante la insistencia del Congreso, por infringir la Constitución Política, </w:t>
      </w:r>
      <w:r w:rsidRPr="00C329B5">
        <w:rPr>
          <w:rFonts w:cs="Arial"/>
          <w:b/>
          <w:bCs/>
          <w:i/>
          <w:iCs/>
          <w:sz w:val="19"/>
          <w:szCs w:val="19"/>
        </w:rPr>
        <w:t>se restringe a las normas controvertidas, a los cargos formulados por el objetante y los argumentos esgrimidos por el Congreso para justificar su insistencia</w:t>
      </w:r>
      <w:r w:rsidRPr="00C329B5">
        <w:rPr>
          <w:rFonts w:cs="Arial"/>
          <w:bCs/>
          <w:i/>
          <w:iCs/>
          <w:sz w:val="19"/>
          <w:szCs w:val="19"/>
        </w:rPr>
        <w:t xml:space="preserve">, aspectos que son los que limitan el alcance la cosa juzgada constitucional (…)” </w:t>
      </w:r>
      <w:r w:rsidRPr="00C329B5">
        <w:rPr>
          <w:rFonts w:cs="Arial"/>
          <w:bCs/>
          <w:sz w:val="19"/>
          <w:szCs w:val="19"/>
        </w:rPr>
        <w:t>(Resaltado fuera de texto).</w:t>
      </w:r>
    </w:p>
  </w:footnote>
  <w:footnote w:id="10">
    <w:p w14:paraId="70EA24AB" w14:textId="77777777" w:rsidR="008A71AC" w:rsidRPr="00C329B5" w:rsidRDefault="008A71AC"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bCs/>
          <w:i/>
          <w:iCs/>
          <w:color w:val="000000"/>
          <w:sz w:val="19"/>
          <w:szCs w:val="19"/>
        </w:rPr>
        <w:t xml:space="preserve">“(…) Considera la Corte que cuando, en ejercicio del control previo de constitucionalidad, ella revisa un determinado proyecto de ley objetado por el Presidente de la República, el examen que efectúa hace tránsito a cosa juzgada constitucional. No obstante, como las objeciones presidenciales no siempre recaen sobre la totalidad de las normas integrantes del proyecto y, si son de carácter formal, señalan apenas unos específicos motivos de violación de la Carta, </w:t>
      </w:r>
      <w:r w:rsidRPr="00C329B5">
        <w:rPr>
          <w:rFonts w:cs="Arial"/>
          <w:b/>
          <w:bCs/>
          <w:i/>
          <w:iCs/>
          <w:color w:val="000000"/>
          <w:sz w:val="19"/>
          <w:szCs w:val="19"/>
        </w:rPr>
        <w:t>los efectos de la cosa juzgada deben entenderse relacionados tan sólo con las razones expuestas por el Gobierno al objetar</w:t>
      </w:r>
      <w:r w:rsidRPr="00C329B5">
        <w:rPr>
          <w:rFonts w:cs="Arial"/>
          <w:bCs/>
          <w:i/>
          <w:iCs/>
          <w:color w:val="000000"/>
          <w:sz w:val="19"/>
          <w:szCs w:val="19"/>
        </w:rPr>
        <w:t xml:space="preserve">, </w:t>
      </w:r>
      <w:r w:rsidRPr="00C329B5">
        <w:rPr>
          <w:rFonts w:cs="Arial"/>
          <w:b/>
          <w:bCs/>
          <w:i/>
          <w:iCs/>
          <w:color w:val="000000"/>
          <w:sz w:val="19"/>
          <w:szCs w:val="19"/>
        </w:rPr>
        <w:t>con los preceptos constitucionales respecto de los cuales se ha hecho la confrontación y con los aspectos que han sido materia del análisis explícito efectuado por la Corte.</w:t>
      </w:r>
      <w:r w:rsidRPr="00C329B5">
        <w:rPr>
          <w:rFonts w:cs="Arial"/>
          <w:bCs/>
          <w:i/>
          <w:iCs/>
          <w:color w:val="000000"/>
          <w:sz w:val="19"/>
          <w:szCs w:val="19"/>
        </w:rPr>
        <w:t xml:space="preserve"> </w:t>
      </w:r>
      <w:r w:rsidRPr="00C329B5">
        <w:rPr>
          <w:rFonts w:cs="Arial"/>
          <w:b/>
          <w:bCs/>
          <w:i/>
          <w:iCs/>
          <w:color w:val="000000"/>
          <w:sz w:val="19"/>
          <w:szCs w:val="19"/>
        </w:rPr>
        <w:t>Por tanto, la cosa juzgada es en tales casos relativa</w:t>
      </w:r>
      <w:r w:rsidRPr="00C329B5">
        <w:rPr>
          <w:rFonts w:cs="Arial"/>
          <w:bCs/>
          <w:i/>
          <w:iCs/>
          <w:color w:val="000000"/>
          <w:sz w:val="19"/>
          <w:szCs w:val="19"/>
        </w:rPr>
        <w:t>, pues la exequibilidad que se declara no proviene normalmente de un análisis total, que agote las referencias a la integridad de los preceptos constitucionales y que verse sobre todos los posibles motivos de inconstitucionalidad, formales y materiales, del proyecto sometido a su estudio”</w:t>
      </w:r>
      <w:r w:rsidRPr="00C329B5">
        <w:rPr>
          <w:rFonts w:cs="Arial"/>
          <w:bCs/>
          <w:color w:val="000000"/>
          <w:sz w:val="19"/>
          <w:szCs w:val="19"/>
        </w:rPr>
        <w:t xml:space="preserve"> (Resaltado fuera de texto).</w:t>
      </w:r>
    </w:p>
  </w:footnote>
  <w:footnote w:id="11">
    <w:p w14:paraId="79C76053" w14:textId="395B3E48" w:rsidR="0050560C" w:rsidRPr="00C329B5" w:rsidRDefault="0050560C"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FF. 30-33 archivo ‘</w:t>
      </w:r>
      <w:proofErr w:type="spellStart"/>
      <w:r w:rsidRPr="00C329B5">
        <w:rPr>
          <w:rFonts w:cs="Arial"/>
          <w:sz w:val="19"/>
          <w:szCs w:val="19"/>
          <w:lang w:val="es-CO"/>
        </w:rPr>
        <w:t>16_150012333000202100262002recepcioncorre20210519225518</w:t>
      </w:r>
      <w:proofErr w:type="spellEnd"/>
      <w:r w:rsidRPr="00C329B5">
        <w:rPr>
          <w:rFonts w:cs="Arial"/>
          <w:sz w:val="19"/>
          <w:szCs w:val="19"/>
          <w:lang w:val="es-CO"/>
        </w:rPr>
        <w:t>’.</w:t>
      </w:r>
    </w:p>
  </w:footnote>
  <w:footnote w:id="12">
    <w:p w14:paraId="6FE1BBFA" w14:textId="77777777" w:rsidR="00825738" w:rsidRPr="00C329B5" w:rsidRDefault="00825738"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FF. 34-37 archivo ‘</w:t>
      </w:r>
      <w:proofErr w:type="spellStart"/>
      <w:r w:rsidRPr="00C329B5">
        <w:rPr>
          <w:rFonts w:cs="Arial"/>
          <w:sz w:val="19"/>
          <w:szCs w:val="19"/>
          <w:lang w:val="es-CO"/>
        </w:rPr>
        <w:t>16_150012333000202100262002recepcioncorre20210519225518</w:t>
      </w:r>
      <w:proofErr w:type="spellEnd"/>
      <w:r w:rsidRPr="00C329B5">
        <w:rPr>
          <w:rFonts w:cs="Arial"/>
          <w:sz w:val="19"/>
          <w:szCs w:val="19"/>
          <w:lang w:val="es-CO"/>
        </w:rPr>
        <w:t>’.</w:t>
      </w:r>
    </w:p>
  </w:footnote>
  <w:footnote w:id="13">
    <w:p w14:paraId="03888D44" w14:textId="529910CD" w:rsidR="00770EE1" w:rsidRPr="00C329B5" w:rsidRDefault="00770EE1"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Es decir, desde el 19 de febrero de 2020, según consta a F. 60 del archivo ‘</w:t>
      </w:r>
      <w:proofErr w:type="spellStart"/>
      <w:r w:rsidRPr="00C329B5">
        <w:rPr>
          <w:rFonts w:cs="Arial"/>
          <w:sz w:val="19"/>
          <w:szCs w:val="19"/>
          <w:lang w:val="es-CO"/>
        </w:rPr>
        <w:t>16_150012333000202100262002recepcioncorre20210519225518</w:t>
      </w:r>
      <w:proofErr w:type="spellEnd"/>
      <w:r w:rsidRPr="00C329B5">
        <w:rPr>
          <w:rFonts w:cs="Arial"/>
          <w:sz w:val="19"/>
          <w:szCs w:val="19"/>
          <w:lang w:val="es-CO"/>
        </w:rPr>
        <w:t xml:space="preserve">’. </w:t>
      </w:r>
    </w:p>
  </w:footnote>
  <w:footnote w:id="14">
    <w:p w14:paraId="64E2043C" w14:textId="738AA8F2" w:rsidR="00E73471" w:rsidRPr="00C329B5" w:rsidRDefault="00E73471" w:rsidP="00C372D3">
      <w:pPr>
        <w:pStyle w:val="Textonotapie"/>
        <w:rPr>
          <w:rFonts w:cs="Arial"/>
          <w:i/>
          <w:iCs/>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F. 36 </w:t>
      </w:r>
      <w:r w:rsidRPr="00C329B5">
        <w:rPr>
          <w:rFonts w:cs="Arial"/>
          <w:i/>
          <w:iCs/>
          <w:sz w:val="19"/>
          <w:szCs w:val="19"/>
          <w:lang w:val="es-CO"/>
        </w:rPr>
        <w:t>ibid.</w:t>
      </w:r>
    </w:p>
  </w:footnote>
  <w:footnote w:id="15">
    <w:p w14:paraId="7F8562D8" w14:textId="126FF3BC" w:rsidR="00AE2FAC" w:rsidRPr="00C329B5" w:rsidRDefault="00AE2FAC" w:rsidP="00C372D3">
      <w:pPr>
        <w:pStyle w:val="Textonotapie"/>
        <w:rPr>
          <w:rFonts w:cs="Arial"/>
          <w:sz w:val="19"/>
          <w:szCs w:val="19"/>
        </w:rPr>
      </w:pPr>
      <w:r w:rsidRPr="00C329B5">
        <w:rPr>
          <w:rStyle w:val="Refdenotaalpie"/>
          <w:rFonts w:cs="Arial"/>
          <w:sz w:val="19"/>
          <w:szCs w:val="19"/>
        </w:rPr>
        <w:footnoteRef/>
      </w:r>
      <w:r w:rsidRPr="00C329B5">
        <w:rPr>
          <w:rFonts w:cs="Arial"/>
          <w:sz w:val="19"/>
          <w:szCs w:val="19"/>
        </w:rPr>
        <w:t xml:space="preserve"> F. 64 </w:t>
      </w:r>
      <w:r w:rsidRPr="00C329B5">
        <w:rPr>
          <w:rFonts w:cs="Arial"/>
          <w:sz w:val="19"/>
          <w:szCs w:val="19"/>
          <w:lang w:val="es-CO"/>
        </w:rPr>
        <w:t>archivo ‘</w:t>
      </w:r>
      <w:proofErr w:type="spellStart"/>
      <w:r w:rsidRPr="00C329B5">
        <w:rPr>
          <w:rFonts w:cs="Arial"/>
          <w:sz w:val="19"/>
          <w:szCs w:val="19"/>
          <w:lang w:val="es-CO"/>
        </w:rPr>
        <w:t>16_150012333000202100262002recepcioncorre20210519225518</w:t>
      </w:r>
      <w:proofErr w:type="spellEnd"/>
      <w:r w:rsidRPr="00C329B5">
        <w:rPr>
          <w:rFonts w:cs="Arial"/>
          <w:sz w:val="19"/>
          <w:szCs w:val="19"/>
          <w:lang w:val="es-CO"/>
        </w:rPr>
        <w:t>’.</w:t>
      </w:r>
    </w:p>
  </w:footnote>
  <w:footnote w:id="16">
    <w:p w14:paraId="2104F470" w14:textId="4F6C4EF0" w:rsidR="00A15F7E" w:rsidRPr="00C329B5" w:rsidRDefault="00A15F7E"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FF. 9-13 archivo ‘3_150012333000202100262001expedientedigidemanday20210325155221’.</w:t>
      </w:r>
    </w:p>
  </w:footnote>
  <w:footnote w:id="17">
    <w:p w14:paraId="4229DB3A" w14:textId="6C7ACDF7" w:rsidR="001D101E" w:rsidRPr="00C329B5" w:rsidRDefault="001D101E" w:rsidP="00C372D3">
      <w:pPr>
        <w:pStyle w:val="Textonotapie"/>
        <w:rPr>
          <w:rFonts w:cs="Arial"/>
          <w:i/>
          <w:iCs/>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FF. 11-12 </w:t>
      </w:r>
      <w:r w:rsidRPr="00C329B5">
        <w:rPr>
          <w:rFonts w:cs="Arial"/>
          <w:i/>
          <w:iCs/>
          <w:sz w:val="19"/>
          <w:szCs w:val="19"/>
          <w:lang w:val="es-CO"/>
        </w:rPr>
        <w:t>ibid.</w:t>
      </w:r>
    </w:p>
  </w:footnote>
  <w:footnote w:id="18">
    <w:p w14:paraId="64F091D4" w14:textId="7FC53E59" w:rsidR="000C0515" w:rsidRPr="00C329B5" w:rsidRDefault="000C0515" w:rsidP="00C372D3">
      <w:pPr>
        <w:pStyle w:val="Textonotapie"/>
        <w:rPr>
          <w:rFonts w:cs="Arial"/>
          <w:i/>
          <w:iCs/>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FF. 12-13 </w:t>
      </w:r>
      <w:r w:rsidRPr="00C329B5">
        <w:rPr>
          <w:rFonts w:cs="Arial"/>
          <w:i/>
          <w:iCs/>
          <w:sz w:val="19"/>
          <w:szCs w:val="19"/>
          <w:lang w:val="es-CO"/>
        </w:rPr>
        <w:t xml:space="preserve">ibid. </w:t>
      </w:r>
    </w:p>
  </w:footnote>
  <w:footnote w:id="19">
    <w:p w14:paraId="3C33AF6D" w14:textId="6AB01454" w:rsidR="00ED251A" w:rsidRPr="00C329B5" w:rsidRDefault="00ED251A"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F. 19 archivo ‘archivo ‘3_150012333000202100262001expedientedigidemanday20210325155221’.</w:t>
      </w:r>
    </w:p>
  </w:footnote>
  <w:footnote w:id="20">
    <w:p w14:paraId="1D0294A6" w14:textId="0248F842" w:rsidR="001236C7" w:rsidRPr="00C329B5" w:rsidRDefault="001236C7" w:rsidP="00C372D3">
      <w:pPr>
        <w:pStyle w:val="Textonotapie"/>
        <w:rPr>
          <w:rFonts w:cs="Arial"/>
          <w:i/>
          <w:iCs/>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F. 21 </w:t>
      </w:r>
      <w:r w:rsidRPr="00C329B5">
        <w:rPr>
          <w:rFonts w:cs="Arial"/>
          <w:i/>
          <w:iCs/>
          <w:sz w:val="19"/>
          <w:szCs w:val="19"/>
          <w:lang w:val="es-CO"/>
        </w:rPr>
        <w:t>ibid.</w:t>
      </w:r>
    </w:p>
  </w:footnote>
  <w:footnote w:id="21">
    <w:p w14:paraId="7AE09AA7" w14:textId="272B4C67" w:rsidR="005C11B9" w:rsidRPr="00C329B5" w:rsidRDefault="005C11B9" w:rsidP="00C372D3">
      <w:pPr>
        <w:pStyle w:val="Textonotapie"/>
        <w:rPr>
          <w:rFonts w:cs="Arial"/>
          <w:i/>
          <w:iCs/>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F. 23 </w:t>
      </w:r>
      <w:r w:rsidRPr="00C329B5">
        <w:rPr>
          <w:rFonts w:cs="Arial"/>
          <w:i/>
          <w:iCs/>
          <w:sz w:val="19"/>
          <w:szCs w:val="19"/>
          <w:lang w:val="es-CO"/>
        </w:rPr>
        <w:t>ibid.</w:t>
      </w:r>
    </w:p>
  </w:footnote>
  <w:footnote w:id="22">
    <w:p w14:paraId="67259549" w14:textId="456ABE58" w:rsidR="0076089C" w:rsidRPr="00C329B5" w:rsidRDefault="0076089C"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Archivo ‘</w:t>
      </w:r>
      <w:proofErr w:type="spellStart"/>
      <w:r w:rsidRPr="00C329B5">
        <w:rPr>
          <w:rFonts w:cs="Arial"/>
          <w:sz w:val="19"/>
          <w:szCs w:val="19"/>
          <w:lang w:val="es-CO"/>
        </w:rPr>
        <w:t>19_150012333000202100262002recepcioncorre20210526141807</w:t>
      </w:r>
      <w:proofErr w:type="spellEnd"/>
      <w:r w:rsidRPr="00C329B5">
        <w:rPr>
          <w:rFonts w:cs="Arial"/>
          <w:sz w:val="19"/>
          <w:szCs w:val="19"/>
          <w:lang w:val="es-CO"/>
        </w:rPr>
        <w:t>’.</w:t>
      </w:r>
    </w:p>
  </w:footnote>
  <w:footnote w:id="23">
    <w:p w14:paraId="2DD0A2B9" w14:textId="4A34A7D7" w:rsidR="00356049" w:rsidRPr="00C329B5" w:rsidRDefault="00356049"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Archivo ‘</w:t>
      </w:r>
      <w:proofErr w:type="spellStart"/>
      <w:r w:rsidRPr="00C329B5">
        <w:rPr>
          <w:rFonts w:cs="Arial"/>
          <w:sz w:val="19"/>
          <w:szCs w:val="19"/>
          <w:lang w:val="es-CO"/>
        </w:rPr>
        <w:t>20_150012333000202100262003recepcioncorre20210526141807</w:t>
      </w:r>
      <w:proofErr w:type="spellEnd"/>
      <w:r w:rsidRPr="00C329B5">
        <w:rPr>
          <w:rFonts w:cs="Arial"/>
          <w:sz w:val="19"/>
          <w:szCs w:val="19"/>
          <w:lang w:val="es-CO"/>
        </w:rPr>
        <w:t>’.</w:t>
      </w:r>
    </w:p>
  </w:footnote>
  <w:footnote w:id="24">
    <w:p w14:paraId="4A1DB694" w14:textId="77777777" w:rsidR="00F91ACA" w:rsidRPr="00C329B5" w:rsidRDefault="00F91ACA"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FF. 16-18 archivo ‘9_150012333000202100262002recepcioncorrecontestaci20210501112850’.</w:t>
      </w:r>
    </w:p>
  </w:footnote>
  <w:footnote w:id="25">
    <w:p w14:paraId="183B2171" w14:textId="25FB45A8" w:rsidR="00300A05" w:rsidRPr="00C329B5" w:rsidRDefault="00300A05"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Lo anterior, ya que se reanudaron los efectos de un acto administrativo que ya había expirado, contraviniéndose el numeral 5° del artículo 91 del CPACA. Ello, en criterio del ente demandante, desconoció ―también― lo normado por los artículos 150 ―numeral 10°―, 313 ―numeral 3°― y 315 ―numeral 3°― de la Constitución Política, en concordancia con lo previsto por el artículo 2.1.2.2.1.3 del Decreto 149 de 2020. </w:t>
      </w:r>
    </w:p>
  </w:footnote>
  <w:footnote w:id="26">
    <w:p w14:paraId="45252989" w14:textId="73953EDF" w:rsidR="00370277" w:rsidRPr="00C329B5" w:rsidRDefault="00370277"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De acuerdo con el DRAE</w:t>
      </w:r>
      <w:r w:rsidR="000000F9" w:rsidRPr="00C329B5">
        <w:rPr>
          <w:rFonts w:cs="Arial"/>
          <w:sz w:val="19"/>
          <w:szCs w:val="19"/>
          <w:lang w:val="es-CO"/>
        </w:rPr>
        <w:t xml:space="preserve">, </w:t>
      </w:r>
      <w:r w:rsidRPr="00C329B5">
        <w:rPr>
          <w:rFonts w:cs="Arial"/>
          <w:sz w:val="19"/>
          <w:szCs w:val="19"/>
          <w:lang w:val="es-CO"/>
        </w:rPr>
        <w:t>la ‘enajenación</w:t>
      </w:r>
      <w:r w:rsidR="000000F9" w:rsidRPr="00C329B5">
        <w:rPr>
          <w:rFonts w:cs="Arial"/>
          <w:sz w:val="19"/>
          <w:szCs w:val="19"/>
          <w:lang w:val="es-CO"/>
        </w:rPr>
        <w:t>’</w:t>
      </w:r>
      <w:r w:rsidRPr="00C329B5">
        <w:rPr>
          <w:rFonts w:cs="Arial"/>
          <w:sz w:val="19"/>
          <w:szCs w:val="19"/>
          <w:lang w:val="es-CO"/>
        </w:rPr>
        <w:t xml:space="preserve"> es la “acción y efecto de enajenar”.</w:t>
      </w:r>
      <w:r w:rsidR="000000F9" w:rsidRPr="00C329B5">
        <w:rPr>
          <w:rFonts w:cs="Arial"/>
          <w:sz w:val="19"/>
          <w:szCs w:val="19"/>
          <w:lang w:val="es-CO"/>
        </w:rPr>
        <w:t xml:space="preserve"> Por su parte ‘enajenar’ es “ceder la propiedad de algo u otros derechos”.</w:t>
      </w:r>
    </w:p>
  </w:footnote>
  <w:footnote w:id="27">
    <w:p w14:paraId="7707748E" w14:textId="29FF9C75" w:rsidR="0090704E" w:rsidRPr="00C329B5" w:rsidRDefault="0090704E"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“PARÁGRAFO </w:t>
      </w:r>
      <w:proofErr w:type="spellStart"/>
      <w:r w:rsidRPr="00C329B5">
        <w:rPr>
          <w:rFonts w:cs="Arial"/>
          <w:sz w:val="19"/>
          <w:szCs w:val="19"/>
        </w:rPr>
        <w:t>4o</w:t>
      </w:r>
      <w:proofErr w:type="spellEnd"/>
      <w:r w:rsidRPr="00C329B5">
        <w:rPr>
          <w:rFonts w:cs="Arial"/>
          <w:sz w:val="19"/>
          <w:szCs w:val="19"/>
        </w:rPr>
        <w:t>. De conformidad con el numeral 30 del artículo 313 de la Constitución Política, el Concejo Municipal o Distrital deberá decidir sobre la autorización al alcalde para contratar en los siguientes casos: (…) 3. Enajenación y compraventa de bienes inmuebles”.</w:t>
      </w:r>
    </w:p>
  </w:footnote>
  <w:footnote w:id="28">
    <w:p w14:paraId="044406F2" w14:textId="7756A4E2" w:rsidR="00765AB5" w:rsidRPr="00C329B5" w:rsidRDefault="00765AB5"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“ARTÍCULO 76. COMPETENCIAS DEL MUNICIPIO EN OTROS SECTORES. Además de las establecidas en la Constitución y en otras disposiciones, corresponde a los Municipios, directa o indirectamente, con recursos propios, del Sistema General de Participaciones u otros recursos, promover, financiar o cofinanciar proyectos de interés municipal y en especial ejercer las siguientes competencias: (…) 76.2. En materia de vivienda (…) 76.2.2. </w:t>
      </w:r>
      <w:r w:rsidRPr="00C329B5">
        <w:rPr>
          <w:rFonts w:cs="Arial"/>
          <w:sz w:val="19"/>
          <w:szCs w:val="19"/>
          <w:u w:val="single"/>
        </w:rPr>
        <w:t>Promover y apoyar programas o proyectos de vivienda de interés social, otorgando subsidios para dicho objeto</w:t>
      </w:r>
      <w:r w:rsidRPr="00C329B5">
        <w:rPr>
          <w:rFonts w:cs="Arial"/>
          <w:sz w:val="19"/>
          <w:szCs w:val="19"/>
        </w:rPr>
        <w:t>, de conformidad con los criterios de focalización nacionales, si existe disponibilidad de recursos para ello”.</w:t>
      </w:r>
    </w:p>
  </w:footnote>
  <w:footnote w:id="29">
    <w:p w14:paraId="4F309346" w14:textId="313FDA36" w:rsidR="00C570F5" w:rsidRPr="00C329B5" w:rsidRDefault="00C570F5"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“Artículo 1º. Los subsidios para vivienda de interés social que los municipios decidan otorgar en desarrollo de lo dispuesto en el numeral 4º del artículo 2º de la Ley 60 de 1993, en forma complementaria a la Ley 3 de 1991, podrán ser en dinero o en especie, según lo determinen las autoridades municipales competentes. // </w:t>
      </w:r>
      <w:r w:rsidRPr="00C329B5">
        <w:rPr>
          <w:rFonts w:cs="Arial"/>
          <w:sz w:val="19"/>
          <w:szCs w:val="19"/>
          <w:u w:val="single"/>
          <w:lang w:val="es-CO"/>
        </w:rPr>
        <w:t xml:space="preserve">Los subsidios en especie podrán consistir en terrenos fiscales enajenables de propiedad de las entidades públicas municipales, cuando así lo haya </w:t>
      </w:r>
      <w:r w:rsidRPr="00C329B5">
        <w:rPr>
          <w:rFonts w:cs="Arial"/>
          <w:b/>
          <w:bCs/>
          <w:sz w:val="19"/>
          <w:szCs w:val="19"/>
          <w:u w:val="single"/>
          <w:lang w:val="es-CO"/>
        </w:rPr>
        <w:t>autorizado</w:t>
      </w:r>
      <w:r w:rsidRPr="00C329B5">
        <w:rPr>
          <w:rFonts w:cs="Arial"/>
          <w:sz w:val="19"/>
          <w:szCs w:val="19"/>
          <w:u w:val="single"/>
          <w:lang w:val="es-CO"/>
        </w:rPr>
        <w:t xml:space="preserve"> el respectivo Concejo municipal</w:t>
      </w:r>
      <w:r w:rsidRPr="00C329B5">
        <w:rPr>
          <w:rFonts w:cs="Arial"/>
          <w:sz w:val="19"/>
          <w:szCs w:val="19"/>
          <w:lang w:val="es-CO"/>
        </w:rPr>
        <w:t>, de conformidad con el artículo 92, numeral 7º, del Decreto 1333 de 1986, siempre y cuando dichos terrenos hayan sido ocupados antes del 15 de enero de 1991, fecha en que entró en vigencia la Ley 3 de 1991</w:t>
      </w:r>
      <w:r w:rsidR="00BF558D" w:rsidRPr="00C329B5">
        <w:rPr>
          <w:rFonts w:cs="Arial"/>
          <w:sz w:val="19"/>
          <w:szCs w:val="19"/>
          <w:lang w:val="es-CO"/>
        </w:rPr>
        <w:t>”.</w:t>
      </w:r>
    </w:p>
  </w:footnote>
  <w:footnote w:id="30">
    <w:p w14:paraId="7BC399BA" w14:textId="7B193454" w:rsidR="00917AC0" w:rsidRPr="00C329B5" w:rsidRDefault="00917AC0"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“Artículo 32. Atribuciones. Además de las funciones que se le señalan en la Constitución y la ley, son atribuciones de los concejos las siguientes. (…) PARÁGRAFO </w:t>
      </w:r>
      <w:proofErr w:type="spellStart"/>
      <w:r w:rsidRPr="00C329B5">
        <w:rPr>
          <w:rFonts w:cs="Arial"/>
          <w:sz w:val="19"/>
          <w:szCs w:val="19"/>
          <w:lang w:val="es-CO"/>
        </w:rPr>
        <w:t>2o</w:t>
      </w:r>
      <w:proofErr w:type="spellEnd"/>
      <w:r w:rsidRPr="00C329B5">
        <w:rPr>
          <w:rFonts w:cs="Arial"/>
          <w:sz w:val="19"/>
          <w:szCs w:val="19"/>
          <w:lang w:val="es-CO"/>
        </w:rPr>
        <w:t>. Aquellas funciones normativas del municipio para las cuales no se haya señalado si la competencia corresponde a los alcaldes o los concejos, se entenderá asignada a estas corporaciones, siempre y cuando no contraríe la Constitución y la ley”.</w:t>
      </w:r>
    </w:p>
  </w:footnote>
  <w:footnote w:id="31">
    <w:p w14:paraId="00859E53" w14:textId="16EA7DF8" w:rsidR="002D6A2B" w:rsidRPr="00C329B5" w:rsidRDefault="002D6A2B" w:rsidP="00C372D3">
      <w:pPr>
        <w:pStyle w:val="Textonotapie"/>
        <w:rPr>
          <w:rFonts w:cs="Arial"/>
          <w:sz w:val="19"/>
          <w:szCs w:val="19"/>
        </w:rPr>
      </w:pPr>
      <w:r w:rsidRPr="00C329B5">
        <w:rPr>
          <w:rStyle w:val="Refdenotaalpie"/>
          <w:rFonts w:cs="Arial"/>
          <w:sz w:val="19"/>
          <w:szCs w:val="19"/>
        </w:rPr>
        <w:footnoteRef/>
      </w:r>
      <w:r w:rsidRPr="00C329B5">
        <w:rPr>
          <w:rFonts w:cs="Arial"/>
          <w:sz w:val="19"/>
          <w:szCs w:val="19"/>
        </w:rPr>
        <w:t xml:space="preserve"> “ARTICULO 94. La administración de los intereses del municipio está a cargo </w:t>
      </w:r>
      <w:r w:rsidRPr="00C329B5">
        <w:rPr>
          <w:rFonts w:cs="Arial"/>
          <w:sz w:val="19"/>
          <w:szCs w:val="19"/>
          <w:u w:val="single"/>
        </w:rPr>
        <w:t>del Concejo</w:t>
      </w:r>
      <w:r w:rsidRPr="00C329B5">
        <w:rPr>
          <w:rFonts w:cs="Arial"/>
          <w:sz w:val="19"/>
          <w:szCs w:val="19"/>
        </w:rPr>
        <w:t>”.</w:t>
      </w:r>
    </w:p>
  </w:footnote>
  <w:footnote w:id="32">
    <w:p w14:paraId="7633DF75" w14:textId="028878B9" w:rsidR="00E31D25" w:rsidRPr="00C329B5" w:rsidRDefault="00E31D25"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Sobre el punto, la Sala anota que ―en efecto― </w:t>
      </w:r>
      <w:r w:rsidR="009F145D" w:rsidRPr="00C329B5">
        <w:rPr>
          <w:rFonts w:cs="Arial"/>
          <w:sz w:val="19"/>
          <w:szCs w:val="19"/>
          <w:lang w:val="es-CO"/>
        </w:rPr>
        <w:t xml:space="preserve">los </w:t>
      </w:r>
      <w:r w:rsidRPr="00C329B5">
        <w:rPr>
          <w:rFonts w:cs="Arial"/>
          <w:sz w:val="19"/>
          <w:szCs w:val="19"/>
          <w:lang w:val="es-CO"/>
        </w:rPr>
        <w:t>numeral</w:t>
      </w:r>
      <w:r w:rsidR="009F145D" w:rsidRPr="00C329B5">
        <w:rPr>
          <w:rFonts w:cs="Arial"/>
          <w:sz w:val="19"/>
          <w:szCs w:val="19"/>
          <w:lang w:val="es-CO"/>
        </w:rPr>
        <w:t>es</w:t>
      </w:r>
      <w:r w:rsidRPr="00C329B5">
        <w:rPr>
          <w:rFonts w:cs="Arial"/>
          <w:sz w:val="19"/>
          <w:szCs w:val="19"/>
          <w:lang w:val="es-CO"/>
        </w:rPr>
        <w:t xml:space="preserve"> 1° </w:t>
      </w:r>
      <w:r w:rsidR="009F145D" w:rsidRPr="00C329B5">
        <w:rPr>
          <w:rFonts w:cs="Arial"/>
          <w:sz w:val="19"/>
          <w:szCs w:val="19"/>
          <w:lang w:val="es-CO"/>
        </w:rPr>
        <w:t xml:space="preserve">y 5° </w:t>
      </w:r>
      <w:r w:rsidRPr="00C329B5">
        <w:rPr>
          <w:rFonts w:cs="Arial"/>
          <w:sz w:val="19"/>
          <w:szCs w:val="19"/>
          <w:lang w:val="es-CO"/>
        </w:rPr>
        <w:t xml:space="preserve">del literal d) del artículo 91 de la Ley 136 de 1994 </w:t>
      </w:r>
      <w:r w:rsidR="009F145D" w:rsidRPr="00C329B5">
        <w:rPr>
          <w:rFonts w:cs="Arial"/>
          <w:sz w:val="19"/>
          <w:szCs w:val="19"/>
          <w:lang w:val="es-CO"/>
        </w:rPr>
        <w:t>prescribieron</w:t>
      </w:r>
      <w:r w:rsidRPr="00C329B5">
        <w:rPr>
          <w:rFonts w:cs="Arial"/>
          <w:sz w:val="19"/>
          <w:szCs w:val="19"/>
          <w:lang w:val="es-CO"/>
        </w:rPr>
        <w:t xml:space="preserve">: “Artículo 91. Funciones. Los alcaldes ejercerán las funciones que les asigna la Constitución, la ley, las ordenanzas, los acuerdos y las que le fueren delegadas por el Presidente de la República o gobernador respectivo. Además de las funciones anteriores, los alcaldes tendrán las siguientes: (…) </w:t>
      </w:r>
      <w:r w:rsidR="009F145D" w:rsidRPr="00C329B5">
        <w:rPr>
          <w:rFonts w:cs="Arial"/>
          <w:sz w:val="19"/>
          <w:szCs w:val="19"/>
          <w:lang w:val="es-CO"/>
        </w:rPr>
        <w:t>d) En relación con la Administración Municipal: 1. Dirigir la acción administrativa del municipio; asegurar el cumplimiento de las funciones y de la prestación de los servicios a su cargo; (…) 5. Ordenar los gastos y celebrar los contratos y convenios municipales de acuerdo con el plan de desarrollo económico, social y con el presupuesto, observando las normas jurídicas aplicables”.</w:t>
      </w:r>
    </w:p>
  </w:footnote>
  <w:footnote w:id="33">
    <w:p w14:paraId="193A5FAD" w14:textId="7ED4BA3B" w:rsidR="002B25B0" w:rsidRPr="00C329B5" w:rsidRDefault="002B25B0"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Tribunal Administrativo de Boyacá. Sala de decisión No. 5. Sentencia de 11 de marzo de 2020. M.P. Oscar Alfonso Granados Naranjo (</w:t>
      </w:r>
      <w:proofErr w:type="spellStart"/>
      <w:r w:rsidRPr="00C329B5">
        <w:rPr>
          <w:rFonts w:cs="Arial"/>
          <w:sz w:val="19"/>
          <w:szCs w:val="19"/>
          <w:lang w:val="es-CO"/>
        </w:rPr>
        <w:t>QEPD</w:t>
      </w:r>
      <w:proofErr w:type="spellEnd"/>
      <w:r w:rsidRPr="00C329B5">
        <w:rPr>
          <w:rFonts w:cs="Arial"/>
          <w:sz w:val="19"/>
          <w:szCs w:val="19"/>
          <w:lang w:val="es-CO"/>
        </w:rPr>
        <w:t>). Radicación No. 15001-23-33-000-2020-00038-00.</w:t>
      </w:r>
    </w:p>
  </w:footnote>
  <w:footnote w:id="34">
    <w:p w14:paraId="301F86E2" w14:textId="34B274F7" w:rsidR="00263C31" w:rsidRPr="00C329B5" w:rsidRDefault="00263C31"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Tribunal Administrativo de Boyacá. Sala de decisión No. 5. Sentencia de 26 de febrero de 2020. M.P. Oscar Alfonso Granados Naranjo (</w:t>
      </w:r>
      <w:proofErr w:type="spellStart"/>
      <w:r w:rsidRPr="00C329B5">
        <w:rPr>
          <w:rFonts w:cs="Arial"/>
          <w:sz w:val="19"/>
          <w:szCs w:val="19"/>
          <w:lang w:val="es-CO"/>
        </w:rPr>
        <w:t>QEPD</w:t>
      </w:r>
      <w:proofErr w:type="spellEnd"/>
      <w:r w:rsidRPr="00C329B5">
        <w:rPr>
          <w:rFonts w:cs="Arial"/>
          <w:sz w:val="19"/>
          <w:szCs w:val="19"/>
          <w:lang w:val="es-CO"/>
        </w:rPr>
        <w:t>). Radicación No. 15001-23-33-000-2019-00663-00.</w:t>
      </w:r>
    </w:p>
  </w:footnote>
  <w:footnote w:id="35">
    <w:p w14:paraId="7C82BDAE" w14:textId="05B2A8EF" w:rsidR="00E50C1A" w:rsidRPr="00C329B5" w:rsidRDefault="00E50C1A"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Consejo de Estado. Nulidad. Sección Primera. Sentencia de 30 de abril de 2003. Rad. </w:t>
      </w:r>
      <w:proofErr w:type="spellStart"/>
      <w:r w:rsidRPr="00C329B5">
        <w:rPr>
          <w:rFonts w:cs="Arial"/>
          <w:sz w:val="19"/>
          <w:szCs w:val="19"/>
        </w:rPr>
        <w:t>Núm.:1999</w:t>
      </w:r>
      <w:proofErr w:type="spellEnd"/>
      <w:r w:rsidRPr="00C329B5">
        <w:rPr>
          <w:rFonts w:cs="Arial"/>
          <w:sz w:val="19"/>
          <w:szCs w:val="19"/>
        </w:rPr>
        <w:t xml:space="preserve"> 1561 (7765) Consejero Ponente: MANUEL S. URUETA </w:t>
      </w:r>
      <w:proofErr w:type="spellStart"/>
      <w:r w:rsidRPr="00C329B5">
        <w:rPr>
          <w:rFonts w:cs="Arial"/>
          <w:sz w:val="19"/>
          <w:szCs w:val="19"/>
        </w:rPr>
        <w:t>AYOLA</w:t>
      </w:r>
      <w:proofErr w:type="spellEnd"/>
      <w:r w:rsidRPr="00C329B5">
        <w:rPr>
          <w:rFonts w:cs="Arial"/>
          <w:sz w:val="19"/>
          <w:szCs w:val="19"/>
        </w:rPr>
        <w:t>. Actor: Julián Osorio Cárdenas</w:t>
      </w:r>
    </w:p>
  </w:footnote>
  <w:footnote w:id="36">
    <w:p w14:paraId="38686A64" w14:textId="1ECB85E9" w:rsidR="00645E86" w:rsidRPr="00C329B5" w:rsidRDefault="00645E86"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Tribunal Administrativo de Boyacá. Sala de decisión No. 3. Sentencia de 11 de febrero de 2021. M.P. José Ascensión Fernández Osorio. Radicación No. 150012333000-2020-02215-00.</w:t>
      </w:r>
    </w:p>
  </w:footnote>
  <w:footnote w:id="37">
    <w:p w14:paraId="0B024C09" w14:textId="662B6B1B" w:rsidR="004E25AA" w:rsidRPr="00C329B5" w:rsidRDefault="004E25AA"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00A433E5" w:rsidRPr="00C329B5">
        <w:rPr>
          <w:rFonts w:cs="Arial"/>
          <w:sz w:val="19"/>
          <w:szCs w:val="19"/>
        </w:rPr>
        <w:t xml:space="preserve">Ver: 1). </w:t>
      </w:r>
      <w:r w:rsidR="00A433E5" w:rsidRPr="00C329B5">
        <w:rPr>
          <w:rFonts w:cs="Arial"/>
          <w:sz w:val="19"/>
          <w:szCs w:val="19"/>
          <w:lang w:val="es-CO"/>
        </w:rPr>
        <w:t>Tribunal Administrativo de Boyacá. Sala de decisión No. 5. Sentencia de 27 de febrero de 2019. M.P. Oscar Alfonso Granados Naranjo (</w:t>
      </w:r>
      <w:proofErr w:type="spellStart"/>
      <w:r w:rsidR="00A433E5" w:rsidRPr="00C329B5">
        <w:rPr>
          <w:rFonts w:cs="Arial"/>
          <w:sz w:val="19"/>
          <w:szCs w:val="19"/>
          <w:lang w:val="es-CO"/>
        </w:rPr>
        <w:t>QEPD</w:t>
      </w:r>
      <w:proofErr w:type="spellEnd"/>
      <w:r w:rsidR="00A433E5" w:rsidRPr="00C329B5">
        <w:rPr>
          <w:rFonts w:cs="Arial"/>
          <w:sz w:val="19"/>
          <w:szCs w:val="19"/>
          <w:lang w:val="es-CO"/>
        </w:rPr>
        <w:t xml:space="preserve">). Radicación No. 15001-23-33-000-2018-00723-00. 2). Tribunal Administrativo de Boyacá. Sala de decisión No. 4. Sentencia de 30 de julio de 2014. M.P. </w:t>
      </w:r>
      <w:r w:rsidR="00600B29" w:rsidRPr="00C329B5">
        <w:rPr>
          <w:rFonts w:cs="Arial"/>
          <w:sz w:val="19"/>
          <w:szCs w:val="19"/>
          <w:lang w:val="es-CO"/>
        </w:rPr>
        <w:t xml:space="preserve">Javier </w:t>
      </w:r>
      <w:proofErr w:type="spellStart"/>
      <w:r w:rsidR="00600B29" w:rsidRPr="00C329B5">
        <w:rPr>
          <w:rFonts w:cs="Arial"/>
          <w:sz w:val="19"/>
          <w:szCs w:val="19"/>
          <w:lang w:val="es-CO"/>
        </w:rPr>
        <w:t>Ortíz</w:t>
      </w:r>
      <w:proofErr w:type="spellEnd"/>
      <w:r w:rsidR="00600B29" w:rsidRPr="00C329B5">
        <w:rPr>
          <w:rFonts w:cs="Arial"/>
          <w:sz w:val="19"/>
          <w:szCs w:val="19"/>
          <w:lang w:val="es-CO"/>
        </w:rPr>
        <w:t xml:space="preserve"> del Valle</w:t>
      </w:r>
      <w:r w:rsidR="00A433E5" w:rsidRPr="00C329B5">
        <w:rPr>
          <w:rFonts w:cs="Arial"/>
          <w:sz w:val="19"/>
          <w:szCs w:val="19"/>
          <w:lang w:val="es-CO"/>
        </w:rPr>
        <w:t>. Radicación No. 15001-23-33-000-201</w:t>
      </w:r>
      <w:r w:rsidR="00600B29" w:rsidRPr="00C329B5">
        <w:rPr>
          <w:rFonts w:cs="Arial"/>
          <w:sz w:val="19"/>
          <w:szCs w:val="19"/>
          <w:lang w:val="es-CO"/>
        </w:rPr>
        <w:t>4</w:t>
      </w:r>
      <w:r w:rsidR="00A433E5" w:rsidRPr="00C329B5">
        <w:rPr>
          <w:rFonts w:cs="Arial"/>
          <w:sz w:val="19"/>
          <w:szCs w:val="19"/>
          <w:lang w:val="es-CO"/>
        </w:rPr>
        <w:t>-00</w:t>
      </w:r>
      <w:r w:rsidR="00600B29" w:rsidRPr="00C329B5">
        <w:rPr>
          <w:rFonts w:cs="Arial"/>
          <w:sz w:val="19"/>
          <w:szCs w:val="19"/>
          <w:lang w:val="es-CO"/>
        </w:rPr>
        <w:t>247</w:t>
      </w:r>
      <w:r w:rsidR="00A433E5" w:rsidRPr="00C329B5">
        <w:rPr>
          <w:rFonts w:cs="Arial"/>
          <w:sz w:val="19"/>
          <w:szCs w:val="19"/>
          <w:lang w:val="es-CO"/>
        </w:rPr>
        <w:t>-00.</w:t>
      </w:r>
    </w:p>
  </w:footnote>
  <w:footnote w:id="38">
    <w:p w14:paraId="5BE5C841" w14:textId="299B2C99" w:rsidR="003E3E8B" w:rsidRPr="00C329B5" w:rsidRDefault="003E3E8B"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Consejo de Estado. Sala de lo Contencioso Administrativo. Sección Primera. C.P. María Claudia Rojas Lasso. Sentencia de 12 de abril de 2012. Radicación No. 23001-23-31-000-1999-01518-01. </w:t>
      </w:r>
    </w:p>
  </w:footnote>
  <w:footnote w:id="39">
    <w:p w14:paraId="6B78E2DE" w14:textId="083243CF" w:rsidR="00D10B36" w:rsidRPr="00C329B5" w:rsidRDefault="00D10B36"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Sobre el punto, también resulta ilustrativa la sentencia de 18 de julio de 2012, donde el Consejo de Estado señaló: “</w:t>
      </w:r>
      <w:r w:rsidR="00D65E95" w:rsidRPr="00C329B5">
        <w:rPr>
          <w:rFonts w:cs="Arial"/>
          <w:sz w:val="19"/>
          <w:szCs w:val="19"/>
        </w:rPr>
        <w:t xml:space="preserve">(…) Además, debe precisar la Sala que las facultades pro tempore que las Asambleas conceden a los Gobernadores solo pueden ser otorgadas por una única vez y no pueden ser prorrogadas sucesivamente y que, vencido el término por el cual fueron concedidas sin haberse cumplido el cometido para el que fueron otorgadas, tales facultades revierten automáticamente a la Asamblea, perdiendo por el ende el Gobernador competencia sobre dichos asuntos. (…) Lo anterior claramente desconoce la norma superior citada, pues, como antes se precisó, </w:t>
      </w:r>
      <w:r w:rsidR="00D65E95" w:rsidRPr="00C329B5">
        <w:rPr>
          <w:rFonts w:cs="Arial"/>
          <w:sz w:val="19"/>
          <w:szCs w:val="19"/>
          <w:u w:val="single"/>
        </w:rPr>
        <w:t>las facultades pro tempore que las Asambleas conceden a los Gobernadores solo pueden ser otorgadas por una única vez y no pueden ser prorrogadas sucesivamente</w:t>
      </w:r>
      <w:r w:rsidR="00D65E95" w:rsidRPr="00C329B5">
        <w:rPr>
          <w:rFonts w:cs="Arial"/>
          <w:sz w:val="19"/>
          <w:szCs w:val="19"/>
        </w:rPr>
        <w:t xml:space="preserve"> y, una vez vencido el término por el cual fueron concedidas sin haberse cumplido el cometido para el que fueron otorgadas, tales facultades revierten automáticamente a la Asamblea, perdiendo por el ende el Gobernador competencia sobre dichos asuntos</w:t>
      </w:r>
      <w:r w:rsidRPr="00C329B5">
        <w:rPr>
          <w:rFonts w:cs="Arial"/>
          <w:sz w:val="19"/>
          <w:szCs w:val="19"/>
        </w:rPr>
        <w:t xml:space="preserve">”. </w:t>
      </w:r>
      <w:r w:rsidRPr="00C329B5">
        <w:rPr>
          <w:rFonts w:cs="Arial"/>
          <w:sz w:val="19"/>
          <w:szCs w:val="19"/>
          <w:lang w:val="es-CO"/>
        </w:rPr>
        <w:t xml:space="preserve">Consejo de Estado. Sala de lo Contencioso Administrativo. Sección Primera. C.P. </w:t>
      </w:r>
      <w:r w:rsidR="008F6C41" w:rsidRPr="00C329B5">
        <w:rPr>
          <w:rFonts w:cs="Arial"/>
          <w:sz w:val="19"/>
          <w:szCs w:val="19"/>
          <w:lang w:val="es-CO"/>
        </w:rPr>
        <w:t>Marco Antonio Velilla Moreno</w:t>
      </w:r>
      <w:r w:rsidRPr="00C329B5">
        <w:rPr>
          <w:rFonts w:cs="Arial"/>
          <w:sz w:val="19"/>
          <w:szCs w:val="19"/>
          <w:lang w:val="es-CO"/>
        </w:rPr>
        <w:t xml:space="preserve">. Sentencia de </w:t>
      </w:r>
      <w:r w:rsidR="008F6C41" w:rsidRPr="00C329B5">
        <w:rPr>
          <w:rFonts w:cs="Arial"/>
          <w:sz w:val="19"/>
          <w:szCs w:val="19"/>
          <w:lang w:val="es-CO"/>
        </w:rPr>
        <w:t>18 de julio de 2012</w:t>
      </w:r>
      <w:r w:rsidRPr="00C329B5">
        <w:rPr>
          <w:rFonts w:cs="Arial"/>
          <w:sz w:val="19"/>
          <w:szCs w:val="19"/>
          <w:lang w:val="es-CO"/>
        </w:rPr>
        <w:t xml:space="preserve">. Radicación No. </w:t>
      </w:r>
      <w:r w:rsidR="008F6C41" w:rsidRPr="00C329B5">
        <w:rPr>
          <w:rFonts w:cs="Arial"/>
          <w:sz w:val="19"/>
          <w:szCs w:val="19"/>
          <w:lang w:val="es-CO"/>
        </w:rPr>
        <w:t>50001-23-31-000-2005-20282-01.</w:t>
      </w:r>
    </w:p>
  </w:footnote>
  <w:footnote w:id="40">
    <w:p w14:paraId="7A8112D3" w14:textId="5D5FBB88" w:rsidR="004B2E5D" w:rsidRPr="00C329B5" w:rsidRDefault="004B2E5D"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En la sentencia de 26 de febrero de 2020, se indicó: “Para sustentar su dicho, el apoderado del Departamento de Boyacá hace</w:t>
      </w:r>
      <w:r w:rsidR="00DB1EFF" w:rsidRPr="00C329B5">
        <w:rPr>
          <w:rFonts w:cs="Arial"/>
          <w:sz w:val="19"/>
          <w:szCs w:val="19"/>
        </w:rPr>
        <w:t xml:space="preserve"> </w:t>
      </w:r>
      <w:r w:rsidRPr="00C329B5">
        <w:rPr>
          <w:rFonts w:cs="Arial"/>
          <w:sz w:val="19"/>
          <w:szCs w:val="19"/>
        </w:rPr>
        <w:t>referencia a sentencia</w:t>
      </w:r>
      <w:r w:rsidR="00DB1EFF" w:rsidRPr="00C329B5">
        <w:rPr>
          <w:rFonts w:cs="Arial"/>
          <w:sz w:val="19"/>
          <w:szCs w:val="19"/>
        </w:rPr>
        <w:t xml:space="preserve">[s] (…) </w:t>
      </w:r>
      <w:r w:rsidRPr="00C329B5">
        <w:rPr>
          <w:rFonts w:cs="Arial"/>
          <w:sz w:val="19"/>
          <w:szCs w:val="19"/>
        </w:rPr>
        <w:t>en las</w:t>
      </w:r>
      <w:r w:rsidR="00DB1EFF" w:rsidRPr="00C329B5">
        <w:rPr>
          <w:rFonts w:cs="Arial"/>
          <w:sz w:val="19"/>
          <w:szCs w:val="19"/>
        </w:rPr>
        <w:t xml:space="preserve"> </w:t>
      </w:r>
      <w:r w:rsidRPr="00C329B5">
        <w:rPr>
          <w:rFonts w:cs="Arial"/>
          <w:sz w:val="19"/>
          <w:szCs w:val="19"/>
        </w:rPr>
        <w:t>cuales se indicó que las facultades pro tempore que los Concejos otorgan a los</w:t>
      </w:r>
      <w:r w:rsidR="00DB1EFF" w:rsidRPr="00C329B5">
        <w:rPr>
          <w:rFonts w:cs="Arial"/>
          <w:sz w:val="19"/>
          <w:szCs w:val="19"/>
        </w:rPr>
        <w:t xml:space="preserve"> </w:t>
      </w:r>
      <w:r w:rsidRPr="00C329B5">
        <w:rPr>
          <w:rFonts w:cs="Arial"/>
          <w:sz w:val="19"/>
          <w:szCs w:val="19"/>
        </w:rPr>
        <w:t>alcaldes solo pueden ser otorgadas por una única vez.</w:t>
      </w:r>
      <w:r w:rsidR="00DB1EFF" w:rsidRPr="00C329B5">
        <w:rPr>
          <w:rFonts w:cs="Arial"/>
          <w:sz w:val="19"/>
          <w:szCs w:val="19"/>
        </w:rPr>
        <w:t xml:space="preserve"> // </w:t>
      </w:r>
      <w:r w:rsidRPr="00C329B5">
        <w:rPr>
          <w:rFonts w:cs="Arial"/>
          <w:sz w:val="19"/>
          <w:szCs w:val="19"/>
          <w:u w:val="single"/>
        </w:rPr>
        <w:t>Sin embargo</w:t>
      </w:r>
      <w:r w:rsidRPr="00C329B5">
        <w:rPr>
          <w:rFonts w:cs="Arial"/>
          <w:sz w:val="19"/>
          <w:szCs w:val="19"/>
        </w:rPr>
        <w:t>, tal argumentación no resulta congruente con el asunto tratado en</w:t>
      </w:r>
      <w:r w:rsidR="00DB1EFF" w:rsidRPr="00C329B5">
        <w:rPr>
          <w:rFonts w:cs="Arial"/>
          <w:sz w:val="19"/>
          <w:szCs w:val="19"/>
        </w:rPr>
        <w:t xml:space="preserve"> </w:t>
      </w:r>
      <w:r w:rsidRPr="00C329B5">
        <w:rPr>
          <w:rFonts w:cs="Arial"/>
          <w:sz w:val="19"/>
          <w:szCs w:val="19"/>
        </w:rPr>
        <w:t>el Acuerdo No. 028 del 28 de noviembre de 2019, en donde el Concejo</w:t>
      </w:r>
      <w:r w:rsidR="00DB1EFF" w:rsidRPr="00C329B5">
        <w:rPr>
          <w:rFonts w:cs="Arial"/>
          <w:sz w:val="19"/>
          <w:szCs w:val="19"/>
        </w:rPr>
        <w:t xml:space="preserve"> </w:t>
      </w:r>
      <w:r w:rsidRPr="00C329B5">
        <w:rPr>
          <w:rFonts w:cs="Arial"/>
          <w:sz w:val="19"/>
          <w:szCs w:val="19"/>
        </w:rPr>
        <w:t>Municipal de Paipa expidió autorización al alcalde para adelantar en el término</w:t>
      </w:r>
      <w:r w:rsidR="00DB1EFF" w:rsidRPr="00C329B5">
        <w:rPr>
          <w:rFonts w:cs="Arial"/>
          <w:sz w:val="19"/>
          <w:szCs w:val="19"/>
        </w:rPr>
        <w:t xml:space="preserve"> </w:t>
      </w:r>
      <w:r w:rsidRPr="00C329B5">
        <w:rPr>
          <w:rFonts w:cs="Arial"/>
          <w:sz w:val="19"/>
          <w:szCs w:val="19"/>
        </w:rPr>
        <w:t xml:space="preserve">de seis ( 6) meses la compraventa de un bien inmueble </w:t>
      </w:r>
      <w:r w:rsidR="00DB1EFF" w:rsidRPr="00C329B5">
        <w:rPr>
          <w:rFonts w:cs="Arial"/>
          <w:sz w:val="19"/>
          <w:szCs w:val="19"/>
        </w:rPr>
        <w:t>(…)</w:t>
      </w:r>
      <w:r w:rsidRPr="00C329B5">
        <w:rPr>
          <w:rFonts w:cs="Arial"/>
          <w:sz w:val="19"/>
          <w:szCs w:val="19"/>
        </w:rPr>
        <w:t>, frente a lo</w:t>
      </w:r>
      <w:r w:rsidR="00DB1EFF" w:rsidRPr="00C329B5">
        <w:rPr>
          <w:rFonts w:cs="Arial"/>
          <w:sz w:val="19"/>
          <w:szCs w:val="19"/>
        </w:rPr>
        <w:t xml:space="preserve"> </w:t>
      </w:r>
      <w:r w:rsidRPr="00C329B5">
        <w:rPr>
          <w:rFonts w:cs="Arial"/>
          <w:sz w:val="19"/>
          <w:szCs w:val="19"/>
        </w:rPr>
        <w:t>cual no cabe duda que el alcalde municipal requería la autorización del</w:t>
      </w:r>
      <w:r w:rsidR="00DB1EFF" w:rsidRPr="00C329B5">
        <w:rPr>
          <w:rFonts w:cs="Arial"/>
          <w:sz w:val="19"/>
          <w:szCs w:val="19"/>
        </w:rPr>
        <w:t xml:space="preserve"> </w:t>
      </w:r>
      <w:r w:rsidRPr="00C329B5">
        <w:rPr>
          <w:rFonts w:cs="Arial"/>
          <w:sz w:val="19"/>
          <w:szCs w:val="19"/>
        </w:rPr>
        <w:t>Concejo Municipal tal como lo exige de manera expresa el artículo 18 de la Ley</w:t>
      </w:r>
      <w:r w:rsidR="00DB1EFF" w:rsidRPr="00C329B5">
        <w:rPr>
          <w:rFonts w:cs="Arial"/>
          <w:sz w:val="19"/>
          <w:szCs w:val="19"/>
        </w:rPr>
        <w:t xml:space="preserve"> </w:t>
      </w:r>
      <w:r w:rsidRPr="00C329B5">
        <w:rPr>
          <w:rFonts w:cs="Arial"/>
          <w:sz w:val="19"/>
          <w:szCs w:val="19"/>
        </w:rPr>
        <w:t>1551 de 2012.</w:t>
      </w:r>
      <w:r w:rsidR="00DB1EFF" w:rsidRPr="00C329B5">
        <w:rPr>
          <w:rFonts w:cs="Arial"/>
          <w:sz w:val="19"/>
          <w:szCs w:val="19"/>
        </w:rPr>
        <w:t xml:space="preserve"> // </w:t>
      </w:r>
      <w:r w:rsidRPr="00C329B5">
        <w:rPr>
          <w:rFonts w:cs="Arial"/>
          <w:sz w:val="19"/>
          <w:szCs w:val="19"/>
        </w:rPr>
        <w:t>Dicho en otros términos, si bien el Alcalde tiene la competencia para la</w:t>
      </w:r>
      <w:r w:rsidR="00DB1EFF" w:rsidRPr="00C329B5">
        <w:rPr>
          <w:rFonts w:cs="Arial"/>
          <w:sz w:val="19"/>
          <w:szCs w:val="19"/>
        </w:rPr>
        <w:t xml:space="preserve"> </w:t>
      </w:r>
      <w:r w:rsidRPr="00C329B5">
        <w:rPr>
          <w:rFonts w:cs="Arial"/>
          <w:sz w:val="19"/>
          <w:szCs w:val="19"/>
        </w:rPr>
        <w:t>celebración de contratos en el orden municipal, lo cierto es que para el caso</w:t>
      </w:r>
      <w:r w:rsidR="00DB1EFF" w:rsidRPr="00C329B5">
        <w:rPr>
          <w:rFonts w:cs="Arial"/>
          <w:sz w:val="19"/>
          <w:szCs w:val="19"/>
        </w:rPr>
        <w:t xml:space="preserve"> </w:t>
      </w:r>
      <w:r w:rsidRPr="00C329B5">
        <w:rPr>
          <w:rFonts w:cs="Arial"/>
          <w:sz w:val="19"/>
          <w:szCs w:val="19"/>
        </w:rPr>
        <w:t>específico de la compraventa de un bien inmueble, por disposición expresa del</w:t>
      </w:r>
      <w:r w:rsidR="00DB1EFF" w:rsidRPr="00C329B5">
        <w:rPr>
          <w:rFonts w:cs="Arial"/>
          <w:sz w:val="19"/>
          <w:szCs w:val="19"/>
        </w:rPr>
        <w:t xml:space="preserve"> </w:t>
      </w:r>
      <w:r w:rsidRPr="00C329B5">
        <w:rPr>
          <w:rFonts w:cs="Arial"/>
          <w:sz w:val="19"/>
          <w:szCs w:val="19"/>
        </w:rPr>
        <w:t>legislador, se hace necesaria la autorización previa por parte del Concejo, lo</w:t>
      </w:r>
      <w:r w:rsidR="00DB1EFF" w:rsidRPr="00C329B5">
        <w:rPr>
          <w:rFonts w:cs="Arial"/>
          <w:sz w:val="19"/>
          <w:szCs w:val="19"/>
        </w:rPr>
        <w:t xml:space="preserve"> cual ocurrió a través del acuerdo aquí demandado, de tal manera que </w:t>
      </w:r>
      <w:r w:rsidR="00DB1EFF" w:rsidRPr="00C329B5">
        <w:rPr>
          <w:rFonts w:cs="Arial"/>
          <w:sz w:val="19"/>
          <w:szCs w:val="19"/>
          <w:u w:val="single"/>
        </w:rPr>
        <w:t>a través de éste no se está autorizando el ejercicio pro tempore de funciones propias del concejo</w:t>
      </w:r>
      <w:r w:rsidR="00DB1EFF" w:rsidRPr="00C329B5">
        <w:rPr>
          <w:rFonts w:cs="Arial"/>
          <w:sz w:val="19"/>
          <w:szCs w:val="19"/>
        </w:rPr>
        <w:t>, como parece confundirlo la parte demandante</w:t>
      </w:r>
      <w:r w:rsidR="009C403F" w:rsidRPr="00C329B5">
        <w:rPr>
          <w:rFonts w:cs="Arial"/>
          <w:sz w:val="19"/>
          <w:szCs w:val="19"/>
        </w:rPr>
        <w:t xml:space="preserve">”. </w:t>
      </w:r>
      <w:r w:rsidRPr="00C329B5">
        <w:rPr>
          <w:rFonts w:cs="Arial"/>
          <w:sz w:val="19"/>
          <w:szCs w:val="19"/>
          <w:lang w:val="es-CO"/>
        </w:rPr>
        <w:t>Tribunal Administrativo de Boyacá. Sala de decisión No. 5. Sentencia de 26 de febrero de 2020. M.P. Oscar Alfonso Granados Naranjo (</w:t>
      </w:r>
      <w:proofErr w:type="spellStart"/>
      <w:r w:rsidRPr="00C329B5">
        <w:rPr>
          <w:rFonts w:cs="Arial"/>
          <w:sz w:val="19"/>
          <w:szCs w:val="19"/>
          <w:lang w:val="es-CO"/>
        </w:rPr>
        <w:t>QEPD</w:t>
      </w:r>
      <w:proofErr w:type="spellEnd"/>
      <w:r w:rsidRPr="00C329B5">
        <w:rPr>
          <w:rFonts w:cs="Arial"/>
          <w:sz w:val="19"/>
          <w:szCs w:val="19"/>
          <w:lang w:val="es-CO"/>
        </w:rPr>
        <w:t>). Radicación No. 15001-23-33-000-2019-00663-00</w:t>
      </w:r>
      <w:r w:rsidR="009C403F" w:rsidRPr="00C329B5">
        <w:rPr>
          <w:rFonts w:cs="Arial"/>
          <w:sz w:val="19"/>
          <w:szCs w:val="19"/>
          <w:lang w:val="es-CO"/>
        </w:rPr>
        <w:t>.</w:t>
      </w:r>
    </w:p>
  </w:footnote>
  <w:footnote w:id="41">
    <w:p w14:paraId="07CA28CD" w14:textId="2D3258F5" w:rsidR="003E53A8" w:rsidRPr="00C329B5" w:rsidRDefault="003E53A8"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lang w:val="es-CO"/>
        </w:rPr>
        <w:t xml:space="preserve"> En éstos casos,</w:t>
      </w:r>
      <w:r w:rsidR="002A32E1" w:rsidRPr="00C329B5">
        <w:rPr>
          <w:rFonts w:cs="Arial"/>
          <w:sz w:val="19"/>
          <w:szCs w:val="19"/>
          <w:lang w:val="es-CO"/>
        </w:rPr>
        <w:t xml:space="preserve"> sí existe un límite temporal para ejercer tales facultades autorizadas por el concejo municipal</w:t>
      </w:r>
      <w:r w:rsidR="00224522" w:rsidRPr="00C329B5">
        <w:rPr>
          <w:rFonts w:cs="Arial"/>
          <w:sz w:val="19"/>
          <w:szCs w:val="19"/>
          <w:lang w:val="es-CO"/>
        </w:rPr>
        <w:t xml:space="preserve">, </w:t>
      </w:r>
      <w:r w:rsidR="002A32E1" w:rsidRPr="00C329B5">
        <w:rPr>
          <w:rFonts w:cs="Arial"/>
          <w:sz w:val="19"/>
          <w:szCs w:val="19"/>
          <w:lang w:val="es-CO"/>
        </w:rPr>
        <w:t>el cual fue fijado ―tácitamente― por el legislador en el numeral 4° del artículo 91 del CPACA</w:t>
      </w:r>
      <w:r w:rsidR="00166256" w:rsidRPr="00C329B5">
        <w:rPr>
          <w:rFonts w:cs="Arial"/>
          <w:sz w:val="19"/>
          <w:szCs w:val="19"/>
          <w:lang w:val="es-CO"/>
        </w:rPr>
        <w:t xml:space="preserve">. En sentencia de </w:t>
      </w:r>
      <w:r w:rsidR="00224522" w:rsidRPr="00C329B5">
        <w:rPr>
          <w:rFonts w:cs="Arial"/>
          <w:sz w:val="19"/>
          <w:szCs w:val="19"/>
          <w:lang w:val="es-CO"/>
        </w:rPr>
        <w:t>11 de marzo de 2020</w:t>
      </w:r>
      <w:r w:rsidR="00166256" w:rsidRPr="00C329B5">
        <w:rPr>
          <w:rFonts w:cs="Arial"/>
          <w:sz w:val="19"/>
          <w:szCs w:val="19"/>
          <w:lang w:val="es-CO"/>
        </w:rPr>
        <w:t>, este Tribunal consideró: “</w:t>
      </w:r>
      <w:r w:rsidR="007D5BB9" w:rsidRPr="00C329B5">
        <w:rPr>
          <w:rFonts w:cs="Arial"/>
          <w:sz w:val="19"/>
          <w:szCs w:val="19"/>
          <w:lang w:val="es-CO"/>
        </w:rPr>
        <w:t>En primera medida, el Acuerdo No. 014 del 29 de noviembre de 2019, al ser un acto administrativo, le resulta aplicable el artículo 91 de la Ley 1437 de 2011</w:t>
      </w:r>
      <w:r w:rsidR="0000319C" w:rsidRPr="00C329B5">
        <w:rPr>
          <w:rFonts w:cs="Arial"/>
          <w:sz w:val="19"/>
          <w:szCs w:val="19"/>
          <w:lang w:val="es-CO"/>
        </w:rPr>
        <w:t xml:space="preserve"> </w:t>
      </w:r>
      <w:r w:rsidR="007D5BB9" w:rsidRPr="00C329B5">
        <w:rPr>
          <w:rFonts w:cs="Arial"/>
          <w:sz w:val="19"/>
          <w:szCs w:val="19"/>
          <w:lang w:val="es-CO"/>
        </w:rPr>
        <w:t>que prevé la pérdida de ejecutoria, norma que en el numeral tercero indica que</w:t>
      </w:r>
      <w:r w:rsidR="0000319C" w:rsidRPr="00C329B5">
        <w:rPr>
          <w:rFonts w:cs="Arial"/>
          <w:sz w:val="19"/>
          <w:szCs w:val="19"/>
          <w:lang w:val="es-CO"/>
        </w:rPr>
        <w:t xml:space="preserve"> </w:t>
      </w:r>
      <w:r w:rsidR="007D5BB9" w:rsidRPr="00C329B5">
        <w:rPr>
          <w:rFonts w:cs="Arial"/>
          <w:sz w:val="19"/>
          <w:szCs w:val="19"/>
          <w:lang w:val="es-CO"/>
        </w:rPr>
        <w:t>el acto administrativo no podrá ser ejecutado</w:t>
      </w:r>
      <w:r w:rsidR="0000319C" w:rsidRPr="00C329B5">
        <w:rPr>
          <w:rFonts w:cs="Arial"/>
          <w:sz w:val="19"/>
          <w:szCs w:val="19"/>
          <w:lang w:val="es-CO"/>
        </w:rPr>
        <w:t xml:space="preserve"> “</w:t>
      </w:r>
      <w:r w:rsidR="007D5BB9" w:rsidRPr="00C329B5">
        <w:rPr>
          <w:rFonts w:cs="Arial"/>
          <w:sz w:val="19"/>
          <w:szCs w:val="19"/>
          <w:lang w:val="es-CO"/>
        </w:rPr>
        <w:t>cuando al cabo de cinco (5) años de</w:t>
      </w:r>
      <w:r w:rsidR="0000319C" w:rsidRPr="00C329B5">
        <w:rPr>
          <w:rFonts w:cs="Arial"/>
          <w:sz w:val="19"/>
          <w:szCs w:val="19"/>
          <w:lang w:val="es-CO"/>
        </w:rPr>
        <w:t xml:space="preserve"> </w:t>
      </w:r>
      <w:r w:rsidR="007D5BB9" w:rsidRPr="00C329B5">
        <w:rPr>
          <w:rFonts w:cs="Arial"/>
          <w:sz w:val="19"/>
          <w:szCs w:val="19"/>
          <w:lang w:val="es-CO"/>
        </w:rPr>
        <w:t>estar en firme</w:t>
      </w:r>
      <w:r w:rsidR="0000319C" w:rsidRPr="00C329B5">
        <w:rPr>
          <w:rFonts w:cs="Arial"/>
          <w:sz w:val="19"/>
          <w:szCs w:val="19"/>
          <w:lang w:val="es-CO"/>
        </w:rPr>
        <w:t xml:space="preserve">, </w:t>
      </w:r>
      <w:r w:rsidR="007D5BB9" w:rsidRPr="00C329B5">
        <w:rPr>
          <w:rFonts w:cs="Arial"/>
          <w:sz w:val="19"/>
          <w:szCs w:val="19"/>
          <w:lang w:val="es-CO"/>
        </w:rPr>
        <w:t>la autoridad no ha realizado los actos que le correspondan para ejecutarlos</w:t>
      </w:r>
      <w:r w:rsidR="0000319C" w:rsidRPr="00C329B5">
        <w:rPr>
          <w:rFonts w:cs="Arial"/>
          <w:sz w:val="19"/>
          <w:szCs w:val="19"/>
          <w:lang w:val="es-CO"/>
        </w:rPr>
        <w:t xml:space="preserve">”, </w:t>
      </w:r>
      <w:r w:rsidR="007D5BB9" w:rsidRPr="00C329B5">
        <w:rPr>
          <w:rFonts w:cs="Arial"/>
          <w:sz w:val="19"/>
          <w:szCs w:val="19"/>
          <w:lang w:val="es-CO"/>
        </w:rPr>
        <w:t>de tal manera que en aplicación de dicha norma, el Alcalde tendría máximo 5</w:t>
      </w:r>
      <w:r w:rsidR="0000319C" w:rsidRPr="00C329B5">
        <w:rPr>
          <w:rFonts w:cs="Arial"/>
          <w:sz w:val="19"/>
          <w:szCs w:val="19"/>
          <w:lang w:val="es-CO"/>
        </w:rPr>
        <w:t xml:space="preserve"> </w:t>
      </w:r>
      <w:r w:rsidR="007D5BB9" w:rsidRPr="00C329B5">
        <w:rPr>
          <w:rFonts w:cs="Arial"/>
          <w:sz w:val="19"/>
          <w:szCs w:val="19"/>
          <w:lang w:val="es-CO"/>
        </w:rPr>
        <w:t>años a efectos de materializar la compraventa del bien inmueble indicado en el</w:t>
      </w:r>
      <w:r w:rsidR="0000319C" w:rsidRPr="00C329B5">
        <w:rPr>
          <w:rFonts w:cs="Arial"/>
          <w:sz w:val="19"/>
          <w:szCs w:val="19"/>
          <w:lang w:val="es-CO"/>
        </w:rPr>
        <w:t xml:space="preserve"> </w:t>
      </w:r>
      <w:r w:rsidR="007D5BB9" w:rsidRPr="00C329B5">
        <w:rPr>
          <w:rFonts w:cs="Arial"/>
          <w:sz w:val="19"/>
          <w:szCs w:val="19"/>
          <w:lang w:val="es-CO"/>
        </w:rPr>
        <w:t>acuerdo aquí estudiado</w:t>
      </w:r>
      <w:r w:rsidR="0000319C" w:rsidRPr="00C329B5">
        <w:rPr>
          <w:rFonts w:cs="Arial"/>
          <w:sz w:val="19"/>
          <w:szCs w:val="19"/>
          <w:lang w:val="es-CO"/>
        </w:rPr>
        <w:t>”</w:t>
      </w:r>
      <w:r w:rsidR="007D5BB9" w:rsidRPr="00C329B5">
        <w:rPr>
          <w:rFonts w:cs="Arial"/>
          <w:sz w:val="19"/>
          <w:szCs w:val="19"/>
          <w:lang w:val="es-CO"/>
        </w:rPr>
        <w:t>.</w:t>
      </w:r>
      <w:r w:rsidR="00C141DD" w:rsidRPr="00C329B5">
        <w:rPr>
          <w:rFonts w:cs="Arial"/>
          <w:sz w:val="19"/>
          <w:szCs w:val="19"/>
          <w:lang w:val="es-CO"/>
        </w:rPr>
        <w:t xml:space="preserve"> Tribunal Administrativo de Boyacá. Sala de decisión No. 5. Sentencia de 11 de marzo de 2020. M.P. Oscar Alfonso Granados Naranjo (</w:t>
      </w:r>
      <w:proofErr w:type="spellStart"/>
      <w:r w:rsidR="00C141DD" w:rsidRPr="00C329B5">
        <w:rPr>
          <w:rFonts w:cs="Arial"/>
          <w:sz w:val="19"/>
          <w:szCs w:val="19"/>
          <w:lang w:val="es-CO"/>
        </w:rPr>
        <w:t>QEPD</w:t>
      </w:r>
      <w:proofErr w:type="spellEnd"/>
      <w:r w:rsidR="00C141DD" w:rsidRPr="00C329B5">
        <w:rPr>
          <w:rFonts w:cs="Arial"/>
          <w:sz w:val="19"/>
          <w:szCs w:val="19"/>
          <w:lang w:val="es-CO"/>
        </w:rPr>
        <w:t>). Radicación No. 15001-23-33-000-2020-00038-00.</w:t>
      </w:r>
      <w:r w:rsidRPr="00C329B5">
        <w:rPr>
          <w:rFonts w:cs="Arial"/>
          <w:sz w:val="19"/>
          <w:szCs w:val="19"/>
          <w:lang w:val="es-CO"/>
        </w:rPr>
        <w:t xml:space="preserve"> </w:t>
      </w:r>
    </w:p>
  </w:footnote>
  <w:footnote w:id="42">
    <w:p w14:paraId="51DAF84F" w14:textId="77777777" w:rsidR="00FB277A" w:rsidRPr="00C329B5" w:rsidRDefault="00FB277A" w:rsidP="00C372D3">
      <w:pPr>
        <w:pStyle w:val="Textonotapie"/>
        <w:rPr>
          <w:rFonts w:cs="Arial"/>
          <w:sz w:val="19"/>
          <w:szCs w:val="19"/>
        </w:rPr>
      </w:pPr>
      <w:r w:rsidRPr="00C329B5">
        <w:rPr>
          <w:rStyle w:val="Refdenotaalpie"/>
          <w:rFonts w:cs="Arial"/>
          <w:sz w:val="19"/>
          <w:szCs w:val="19"/>
        </w:rPr>
        <w:footnoteRef/>
      </w:r>
      <w:r w:rsidRPr="00C329B5">
        <w:rPr>
          <w:rFonts w:cs="Arial"/>
          <w:sz w:val="19"/>
          <w:szCs w:val="19"/>
          <w:lang w:val="es-CO"/>
        </w:rPr>
        <w:t xml:space="preserve"> </w:t>
      </w:r>
      <w:proofErr w:type="spellStart"/>
      <w:r w:rsidRPr="00C329B5">
        <w:rPr>
          <w:rFonts w:cs="Arial"/>
          <w:sz w:val="19"/>
          <w:szCs w:val="19"/>
          <w:lang w:val="es-CO"/>
        </w:rPr>
        <w:t>TAB</w:t>
      </w:r>
      <w:proofErr w:type="spellEnd"/>
      <w:r w:rsidRPr="00C329B5">
        <w:rPr>
          <w:rFonts w:cs="Arial"/>
          <w:sz w:val="19"/>
          <w:szCs w:val="19"/>
          <w:lang w:val="es-CO"/>
        </w:rPr>
        <w:t xml:space="preserve">, </w:t>
      </w:r>
      <w:proofErr w:type="spellStart"/>
      <w:r w:rsidRPr="00C329B5">
        <w:rPr>
          <w:rFonts w:cs="Arial"/>
          <w:sz w:val="19"/>
          <w:szCs w:val="19"/>
          <w:lang w:val="es-CO"/>
        </w:rPr>
        <w:t>Sent</w:t>
      </w:r>
      <w:proofErr w:type="spellEnd"/>
      <w:r w:rsidRPr="00C329B5">
        <w:rPr>
          <w:rFonts w:cs="Arial"/>
          <w:sz w:val="19"/>
          <w:szCs w:val="19"/>
          <w:lang w:val="es-CO"/>
        </w:rPr>
        <w:t xml:space="preserve">. 2018-00179, jul. 11/2018. </w:t>
      </w:r>
      <w:r w:rsidRPr="00C329B5">
        <w:rPr>
          <w:rFonts w:cs="Arial"/>
          <w:sz w:val="19"/>
          <w:szCs w:val="19"/>
        </w:rPr>
        <w:t xml:space="preserve">M.P. Luis Ernesto Arciniegas Triana. En el mismo sentido, también ver: </w:t>
      </w:r>
      <w:proofErr w:type="spellStart"/>
      <w:r w:rsidRPr="00C329B5">
        <w:rPr>
          <w:rFonts w:cs="Arial"/>
          <w:sz w:val="19"/>
          <w:szCs w:val="19"/>
        </w:rPr>
        <w:t>TAB</w:t>
      </w:r>
      <w:proofErr w:type="spellEnd"/>
      <w:r w:rsidRPr="00C329B5">
        <w:rPr>
          <w:rFonts w:cs="Arial"/>
          <w:sz w:val="19"/>
          <w:szCs w:val="19"/>
        </w:rPr>
        <w:t xml:space="preserve">, </w:t>
      </w:r>
      <w:proofErr w:type="spellStart"/>
      <w:r w:rsidRPr="00C329B5">
        <w:rPr>
          <w:rFonts w:cs="Arial"/>
          <w:sz w:val="19"/>
          <w:szCs w:val="19"/>
        </w:rPr>
        <w:t>Sent</w:t>
      </w:r>
      <w:proofErr w:type="spellEnd"/>
      <w:r w:rsidRPr="00C329B5">
        <w:rPr>
          <w:rFonts w:cs="Arial"/>
          <w:sz w:val="19"/>
          <w:szCs w:val="19"/>
        </w:rPr>
        <w:t>. 2017-00493, feb. 7/2018. M.P. Luis Ernesto Arciniegas Triana.</w:t>
      </w:r>
    </w:p>
  </w:footnote>
  <w:footnote w:id="43">
    <w:p w14:paraId="601B32A3" w14:textId="591BF478" w:rsidR="00B523C0" w:rsidRPr="00C329B5" w:rsidRDefault="00B523C0"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Tribunal Administrativo de Boyacá. Sala de decisión No. 4. M.P. Martha Isabel Piñeros Rivera. Sentencia de 25 de mayo de 2021. Radicación No. 15001-23-33-000-2020-02266-00</w:t>
      </w:r>
    </w:p>
  </w:footnote>
  <w:footnote w:id="44">
    <w:p w14:paraId="7F8AE8A3" w14:textId="2886ADEE" w:rsidR="00DE50EA" w:rsidRPr="00C329B5" w:rsidRDefault="00DE50EA" w:rsidP="00C372D3">
      <w:pPr>
        <w:pStyle w:val="Textonotapie"/>
        <w:rPr>
          <w:rFonts w:cs="Arial"/>
          <w:sz w:val="19"/>
          <w:szCs w:val="19"/>
        </w:rPr>
      </w:pPr>
      <w:r w:rsidRPr="00C329B5">
        <w:rPr>
          <w:rStyle w:val="Refdenotaalpie"/>
          <w:rFonts w:cs="Arial"/>
          <w:sz w:val="19"/>
          <w:szCs w:val="19"/>
        </w:rPr>
        <w:footnoteRef/>
      </w:r>
      <w:r w:rsidRPr="00C329B5">
        <w:rPr>
          <w:rFonts w:cs="Arial"/>
          <w:sz w:val="19"/>
          <w:szCs w:val="19"/>
        </w:rPr>
        <w:t xml:space="preserve"> Este pronunciamiento se enmarca en la línea establecida por los siguientes fallos: 1). </w:t>
      </w:r>
      <w:r w:rsidRPr="00C329B5">
        <w:rPr>
          <w:rFonts w:cs="Arial"/>
          <w:sz w:val="19"/>
          <w:szCs w:val="19"/>
          <w:lang w:val="es-CO"/>
        </w:rPr>
        <w:t xml:space="preserve">Tribunal Administrativo de Boyacá. Sala de decisión No. </w:t>
      </w:r>
      <w:r w:rsidR="004205D0" w:rsidRPr="00C329B5">
        <w:rPr>
          <w:rFonts w:cs="Arial"/>
          <w:sz w:val="19"/>
          <w:szCs w:val="19"/>
          <w:lang w:val="es-CO"/>
        </w:rPr>
        <w:t>2</w:t>
      </w:r>
      <w:r w:rsidRPr="00C329B5">
        <w:rPr>
          <w:rFonts w:cs="Arial"/>
          <w:sz w:val="19"/>
          <w:szCs w:val="19"/>
          <w:lang w:val="es-CO"/>
        </w:rPr>
        <w:t xml:space="preserve">. M.P. </w:t>
      </w:r>
      <w:r w:rsidR="004205D0" w:rsidRPr="00C329B5">
        <w:rPr>
          <w:rFonts w:cs="Arial"/>
          <w:sz w:val="19"/>
          <w:szCs w:val="19"/>
          <w:lang w:val="es-CO"/>
        </w:rPr>
        <w:t>Luís Ernesto Arciniegas Triana</w:t>
      </w:r>
      <w:r w:rsidRPr="00C329B5">
        <w:rPr>
          <w:rFonts w:cs="Arial"/>
          <w:sz w:val="19"/>
          <w:szCs w:val="19"/>
          <w:lang w:val="es-CO"/>
        </w:rPr>
        <w:t xml:space="preserve">. Sentencia de </w:t>
      </w:r>
      <w:r w:rsidR="004205D0" w:rsidRPr="00C329B5">
        <w:rPr>
          <w:rFonts w:cs="Arial"/>
          <w:sz w:val="19"/>
          <w:szCs w:val="19"/>
          <w:lang w:val="es-CO"/>
        </w:rPr>
        <w:t xml:space="preserve">17 </w:t>
      </w:r>
      <w:r w:rsidRPr="00C329B5">
        <w:rPr>
          <w:rFonts w:cs="Arial"/>
          <w:sz w:val="19"/>
          <w:szCs w:val="19"/>
          <w:lang w:val="es-CO"/>
        </w:rPr>
        <w:t xml:space="preserve">de </w:t>
      </w:r>
      <w:r w:rsidR="004205D0" w:rsidRPr="00C329B5">
        <w:rPr>
          <w:rFonts w:cs="Arial"/>
          <w:sz w:val="19"/>
          <w:szCs w:val="19"/>
          <w:lang w:val="es-CO"/>
        </w:rPr>
        <w:t xml:space="preserve">abril </w:t>
      </w:r>
      <w:r w:rsidRPr="00C329B5">
        <w:rPr>
          <w:rFonts w:cs="Arial"/>
          <w:sz w:val="19"/>
          <w:szCs w:val="19"/>
          <w:lang w:val="es-CO"/>
        </w:rPr>
        <w:t xml:space="preserve">de </w:t>
      </w:r>
      <w:r w:rsidR="004205D0" w:rsidRPr="00C329B5">
        <w:rPr>
          <w:rFonts w:cs="Arial"/>
          <w:sz w:val="19"/>
          <w:szCs w:val="19"/>
          <w:lang w:val="es-CO"/>
        </w:rPr>
        <w:t>2017</w:t>
      </w:r>
      <w:r w:rsidRPr="00C329B5">
        <w:rPr>
          <w:rFonts w:cs="Arial"/>
          <w:sz w:val="19"/>
          <w:szCs w:val="19"/>
          <w:lang w:val="es-CO"/>
        </w:rPr>
        <w:t>. Radicación No. 15001-23-33-000-20</w:t>
      </w:r>
      <w:r w:rsidR="004205D0" w:rsidRPr="00C329B5">
        <w:rPr>
          <w:rFonts w:cs="Arial"/>
          <w:sz w:val="19"/>
          <w:szCs w:val="19"/>
          <w:lang w:val="es-CO"/>
        </w:rPr>
        <w:t>17</w:t>
      </w:r>
      <w:r w:rsidRPr="00C329B5">
        <w:rPr>
          <w:rFonts w:cs="Arial"/>
          <w:sz w:val="19"/>
          <w:szCs w:val="19"/>
          <w:lang w:val="es-CO"/>
        </w:rPr>
        <w:t>-</w:t>
      </w:r>
      <w:r w:rsidR="004205D0" w:rsidRPr="00C329B5">
        <w:rPr>
          <w:rFonts w:cs="Arial"/>
          <w:sz w:val="19"/>
          <w:szCs w:val="19"/>
          <w:lang w:val="es-CO"/>
        </w:rPr>
        <w:t>00062</w:t>
      </w:r>
      <w:r w:rsidRPr="00C329B5">
        <w:rPr>
          <w:rFonts w:cs="Arial"/>
          <w:sz w:val="19"/>
          <w:szCs w:val="19"/>
          <w:lang w:val="es-CO"/>
        </w:rPr>
        <w:t>-00</w:t>
      </w:r>
      <w:r w:rsidR="004205D0" w:rsidRPr="00C329B5">
        <w:rPr>
          <w:rFonts w:cs="Arial"/>
          <w:sz w:val="19"/>
          <w:szCs w:val="19"/>
          <w:lang w:val="es-CO"/>
        </w:rPr>
        <w:t xml:space="preserve">, donde se indicó: </w:t>
      </w:r>
      <w:r w:rsidR="00AD5278" w:rsidRPr="00C329B5">
        <w:rPr>
          <w:rFonts w:cs="Arial"/>
          <w:sz w:val="19"/>
          <w:szCs w:val="19"/>
          <w:lang w:val="es-CO"/>
        </w:rPr>
        <w:t>(…) se tiene que (…) los concejos municipales (…) deberán decidir sobre la autorización de los siguientes contratos: contrato de empréstito, contrat</w:t>
      </w:r>
      <w:r w:rsidR="00232FFF" w:rsidRPr="00C329B5">
        <w:rPr>
          <w:rFonts w:cs="Arial"/>
          <w:sz w:val="19"/>
          <w:szCs w:val="19"/>
          <w:lang w:val="es-CO"/>
        </w:rPr>
        <w:t>o</w:t>
      </w:r>
      <w:r w:rsidR="00AD5278" w:rsidRPr="00C329B5">
        <w:rPr>
          <w:rFonts w:cs="Arial"/>
          <w:sz w:val="19"/>
          <w:szCs w:val="19"/>
          <w:lang w:val="es-CO"/>
        </w:rPr>
        <w:t xml:space="preserve"> que comprometa vigencias futuras, contratos de enajenación y compraventa de inmuebles, </w:t>
      </w:r>
      <w:r w:rsidR="0078213F" w:rsidRPr="00C329B5">
        <w:rPr>
          <w:rFonts w:cs="Arial"/>
          <w:sz w:val="19"/>
          <w:szCs w:val="19"/>
          <w:lang w:val="es-CO"/>
        </w:rPr>
        <w:t xml:space="preserve">contratos de enajenación de activos, acciones y cuotas partes (…). Sin que ello quiera significar que los concejos municipales en la autorización para contratar otorgada al alcalde estipulen (sic) aspectos concretos que determinen </w:t>
      </w:r>
      <w:r w:rsidR="0078213F" w:rsidRPr="00C329B5">
        <w:rPr>
          <w:rFonts w:cs="Arial"/>
          <w:sz w:val="19"/>
          <w:szCs w:val="19"/>
          <w:u w:val="single"/>
          <w:lang w:val="es-CO"/>
        </w:rPr>
        <w:t>el cuándo</w:t>
      </w:r>
      <w:r w:rsidR="0078213F" w:rsidRPr="00C329B5">
        <w:rPr>
          <w:rFonts w:cs="Arial"/>
          <w:sz w:val="19"/>
          <w:szCs w:val="19"/>
          <w:lang w:val="es-CO"/>
        </w:rPr>
        <w:t>, por cuánto, cómo y con quién se realice determinado contrato (…)</w:t>
      </w:r>
      <w:r w:rsidR="00232FFF" w:rsidRPr="00C329B5">
        <w:rPr>
          <w:rFonts w:cs="Arial"/>
          <w:sz w:val="19"/>
          <w:szCs w:val="19"/>
          <w:lang w:val="es-CO"/>
        </w:rPr>
        <w:t>. Como puede apreciarse (…), si bien en los concejos municipales radican las atribuciones de autorizar al alcalde para contratar (…), ello no implica la posibilidad de reglamentar o condicionar temporalmente la función contractual del alcalde (…)</w:t>
      </w:r>
      <w:r w:rsidR="0078213F" w:rsidRPr="00C329B5">
        <w:rPr>
          <w:rFonts w:cs="Arial"/>
          <w:sz w:val="19"/>
          <w:szCs w:val="19"/>
          <w:lang w:val="es-CO"/>
        </w:rPr>
        <w:t>”.</w:t>
      </w:r>
      <w:r w:rsidR="00D12A65" w:rsidRPr="00C329B5">
        <w:rPr>
          <w:rFonts w:cs="Arial"/>
          <w:sz w:val="19"/>
          <w:szCs w:val="19"/>
          <w:lang w:val="es-CO"/>
        </w:rPr>
        <w:t xml:space="preserve"> 2).</w:t>
      </w:r>
      <w:r w:rsidR="005078CA" w:rsidRPr="00C329B5">
        <w:rPr>
          <w:rFonts w:cs="Arial"/>
          <w:sz w:val="19"/>
          <w:szCs w:val="19"/>
          <w:lang w:val="es-CO"/>
        </w:rPr>
        <w:t xml:space="preserve"> Tribunal Administrativo de Boyacá. Sala de decisión No. 2. M.P. Luís Ernesto Arciniegas Triana. Sentencia de 14 de noviembre de 2018. Radicación No. 15001-23-33-000-2018-00439-00.</w:t>
      </w:r>
      <w:r w:rsidR="00D12A65" w:rsidRPr="00C329B5">
        <w:rPr>
          <w:rFonts w:cs="Arial"/>
          <w:sz w:val="19"/>
          <w:szCs w:val="19"/>
          <w:lang w:val="es-CO"/>
        </w:rPr>
        <w:t xml:space="preserve"> </w:t>
      </w:r>
      <w:r w:rsidRPr="00C329B5">
        <w:rPr>
          <w:rFonts w:cs="Arial"/>
          <w:sz w:val="19"/>
          <w:szCs w:val="19"/>
        </w:rPr>
        <w:t xml:space="preserve"> </w:t>
      </w:r>
    </w:p>
  </w:footnote>
  <w:footnote w:id="45">
    <w:p w14:paraId="56D39B40" w14:textId="2235CB0D" w:rsidR="00E801B7" w:rsidRPr="00E801B7" w:rsidRDefault="00E801B7" w:rsidP="00E801B7">
      <w:pPr>
        <w:pStyle w:val="Textonotapie"/>
        <w:rPr>
          <w:lang w:val="es-CO"/>
        </w:rPr>
      </w:pPr>
      <w:r>
        <w:rPr>
          <w:rStyle w:val="Refdenotaalpie"/>
        </w:rPr>
        <w:footnoteRef/>
      </w:r>
      <w:r>
        <w:t xml:space="preserve"> </w:t>
      </w:r>
      <w:r w:rsidRPr="00E801B7">
        <w:rPr>
          <w:lang w:val="es-CO"/>
        </w:rPr>
        <w:t xml:space="preserve">“Artículo 1º. </w:t>
      </w:r>
      <w:r w:rsidRPr="00E801B7">
        <w:rPr>
          <w:u w:val="single"/>
          <w:lang w:val="es-CO"/>
        </w:rPr>
        <w:t>Los subsidios para vivienda de interés social que los municipios decidan otorgar</w:t>
      </w:r>
      <w:r w:rsidRPr="00E801B7">
        <w:rPr>
          <w:lang w:val="es-CO"/>
        </w:rPr>
        <w:t xml:space="preserve"> en desarrollo de lo dispuesto en el numeral 4º del artículo 2º de la Ley 60 de 1993, en forma complementaria a la Ley 3 de 1991, </w:t>
      </w:r>
      <w:r w:rsidRPr="00E801B7">
        <w:rPr>
          <w:u w:val="single"/>
          <w:lang w:val="es-CO"/>
        </w:rPr>
        <w:t>podrán ser en dinero o en especie</w:t>
      </w:r>
      <w:r w:rsidRPr="00E801B7">
        <w:rPr>
          <w:lang w:val="es-CO"/>
        </w:rPr>
        <w:t xml:space="preserve">, según lo determinen las autoridades municipales competentes. </w:t>
      </w:r>
      <w:r>
        <w:rPr>
          <w:lang w:val="es-CO"/>
        </w:rPr>
        <w:t xml:space="preserve">// </w:t>
      </w:r>
      <w:r w:rsidRPr="00E801B7">
        <w:rPr>
          <w:u w:val="single"/>
          <w:lang w:val="es-CO"/>
        </w:rPr>
        <w:t xml:space="preserve">Los subsidios en especie podrán consistir en terrenos fiscales enajenables de propiedad de las entidades públicas municipales, cuando así lo haya </w:t>
      </w:r>
      <w:r w:rsidRPr="00E801B7">
        <w:rPr>
          <w:b/>
          <w:bCs/>
          <w:u w:val="single"/>
          <w:lang w:val="es-CO"/>
        </w:rPr>
        <w:t>autorizado el respectivo Concejo municipal</w:t>
      </w:r>
      <w:r w:rsidRPr="00E801B7">
        <w:rPr>
          <w:lang w:val="es-CO"/>
        </w:rPr>
        <w:t xml:space="preserve"> (…)”.</w:t>
      </w:r>
    </w:p>
  </w:footnote>
  <w:footnote w:id="46">
    <w:p w14:paraId="0E8B8455" w14:textId="1F01DD46" w:rsidR="00091A95" w:rsidRPr="00091A95" w:rsidRDefault="00091A95" w:rsidP="00091A95">
      <w:pPr>
        <w:pStyle w:val="Textonotapie"/>
      </w:pPr>
      <w:r>
        <w:rPr>
          <w:rStyle w:val="Refdenotaalpie"/>
        </w:rPr>
        <w:footnoteRef/>
      </w:r>
      <w:r>
        <w:t xml:space="preserve"> La norma prescribe que, </w:t>
      </w:r>
      <w:r w:rsidRPr="00091A95">
        <w:t>en materia de vivienda, es competencia de los municipios el “promover y apoyar programas o proyectos de vivienda de interés social, otorgando subsidios para dicho objeto”</w:t>
      </w:r>
      <w:r>
        <w:t>.</w:t>
      </w:r>
    </w:p>
  </w:footnote>
  <w:footnote w:id="47">
    <w:p w14:paraId="07DFB8A7" w14:textId="78D052C7" w:rsidR="0096583B" w:rsidRPr="0096583B" w:rsidRDefault="0096583B">
      <w:pPr>
        <w:pStyle w:val="Textonotapie"/>
        <w:rPr>
          <w:lang w:val="es-CO"/>
        </w:rPr>
      </w:pPr>
      <w:r>
        <w:rPr>
          <w:rStyle w:val="Refdenotaalpie"/>
        </w:rPr>
        <w:footnoteRef/>
      </w:r>
      <w:r>
        <w:t xml:space="preserve"> </w:t>
      </w:r>
      <w:r w:rsidRPr="0096583B">
        <w:t xml:space="preserve"> “</w:t>
      </w:r>
      <w:r>
        <w:t>[L]</w:t>
      </w:r>
      <w:r w:rsidRPr="0096583B">
        <w:t>a administración de los intereses del municipio está a cargo del concejo”</w:t>
      </w:r>
      <w:r>
        <w:t>.</w:t>
      </w:r>
    </w:p>
  </w:footnote>
  <w:footnote w:id="48">
    <w:p w14:paraId="7A785FA4" w14:textId="77777777" w:rsidR="00544338" w:rsidRPr="00C329B5" w:rsidRDefault="00544338" w:rsidP="00544338">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“Artículo 32. Atribuciones. Además de las funciones que se le señalan en la Constitución y la ley, son atribuciones de los concejos las siguientes. (…) PARÁGRAFO </w:t>
      </w:r>
      <w:proofErr w:type="spellStart"/>
      <w:r w:rsidRPr="00C329B5">
        <w:rPr>
          <w:rFonts w:cs="Arial"/>
          <w:sz w:val="19"/>
          <w:szCs w:val="19"/>
          <w:lang w:val="es-CO"/>
        </w:rPr>
        <w:t>2o</w:t>
      </w:r>
      <w:proofErr w:type="spellEnd"/>
      <w:r w:rsidRPr="00C329B5">
        <w:rPr>
          <w:rFonts w:cs="Arial"/>
          <w:sz w:val="19"/>
          <w:szCs w:val="19"/>
          <w:lang w:val="es-CO"/>
        </w:rPr>
        <w:t xml:space="preserve">. Aquellas funciones normativas del municipio para las cuales no se haya señalado si la competencia corresponde a los alcaldes o los concejos, </w:t>
      </w:r>
      <w:r w:rsidRPr="0096583B">
        <w:rPr>
          <w:rFonts w:cs="Arial"/>
          <w:sz w:val="19"/>
          <w:szCs w:val="19"/>
          <w:u w:val="single"/>
          <w:lang w:val="es-CO"/>
        </w:rPr>
        <w:t>se entenderá asignada a estas corporaciones</w:t>
      </w:r>
      <w:r w:rsidRPr="00C329B5">
        <w:rPr>
          <w:rFonts w:cs="Arial"/>
          <w:sz w:val="19"/>
          <w:szCs w:val="19"/>
          <w:lang w:val="es-CO"/>
        </w:rPr>
        <w:t>, siempre y cuando no contraríe la Constitución y la ley”.</w:t>
      </w:r>
    </w:p>
  </w:footnote>
  <w:footnote w:id="49">
    <w:p w14:paraId="4B5C46C3" w14:textId="64393388" w:rsidR="007536F6" w:rsidRPr="00C329B5" w:rsidRDefault="007536F6"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“Artículo 91. Pérdida de ejecutoriedad del acto administrativo. Salvo norma expresa en contrario, los actos administrativos en firme serán obligatorios mientras no hayan sido anulados por la Jurisdicción de lo Contencioso Administrativo. Perderán obligatoriedad y, por lo tanto, no podrán ser ejecutados en los siguientes casos: </w:t>
      </w:r>
      <w:r w:rsidR="0098098E" w:rsidRPr="00C329B5">
        <w:rPr>
          <w:rFonts w:cs="Arial"/>
          <w:sz w:val="19"/>
          <w:szCs w:val="19"/>
          <w:lang w:val="es-CO"/>
        </w:rPr>
        <w:t>(…) 4. Cuando se cumpla la condición resolutoria a que se encuentre sometido el acto” ―en este caso, el vencimiento del plazo para el ejercicio de las facultades―</w:t>
      </w:r>
      <w:r w:rsidRPr="00C329B5">
        <w:rPr>
          <w:rFonts w:cs="Arial"/>
          <w:sz w:val="19"/>
          <w:szCs w:val="19"/>
          <w:lang w:val="es-CO"/>
        </w:rPr>
        <w:t>.</w:t>
      </w:r>
    </w:p>
  </w:footnote>
  <w:footnote w:id="50">
    <w:p w14:paraId="56D1FCED" w14:textId="663119C9" w:rsidR="005D3322" w:rsidRPr="005D3322" w:rsidRDefault="005D3322">
      <w:pPr>
        <w:pStyle w:val="Textonotapie"/>
        <w:rPr>
          <w:lang w:val="es-CO"/>
        </w:rPr>
      </w:pPr>
      <w:r>
        <w:rPr>
          <w:rStyle w:val="Refdenotaalpie"/>
        </w:rPr>
        <w:footnoteRef/>
      </w:r>
      <w:r>
        <w:t xml:space="preserve"> </w:t>
      </w:r>
      <w:r>
        <w:rPr>
          <w:lang w:val="es-CO"/>
        </w:rPr>
        <w:t>El CPACA prevé: “</w:t>
      </w:r>
      <w:r w:rsidRPr="005D3322">
        <w:rPr>
          <w:lang w:val="es-CO"/>
        </w:rPr>
        <w:t xml:space="preserve">Artículo 88. Presunción de legalidad del acto administrativo. </w:t>
      </w:r>
      <w:r w:rsidRPr="005D3322">
        <w:rPr>
          <w:u w:val="single"/>
          <w:lang w:val="es-CO"/>
        </w:rPr>
        <w:t>Los actos administrativos se presumen legales mientras no hayan sido anulados por la Jurisdicción de lo Contencioso Administrativo</w:t>
      </w:r>
      <w:r>
        <w:rPr>
          <w:lang w:val="es-CO"/>
        </w:rPr>
        <w:t xml:space="preserve"> (…)”.</w:t>
      </w:r>
    </w:p>
  </w:footnote>
  <w:footnote w:id="51">
    <w:p w14:paraId="5C3D6E82" w14:textId="77777777" w:rsidR="003F5994" w:rsidRPr="00C329B5" w:rsidRDefault="003F5994" w:rsidP="003F5994">
      <w:pPr>
        <w:pStyle w:val="Textonotapie"/>
        <w:rPr>
          <w:rFonts w:cs="Arial"/>
          <w:i/>
          <w:iCs/>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 xml:space="preserve">F. 23 </w:t>
      </w:r>
      <w:r w:rsidRPr="00C329B5">
        <w:rPr>
          <w:rFonts w:cs="Arial"/>
          <w:i/>
          <w:iCs/>
          <w:sz w:val="19"/>
          <w:szCs w:val="19"/>
          <w:lang w:val="es-CO"/>
        </w:rPr>
        <w:t>ibid.</w:t>
      </w:r>
    </w:p>
  </w:footnote>
  <w:footnote w:id="52">
    <w:p w14:paraId="44E379D4" w14:textId="3119DD98" w:rsidR="002A0DFD" w:rsidRPr="00C329B5" w:rsidRDefault="002A0DFD"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sz w:val="19"/>
          <w:szCs w:val="19"/>
          <w:lang w:val="es-CO"/>
        </w:rPr>
        <w:t>Tribunal Administrativo de Boyacá. Sala de decisión No. 6. Sentencia de 15 de agosto de 2019. M.P. Félix Alberto Rodríguez Riveros. Radicación No. 15001-23-33-000-2019-00216-00.</w:t>
      </w:r>
    </w:p>
  </w:footnote>
  <w:footnote w:id="53">
    <w:p w14:paraId="035B8C45" w14:textId="7E027F64" w:rsidR="00512690" w:rsidRPr="00512690" w:rsidRDefault="00512690" w:rsidP="00412842">
      <w:pPr>
        <w:pStyle w:val="Textonotapie"/>
      </w:pPr>
      <w:r>
        <w:rPr>
          <w:rStyle w:val="Refdenotaalpie"/>
        </w:rPr>
        <w:footnoteRef/>
      </w:r>
      <w:r>
        <w:t xml:space="preserve"> Es decir, </w:t>
      </w:r>
      <w:r w:rsidR="00412842">
        <w:t xml:space="preserve">también debe ser declarada la invalidez </w:t>
      </w:r>
      <w:r>
        <w:t>del aparte del artículo 1 que resolvió: “</w:t>
      </w:r>
      <w:r w:rsidR="00412842" w:rsidRPr="00412842">
        <w:t>Facultar al ejecutivo municipal de Tibaná para que continúe con la construcción de una urbanización para proyecto de vivienda de interés social, sobre el predio denominado Altos del Viento adquirido para tal fin por el municipio, para seleccionar un inversionista, cooperante, constructor para la conformación de la unión temporal que desarrolla el proyecto de vivienda de interés social urbano del municipio de Tibaná</w:t>
      </w:r>
      <w:r w:rsidR="00412842">
        <w:t xml:space="preserve"> (…)”.</w:t>
      </w:r>
    </w:p>
  </w:footnote>
  <w:footnote w:id="54">
    <w:p w14:paraId="6AC6B295" w14:textId="77777777" w:rsidR="00DA0FEB" w:rsidRPr="00C329B5" w:rsidRDefault="00DA0FEB" w:rsidP="00C372D3">
      <w:pPr>
        <w:pStyle w:val="Textonotapie"/>
        <w:contextualSpacing/>
        <w:rPr>
          <w:rFonts w:cs="Arial"/>
          <w:sz w:val="19"/>
          <w:szCs w:val="19"/>
          <w:lang w:val="es-CO"/>
        </w:rPr>
      </w:pPr>
      <w:r w:rsidRPr="00C329B5">
        <w:rPr>
          <w:rStyle w:val="Refdenotaalpie"/>
          <w:rFonts w:cs="Arial"/>
          <w:sz w:val="19"/>
          <w:szCs w:val="19"/>
        </w:rPr>
        <w:footnoteRef/>
      </w:r>
      <w:r w:rsidRPr="00C329B5">
        <w:rPr>
          <w:rFonts w:cs="Arial"/>
          <w:sz w:val="19"/>
          <w:szCs w:val="19"/>
        </w:rPr>
        <w:t xml:space="preserve"> La ‘unidad normativa’ no puede ser confundida con la de ‘unidad de materia’, que hace relación a la conexidad temática, sistemática, teleológica o final que debe estar presente entre todas las normas que conforman una ley, en virtud de lo dispuesto por el artículo 158 de la Constitución.</w:t>
      </w:r>
    </w:p>
  </w:footnote>
  <w:footnote w:id="55">
    <w:p w14:paraId="116AA2C0" w14:textId="5DF577E2" w:rsidR="00C102CE" w:rsidRPr="00C329B5" w:rsidRDefault="00C102CE" w:rsidP="00C372D3">
      <w:pPr>
        <w:pStyle w:val="Textonotapie"/>
        <w:rPr>
          <w:rFonts w:cs="Arial"/>
          <w:sz w:val="19"/>
          <w:szCs w:val="19"/>
          <w:lang w:val="es-CO"/>
        </w:rPr>
      </w:pPr>
      <w:r w:rsidRPr="00C329B5">
        <w:rPr>
          <w:rStyle w:val="Refdenotaalpie"/>
          <w:rFonts w:cs="Arial"/>
          <w:sz w:val="19"/>
          <w:szCs w:val="19"/>
        </w:rPr>
        <w:footnoteRef/>
      </w:r>
      <w:r w:rsidRPr="00C329B5">
        <w:rPr>
          <w:rFonts w:cs="Arial"/>
          <w:sz w:val="19"/>
          <w:szCs w:val="19"/>
        </w:rPr>
        <w:t xml:space="preserve"> En este caso, es imperativo integrar una unidad normativa con tales textos legales necesarios para el cabal entendimiento y comprensión de aquel cuyo estudio inicialmente avocó. De esta primera hipótesis se deduce que, contrario sensu, un texto legal es normativamente autónomo cuando tiene sentido regulador propio, claro, comprensible, y unívoco sin necesidad de recurrir a otras disposiciones que se lo den.</w:t>
      </w:r>
    </w:p>
  </w:footnote>
  <w:footnote w:id="56">
    <w:p w14:paraId="6AE0239E" w14:textId="0CE84DEE" w:rsidR="00990603" w:rsidRPr="00990603" w:rsidRDefault="00990603">
      <w:pPr>
        <w:pStyle w:val="Textonotapie"/>
        <w:rPr>
          <w:lang w:val="es-CO"/>
        </w:rPr>
      </w:pPr>
      <w:r>
        <w:rPr>
          <w:rStyle w:val="Refdenotaalpie"/>
        </w:rPr>
        <w:footnoteRef/>
      </w:r>
      <w:r>
        <w:t xml:space="preserve"> </w:t>
      </w:r>
      <w:r w:rsidRPr="00990603">
        <w:t>De esta segunda hipótesis se deduce que una disposición no puede considerarse autónoma frente a otra, si la reproduce de manera idéntica o prácticamente igual</w:t>
      </w:r>
      <w:r>
        <w:t>.</w:t>
      </w:r>
    </w:p>
  </w:footnote>
  <w:footnote w:id="57">
    <w:p w14:paraId="63BDEDEC" w14:textId="61207720" w:rsidR="00DA0FEB" w:rsidRPr="00C329B5" w:rsidRDefault="00DA0FEB" w:rsidP="00C372D3">
      <w:pPr>
        <w:contextualSpacing/>
        <w:jc w:val="both"/>
        <w:rPr>
          <w:rFonts w:ascii="Arial" w:hAnsi="Arial" w:cs="Arial"/>
          <w:sz w:val="19"/>
          <w:szCs w:val="19"/>
        </w:rPr>
      </w:pPr>
      <w:r w:rsidRPr="00C329B5">
        <w:rPr>
          <w:rStyle w:val="Refdenotaalpie"/>
          <w:rFonts w:ascii="Arial" w:hAnsi="Arial" w:cs="Arial"/>
          <w:sz w:val="19"/>
          <w:szCs w:val="19"/>
        </w:rPr>
        <w:footnoteRef/>
      </w:r>
      <w:r w:rsidRPr="00C329B5">
        <w:rPr>
          <w:rFonts w:ascii="Arial" w:hAnsi="Arial" w:cs="Arial"/>
          <w:sz w:val="19"/>
          <w:szCs w:val="19"/>
        </w:rPr>
        <w:t xml:space="preserve"> Sentencia C-760 de 2001. M.P Marco Gerardo Monroy Cabra. </w:t>
      </w:r>
    </w:p>
  </w:footnote>
  <w:footnote w:id="58">
    <w:p w14:paraId="085D50E0" w14:textId="6787D5C3" w:rsidR="00DA0FEB" w:rsidRPr="00C329B5" w:rsidRDefault="00DA0FEB" w:rsidP="00C372D3">
      <w:pPr>
        <w:pStyle w:val="Textonotapie"/>
        <w:contextualSpacing/>
        <w:rPr>
          <w:rFonts w:cs="Arial"/>
          <w:i/>
          <w:iCs/>
          <w:sz w:val="19"/>
          <w:szCs w:val="19"/>
          <w:lang w:val="es-CO"/>
        </w:rPr>
      </w:pPr>
      <w:r w:rsidRPr="00C329B5">
        <w:rPr>
          <w:rStyle w:val="Refdenotaalpie"/>
          <w:rFonts w:cs="Arial"/>
          <w:sz w:val="19"/>
          <w:szCs w:val="19"/>
        </w:rPr>
        <w:footnoteRef/>
      </w:r>
      <w:r w:rsidRPr="00C329B5">
        <w:rPr>
          <w:rFonts w:cs="Arial"/>
          <w:sz w:val="19"/>
          <w:szCs w:val="19"/>
        </w:rPr>
        <w:t xml:space="preserve"> </w:t>
      </w:r>
      <w:r w:rsidRPr="00C329B5">
        <w:rPr>
          <w:rFonts w:cs="Arial"/>
          <w:i/>
          <w:iCs/>
          <w:sz w:val="19"/>
          <w:szCs w:val="19"/>
          <w:lang w:val="es-CO"/>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2D0D" w14:textId="77777777" w:rsidR="00827F9B" w:rsidRDefault="00827F9B" w:rsidP="00916FE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921A2C" w14:textId="77777777" w:rsidR="00827F9B" w:rsidRDefault="00827F9B" w:rsidP="00916FE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96E" w14:textId="77777777" w:rsidR="00E7240D" w:rsidRPr="00E7240D" w:rsidRDefault="00E7240D" w:rsidP="00E7240D">
    <w:pPr>
      <w:pStyle w:val="Encabezado"/>
      <w:rPr>
        <w:rFonts w:eastAsia="Times New Roman" w:cs="Arial"/>
        <w:iCs/>
        <w:kern w:val="0"/>
        <w:sz w:val="20"/>
        <w:szCs w:val="20"/>
        <w:lang w:val="es-ES"/>
      </w:rPr>
    </w:pPr>
    <w:r w:rsidRPr="00E7240D">
      <w:rPr>
        <w:rFonts w:eastAsia="Times New Roman" w:cs="Arial"/>
        <w:iCs/>
        <w:kern w:val="0"/>
        <w:sz w:val="20"/>
        <w:szCs w:val="20"/>
        <w:lang w:val="es-ES"/>
      </w:rPr>
      <w:t>Radicación: 15001 23 33 000 2021 00262 00</w:t>
    </w:r>
  </w:p>
  <w:p w14:paraId="766EC3A5" w14:textId="77777777" w:rsidR="00E7240D" w:rsidRPr="00E7240D" w:rsidRDefault="00E7240D" w:rsidP="00E7240D">
    <w:pPr>
      <w:pStyle w:val="Encabezado"/>
      <w:rPr>
        <w:rFonts w:eastAsia="Times New Roman" w:cs="Arial"/>
        <w:iCs/>
        <w:kern w:val="0"/>
        <w:sz w:val="20"/>
        <w:szCs w:val="20"/>
        <w:lang w:val="es-ES"/>
      </w:rPr>
    </w:pPr>
    <w:r w:rsidRPr="00E7240D">
      <w:rPr>
        <w:rFonts w:eastAsia="Times New Roman" w:cs="Arial"/>
        <w:iCs/>
        <w:kern w:val="0"/>
        <w:sz w:val="20"/>
        <w:szCs w:val="20"/>
        <w:lang w:val="es-ES"/>
      </w:rPr>
      <w:t>Demandante: Departamento de Boyacá</w:t>
    </w:r>
  </w:p>
  <w:p w14:paraId="1254841C" w14:textId="77777777" w:rsidR="00E7240D" w:rsidRPr="00E7240D" w:rsidRDefault="00E7240D" w:rsidP="00E7240D">
    <w:pPr>
      <w:pStyle w:val="Encabezado"/>
      <w:rPr>
        <w:rFonts w:eastAsia="Times New Roman" w:cs="Arial"/>
        <w:iCs/>
        <w:kern w:val="0"/>
        <w:sz w:val="20"/>
        <w:szCs w:val="20"/>
        <w:lang w:val="es-ES"/>
      </w:rPr>
    </w:pPr>
    <w:r w:rsidRPr="00E7240D">
      <w:rPr>
        <w:rFonts w:eastAsia="Times New Roman" w:cs="Arial"/>
        <w:iCs/>
        <w:kern w:val="0"/>
        <w:sz w:val="20"/>
        <w:szCs w:val="20"/>
        <w:lang w:val="es-ES"/>
      </w:rPr>
      <w:t>Demandado: Municipio de Tibaná</w:t>
    </w:r>
  </w:p>
  <w:p w14:paraId="478CDFFC" w14:textId="24268212" w:rsidR="00162688" w:rsidRPr="00E7240D" w:rsidRDefault="00E7240D" w:rsidP="00E7240D">
    <w:pPr>
      <w:pStyle w:val="Encabezado"/>
    </w:pPr>
    <w:r w:rsidRPr="00E7240D">
      <w:rPr>
        <w:rFonts w:eastAsia="Times New Roman" w:cs="Arial"/>
        <w:iCs/>
        <w:kern w:val="0"/>
        <w:sz w:val="20"/>
        <w:szCs w:val="20"/>
        <w:lang w:val="es-ES"/>
      </w:rPr>
      <w:t>Medio de control: Validez de acuerdo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72B8" w14:textId="77777777" w:rsidR="00827F9B" w:rsidRDefault="00827F9B" w:rsidP="00916FE2">
    <w:pPr>
      <w:pStyle w:val="Encabezado"/>
      <w:jc w:val="center"/>
      <w:rPr>
        <w:rFonts w:ascii="Century Schoolbook" w:hAnsi="Century Schoolbook"/>
        <w:b/>
        <w:i/>
        <w:iCs/>
      </w:rPr>
    </w:pPr>
    <w:r>
      <w:rPr>
        <w:noProof/>
        <w:lang w:val="es-CO" w:eastAsia="es-CO"/>
      </w:rPr>
      <w:drawing>
        <wp:anchor distT="0" distB="0" distL="114300" distR="114300" simplePos="0" relativeHeight="251660288" behindDoc="0" locked="0" layoutInCell="1" allowOverlap="1" wp14:anchorId="0E28FC00" wp14:editId="55583ECD">
          <wp:simplePos x="0" y="0"/>
          <wp:positionH relativeFrom="page">
            <wp:posOffset>3532505</wp:posOffset>
          </wp:positionH>
          <wp:positionV relativeFrom="page">
            <wp:posOffset>382270</wp:posOffset>
          </wp:positionV>
          <wp:extent cx="710565" cy="7937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6C3BB" w14:textId="77777777" w:rsidR="00827F9B" w:rsidRDefault="00827F9B" w:rsidP="00916FE2">
    <w:pPr>
      <w:pStyle w:val="Encabezado"/>
      <w:jc w:val="center"/>
      <w:rPr>
        <w:rFonts w:ascii="Century Schoolbook" w:hAnsi="Century Schoolbook"/>
        <w:b/>
        <w:i/>
        <w:iCs/>
      </w:rPr>
    </w:pPr>
  </w:p>
  <w:p w14:paraId="5A3F89F7" w14:textId="77777777" w:rsidR="00827F9B" w:rsidRDefault="00827F9B" w:rsidP="00916FE2">
    <w:pPr>
      <w:pStyle w:val="Encabezado"/>
      <w:jc w:val="center"/>
      <w:rPr>
        <w:rFonts w:ascii="Century Schoolbook" w:hAnsi="Century Schoolbook"/>
        <w:b/>
        <w:i/>
        <w:iCs/>
      </w:rPr>
    </w:pPr>
  </w:p>
  <w:p w14:paraId="471529C9" w14:textId="77777777" w:rsidR="000A5D2A" w:rsidRDefault="000A5D2A" w:rsidP="00916FE2">
    <w:pPr>
      <w:pStyle w:val="Encabezado"/>
      <w:jc w:val="center"/>
      <w:rPr>
        <w:rFonts w:cs="Arial"/>
        <w:b/>
        <w:color w:val="808080" w:themeColor="background1" w:themeShade="80"/>
        <w:sz w:val="20"/>
      </w:rPr>
    </w:pPr>
  </w:p>
  <w:p w14:paraId="529CA8F0" w14:textId="1A36E5A8" w:rsidR="00827F9B" w:rsidRPr="001B0C42" w:rsidRDefault="00827F9B" w:rsidP="00916FE2">
    <w:pPr>
      <w:pStyle w:val="Encabezado"/>
      <w:jc w:val="center"/>
      <w:rPr>
        <w:rFonts w:cs="Arial"/>
        <w:b/>
        <w:color w:val="808080" w:themeColor="background1" w:themeShade="80"/>
        <w:sz w:val="20"/>
      </w:rPr>
    </w:pPr>
    <w:r w:rsidRPr="001B0C42">
      <w:rPr>
        <w:rFonts w:cs="Arial"/>
        <w:b/>
        <w:color w:val="808080" w:themeColor="background1" w:themeShade="80"/>
        <w:sz w:val="20"/>
      </w:rPr>
      <w:t>TRIBUNAL ADMINISTRATIVO DE BOYACÁ</w:t>
    </w:r>
  </w:p>
  <w:p w14:paraId="5377BF5F" w14:textId="77777777" w:rsidR="00827F9B" w:rsidRPr="00AB7A1B" w:rsidRDefault="00827F9B" w:rsidP="001A5435">
    <w:pPr>
      <w:jc w:val="center"/>
      <w:rPr>
        <w:rFonts w:ascii="Arial" w:eastAsiaTheme="minorHAnsi" w:hAnsi="Arial" w:cs="Arial"/>
        <w:b/>
        <w:color w:val="808080" w:themeColor="background1" w:themeShade="80"/>
        <w:kern w:val="28"/>
        <w:szCs w:val="22"/>
        <w:lang w:val="es-ES_tradnl"/>
      </w:rPr>
    </w:pPr>
    <w:r w:rsidRPr="00AB7A1B">
      <w:rPr>
        <w:rFonts w:ascii="Arial" w:eastAsiaTheme="minorHAnsi" w:hAnsi="Arial" w:cs="Arial"/>
        <w:b/>
        <w:color w:val="808080" w:themeColor="background1" w:themeShade="80"/>
        <w:kern w:val="28"/>
        <w:szCs w:val="22"/>
        <w:lang w:val="es-ES_tradnl"/>
      </w:rPr>
      <w:t xml:space="preserve">SALA DE DECISIÓN </w:t>
    </w:r>
    <w:proofErr w:type="spellStart"/>
    <w:r w:rsidRPr="00AB7A1B">
      <w:rPr>
        <w:rFonts w:ascii="Arial" w:eastAsiaTheme="minorHAnsi" w:hAnsi="Arial" w:cs="Arial"/>
        <w:b/>
        <w:color w:val="808080" w:themeColor="background1" w:themeShade="80"/>
        <w:kern w:val="28"/>
        <w:szCs w:val="22"/>
        <w:lang w:val="es-ES_tradnl"/>
      </w:rPr>
      <w:t>Nº</w:t>
    </w:r>
    <w:proofErr w:type="spellEnd"/>
    <w:r w:rsidRPr="00AB7A1B">
      <w:rPr>
        <w:rFonts w:ascii="Arial" w:eastAsiaTheme="minorHAnsi" w:hAnsi="Arial" w:cs="Arial"/>
        <w:b/>
        <w:color w:val="808080" w:themeColor="background1" w:themeShade="80"/>
        <w:kern w:val="28"/>
        <w:szCs w:val="22"/>
        <w:lang w:val="es-ES_tradnl"/>
      </w:rPr>
      <w:t xml:space="preserve"> 4</w:t>
    </w:r>
  </w:p>
  <w:p w14:paraId="19252437" w14:textId="58ED28EE" w:rsidR="00827F9B" w:rsidRPr="001B0C42" w:rsidRDefault="00827F9B" w:rsidP="001A5435">
    <w:pPr>
      <w:jc w:val="center"/>
      <w:rPr>
        <w:rFonts w:ascii="Arial" w:eastAsiaTheme="minorHAnsi" w:hAnsi="Arial" w:cs="Arial"/>
        <w:b/>
        <w:color w:val="808080" w:themeColor="background1" w:themeShade="80"/>
        <w:kern w:val="28"/>
        <w:szCs w:val="22"/>
        <w:lang w:val="es-ES_tradnl"/>
      </w:rPr>
    </w:pPr>
    <w:r w:rsidRPr="00AB7A1B">
      <w:rPr>
        <w:rFonts w:ascii="Arial" w:eastAsiaTheme="minorHAnsi" w:hAnsi="Arial" w:cs="Arial"/>
        <w:b/>
        <w:color w:val="808080" w:themeColor="background1" w:themeShade="80"/>
        <w:kern w:val="28"/>
        <w:szCs w:val="22"/>
        <w:lang w:val="es-ES_tradnl"/>
      </w:rPr>
      <w:t>MAGISTRAD</w:t>
    </w:r>
    <w:r w:rsidR="0060079B" w:rsidRPr="00AB7A1B">
      <w:rPr>
        <w:rFonts w:ascii="Arial" w:eastAsiaTheme="minorHAnsi" w:hAnsi="Arial" w:cs="Arial"/>
        <w:b/>
        <w:color w:val="808080" w:themeColor="background1" w:themeShade="80"/>
        <w:kern w:val="28"/>
        <w:szCs w:val="22"/>
        <w:lang w:val="es-ES_tradnl"/>
      </w:rPr>
      <w:t>O</w:t>
    </w:r>
    <w:r w:rsidRPr="00AB7A1B">
      <w:rPr>
        <w:rFonts w:ascii="Arial" w:eastAsiaTheme="minorHAnsi" w:hAnsi="Arial" w:cs="Arial"/>
        <w:b/>
        <w:color w:val="808080" w:themeColor="background1" w:themeShade="80"/>
        <w:kern w:val="28"/>
        <w:szCs w:val="22"/>
        <w:lang w:val="es-ES_tradnl"/>
      </w:rPr>
      <w:t xml:space="preserve"> PONENTE: </w:t>
    </w:r>
    <w:r w:rsidR="0060079B" w:rsidRPr="00AB7A1B">
      <w:rPr>
        <w:rFonts w:ascii="Arial" w:eastAsiaTheme="minorHAnsi" w:hAnsi="Arial" w:cs="Arial"/>
        <w:b/>
        <w:color w:val="808080" w:themeColor="background1" w:themeShade="80"/>
        <w:kern w:val="28"/>
        <w:szCs w:val="22"/>
        <w:lang w:val="es-ES_tradnl"/>
      </w:rPr>
      <w:t>DAY</w:t>
    </w:r>
    <w:r w:rsidR="005A434D" w:rsidRPr="00AB7A1B">
      <w:rPr>
        <w:rFonts w:ascii="Arial" w:eastAsiaTheme="minorHAnsi" w:hAnsi="Arial" w:cs="Arial"/>
        <w:b/>
        <w:color w:val="808080" w:themeColor="background1" w:themeShade="80"/>
        <w:kern w:val="28"/>
        <w:szCs w:val="22"/>
        <w:lang w:val="es-ES_tradnl"/>
      </w:rPr>
      <w:t>Á</w:t>
    </w:r>
    <w:r w:rsidR="0060079B" w:rsidRPr="00AB7A1B">
      <w:rPr>
        <w:rFonts w:ascii="Arial" w:eastAsiaTheme="minorHAnsi" w:hAnsi="Arial" w:cs="Arial"/>
        <w:b/>
        <w:color w:val="808080" w:themeColor="background1" w:themeShade="80"/>
        <w:kern w:val="28"/>
        <w:szCs w:val="22"/>
        <w:lang w:val="es-ES_tradnl"/>
      </w:rPr>
      <w:t>N ALBERTO BLANCO LEGU</w:t>
    </w:r>
    <w:r w:rsidR="005A434D" w:rsidRPr="00AB7A1B">
      <w:rPr>
        <w:rFonts w:ascii="Arial" w:eastAsiaTheme="minorHAnsi" w:hAnsi="Arial" w:cs="Arial"/>
        <w:b/>
        <w:color w:val="808080" w:themeColor="background1" w:themeShade="80"/>
        <w:kern w:val="28"/>
        <w:szCs w:val="22"/>
        <w:lang w:val="es-ES_tradnl"/>
      </w:rPr>
      <w:t>Í</w:t>
    </w:r>
    <w:r w:rsidR="0060079B" w:rsidRPr="00AB7A1B">
      <w:rPr>
        <w:rFonts w:ascii="Arial" w:eastAsiaTheme="minorHAnsi" w:hAnsi="Arial" w:cs="Arial"/>
        <w:b/>
        <w:color w:val="808080" w:themeColor="background1" w:themeShade="80"/>
        <w:kern w:val="28"/>
        <w:szCs w:val="22"/>
        <w:lang w:val="es-ES_tradnl"/>
      </w:rPr>
      <w:t>ZAMO</w:t>
    </w:r>
  </w:p>
  <w:p w14:paraId="6CD1467B" w14:textId="77777777" w:rsidR="00827F9B" w:rsidRPr="00170D76" w:rsidRDefault="00827F9B" w:rsidP="001A5435">
    <w:pPr>
      <w:jc w:val="center"/>
      <w:rPr>
        <w:rFonts w:ascii="Century Schoolbook" w:hAnsi="Century Schoolbook"/>
        <w:b/>
        <w:i/>
        <w:iCs/>
        <w:color w:val="808080" w:themeColor="background1" w:themeShade="80"/>
        <w:spacing w:val="-12"/>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499A"/>
    <w:multiLevelType w:val="multilevel"/>
    <w:tmpl w:val="43687714"/>
    <w:lvl w:ilvl="0">
      <w:start w:val="1"/>
      <w:numFmt w:val="decimal"/>
      <w:lvlText w:val="%1."/>
      <w:lvlJc w:val="left"/>
      <w:pPr>
        <w:ind w:left="502" w:hanging="502"/>
      </w:pPr>
      <w:rPr>
        <w:rFonts w:hint="default"/>
        <w:b/>
      </w:rPr>
    </w:lvl>
    <w:lvl w:ilvl="1">
      <w:start w:val="1"/>
      <w:numFmt w:val="decimal"/>
      <w:isLgl/>
      <w:lvlText w:val="%1.%2."/>
      <w:lvlJc w:val="left"/>
      <w:pPr>
        <w:ind w:left="1080" w:hanging="1080"/>
      </w:pPr>
      <w:rPr>
        <w:rFonts w:hint="default"/>
        <w:b/>
        <w:bCs/>
        <w:i w:val="0"/>
      </w:rPr>
    </w:lvl>
    <w:lvl w:ilvl="2">
      <w:start w:val="1"/>
      <w:numFmt w:val="decimal"/>
      <w:isLgl/>
      <w:lvlText w:val="%1.%2.%3."/>
      <w:lvlJc w:val="left"/>
      <w:pPr>
        <w:ind w:left="1080" w:hanging="1080"/>
      </w:pPr>
      <w:rPr>
        <w:rFonts w:hint="default"/>
        <w:b/>
        <w:i w: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594981"/>
    <w:multiLevelType w:val="hybridMultilevel"/>
    <w:tmpl w:val="6CC8903E"/>
    <w:lvl w:ilvl="0" w:tplc="3C9241CE">
      <w:start w:val="1"/>
      <w:numFmt w:val="ordinalText"/>
      <w:lvlText w:val="%1:"/>
      <w:lvlJc w:val="left"/>
      <w:pPr>
        <w:ind w:left="720" w:hanging="360"/>
      </w:pPr>
      <w:rPr>
        <w:rFonts w:ascii="Arial" w:hAnsi="Arial" w:cs="Arial" w:hint="default"/>
        <w:b/>
        <w:i w:val="0"/>
        <w:caps/>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B875C5"/>
    <w:multiLevelType w:val="hybridMultilevel"/>
    <w:tmpl w:val="F56E209C"/>
    <w:lvl w:ilvl="0" w:tplc="64F44DFC">
      <w:start w:val="1"/>
      <w:numFmt w:val="decimal"/>
      <w:pStyle w:val="Prconnumeracin"/>
      <w:lvlText w:val="%1."/>
      <w:lvlJc w:val="left"/>
      <w:pPr>
        <w:ind w:left="720" w:hanging="360"/>
      </w:pPr>
      <w:rPr>
        <w:rFonts w:hint="default"/>
        <w:b/>
        <w:bCs/>
        <w:i w:val="0"/>
        <w:i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EF372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AD3BB2"/>
    <w:multiLevelType w:val="multilevel"/>
    <w:tmpl w:val="43687714"/>
    <w:lvl w:ilvl="0">
      <w:start w:val="1"/>
      <w:numFmt w:val="decimal"/>
      <w:lvlText w:val="%1."/>
      <w:lvlJc w:val="left"/>
      <w:pPr>
        <w:ind w:left="502" w:hanging="502"/>
      </w:pPr>
      <w:rPr>
        <w:rFonts w:hint="default"/>
        <w:b/>
      </w:rPr>
    </w:lvl>
    <w:lvl w:ilvl="1">
      <w:start w:val="1"/>
      <w:numFmt w:val="decimal"/>
      <w:isLgl/>
      <w:lvlText w:val="%1.%2."/>
      <w:lvlJc w:val="left"/>
      <w:pPr>
        <w:ind w:left="1080" w:hanging="1080"/>
      </w:pPr>
      <w:rPr>
        <w:rFonts w:hint="default"/>
        <w:b/>
        <w:bCs/>
        <w:i w:val="0"/>
      </w:rPr>
    </w:lvl>
    <w:lvl w:ilvl="2">
      <w:start w:val="1"/>
      <w:numFmt w:val="decimal"/>
      <w:isLgl/>
      <w:lvlText w:val="%1.%2.%3."/>
      <w:lvlJc w:val="left"/>
      <w:pPr>
        <w:ind w:left="1080" w:hanging="1080"/>
      </w:pPr>
      <w:rPr>
        <w:rFonts w:hint="default"/>
        <w:b/>
        <w:i w: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010717"/>
    <w:multiLevelType w:val="multilevel"/>
    <w:tmpl w:val="6CB26B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A7237C"/>
    <w:multiLevelType w:val="hybridMultilevel"/>
    <w:tmpl w:val="CDF6EE7C"/>
    <w:lvl w:ilvl="0" w:tplc="92E03E6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8A307BB"/>
    <w:multiLevelType w:val="hybridMultilevel"/>
    <w:tmpl w:val="242858CC"/>
    <w:lvl w:ilvl="0" w:tplc="E86623B4">
      <w:start w:val="4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F86BCD"/>
    <w:multiLevelType w:val="hybridMultilevel"/>
    <w:tmpl w:val="B2EEECE6"/>
    <w:lvl w:ilvl="0" w:tplc="A684BC34">
      <w:numFmt w:val="bullet"/>
      <w:lvlText w:val="-"/>
      <w:lvlJc w:val="left"/>
      <w:pPr>
        <w:ind w:left="720" w:hanging="360"/>
      </w:pPr>
      <w:rPr>
        <w:rFonts w:ascii="Arno Pro" w:eastAsia="Times New Roman" w:hAnsi="Arno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075B2B"/>
    <w:multiLevelType w:val="multilevel"/>
    <w:tmpl w:val="7812C874"/>
    <w:lvl w:ilvl="0">
      <w:start w:val="1"/>
      <w:numFmt w:val="decimal"/>
      <w:lvlText w:val="%1."/>
      <w:lvlJc w:val="left"/>
      <w:pPr>
        <w:ind w:left="360" w:hanging="360"/>
      </w:pPr>
      <w:rPr>
        <w:rFonts w:hint="default"/>
        <w:b w:val="0"/>
        <w:bCs w:val="0"/>
        <w:i w:val="0"/>
        <w:iCs/>
        <w:sz w:val="28"/>
        <w:szCs w:val="28"/>
      </w:rPr>
    </w:lvl>
    <w:lvl w:ilvl="1">
      <w:start w:val="1"/>
      <w:numFmt w:val="decimal"/>
      <w:lvlText w:val="%1.%2."/>
      <w:lvlJc w:val="left"/>
      <w:pPr>
        <w:ind w:left="792" w:hanging="432"/>
      </w:pPr>
      <w:rPr>
        <w:rFonts w:hint="default"/>
        <w:i w:val="0"/>
        <w:iCs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84277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593375"/>
    <w:multiLevelType w:val="hybridMultilevel"/>
    <w:tmpl w:val="5A3E6152"/>
    <w:lvl w:ilvl="0" w:tplc="7EC601CC">
      <w:start w:val="2"/>
      <w:numFmt w:val="bullet"/>
      <w:lvlText w:val="-"/>
      <w:lvlJc w:val="left"/>
      <w:pPr>
        <w:ind w:left="720" w:hanging="360"/>
      </w:pPr>
      <w:rPr>
        <w:rFonts w:ascii="Arno Pro" w:eastAsia="Times New Roman" w:hAnsi="Arno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5"/>
  </w:num>
  <w:num w:numId="5">
    <w:abstractNumId w:val="8"/>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0"/>
  </w:num>
  <w:num w:numId="12">
    <w:abstractNumId w:val="9"/>
  </w:num>
  <w:num w:numId="13">
    <w:abstractNumId w:val="1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CF"/>
    <w:rsid w:val="000000DE"/>
    <w:rsid w:val="000000F9"/>
    <w:rsid w:val="00000D7F"/>
    <w:rsid w:val="0000166C"/>
    <w:rsid w:val="00002244"/>
    <w:rsid w:val="0000319C"/>
    <w:rsid w:val="000041FC"/>
    <w:rsid w:val="000045B0"/>
    <w:rsid w:val="00004C35"/>
    <w:rsid w:val="00007E04"/>
    <w:rsid w:val="00010BE9"/>
    <w:rsid w:val="000116AB"/>
    <w:rsid w:val="000116F1"/>
    <w:rsid w:val="00011ADE"/>
    <w:rsid w:val="00012871"/>
    <w:rsid w:val="00014DF2"/>
    <w:rsid w:val="00015244"/>
    <w:rsid w:val="000209D7"/>
    <w:rsid w:val="000216EC"/>
    <w:rsid w:val="000227A0"/>
    <w:rsid w:val="00023ECC"/>
    <w:rsid w:val="00025C0E"/>
    <w:rsid w:val="00030605"/>
    <w:rsid w:val="000338DE"/>
    <w:rsid w:val="00034F7D"/>
    <w:rsid w:val="00035B5C"/>
    <w:rsid w:val="0003667F"/>
    <w:rsid w:val="00040CBF"/>
    <w:rsid w:val="00041230"/>
    <w:rsid w:val="000419E0"/>
    <w:rsid w:val="00041F73"/>
    <w:rsid w:val="00042603"/>
    <w:rsid w:val="0004350B"/>
    <w:rsid w:val="00044426"/>
    <w:rsid w:val="0004649E"/>
    <w:rsid w:val="000511AB"/>
    <w:rsid w:val="00052294"/>
    <w:rsid w:val="00053771"/>
    <w:rsid w:val="00055C4B"/>
    <w:rsid w:val="00056117"/>
    <w:rsid w:val="00056316"/>
    <w:rsid w:val="00056407"/>
    <w:rsid w:val="00056C8F"/>
    <w:rsid w:val="000574AE"/>
    <w:rsid w:val="000624DA"/>
    <w:rsid w:val="000629B6"/>
    <w:rsid w:val="00063B4C"/>
    <w:rsid w:val="000649B6"/>
    <w:rsid w:val="00065682"/>
    <w:rsid w:val="00070889"/>
    <w:rsid w:val="00072F93"/>
    <w:rsid w:val="000740CF"/>
    <w:rsid w:val="00075300"/>
    <w:rsid w:val="00075C94"/>
    <w:rsid w:val="00077634"/>
    <w:rsid w:val="0008038C"/>
    <w:rsid w:val="000803DC"/>
    <w:rsid w:val="00080E2B"/>
    <w:rsid w:val="0008175B"/>
    <w:rsid w:val="000823B5"/>
    <w:rsid w:val="00091A95"/>
    <w:rsid w:val="00092951"/>
    <w:rsid w:val="00092C0E"/>
    <w:rsid w:val="00093C15"/>
    <w:rsid w:val="00094EDD"/>
    <w:rsid w:val="00096EB8"/>
    <w:rsid w:val="00097630"/>
    <w:rsid w:val="000A14F6"/>
    <w:rsid w:val="000A16B7"/>
    <w:rsid w:val="000A1D7F"/>
    <w:rsid w:val="000A4167"/>
    <w:rsid w:val="000A5D2A"/>
    <w:rsid w:val="000A7552"/>
    <w:rsid w:val="000B1448"/>
    <w:rsid w:val="000B29BE"/>
    <w:rsid w:val="000B5171"/>
    <w:rsid w:val="000C0515"/>
    <w:rsid w:val="000C26DD"/>
    <w:rsid w:val="000C48AB"/>
    <w:rsid w:val="000C50BE"/>
    <w:rsid w:val="000C60A4"/>
    <w:rsid w:val="000C6832"/>
    <w:rsid w:val="000D106B"/>
    <w:rsid w:val="000D3B9E"/>
    <w:rsid w:val="000D5709"/>
    <w:rsid w:val="000D65DD"/>
    <w:rsid w:val="000E0F90"/>
    <w:rsid w:val="000E13E4"/>
    <w:rsid w:val="000E6EF4"/>
    <w:rsid w:val="000F0B3C"/>
    <w:rsid w:val="000F1EB4"/>
    <w:rsid w:val="000F2F3A"/>
    <w:rsid w:val="000F5414"/>
    <w:rsid w:val="000F7228"/>
    <w:rsid w:val="00100A96"/>
    <w:rsid w:val="00101109"/>
    <w:rsid w:val="00102A8A"/>
    <w:rsid w:val="00105B1D"/>
    <w:rsid w:val="00105EC3"/>
    <w:rsid w:val="0010614F"/>
    <w:rsid w:val="0010642B"/>
    <w:rsid w:val="00106AC0"/>
    <w:rsid w:val="00107E37"/>
    <w:rsid w:val="001115C0"/>
    <w:rsid w:val="001118E3"/>
    <w:rsid w:val="001126ED"/>
    <w:rsid w:val="0011477F"/>
    <w:rsid w:val="00115A04"/>
    <w:rsid w:val="001176D0"/>
    <w:rsid w:val="00117CBF"/>
    <w:rsid w:val="0012302C"/>
    <w:rsid w:val="001236C7"/>
    <w:rsid w:val="001236EE"/>
    <w:rsid w:val="001266EC"/>
    <w:rsid w:val="00126822"/>
    <w:rsid w:val="0012723E"/>
    <w:rsid w:val="001332E9"/>
    <w:rsid w:val="00133455"/>
    <w:rsid w:val="0013351C"/>
    <w:rsid w:val="0013397F"/>
    <w:rsid w:val="00133BDE"/>
    <w:rsid w:val="00133CCE"/>
    <w:rsid w:val="001347A0"/>
    <w:rsid w:val="0013647F"/>
    <w:rsid w:val="00137A6C"/>
    <w:rsid w:val="001400B7"/>
    <w:rsid w:val="0014038D"/>
    <w:rsid w:val="00140723"/>
    <w:rsid w:val="00141A22"/>
    <w:rsid w:val="0014246E"/>
    <w:rsid w:val="00145F0F"/>
    <w:rsid w:val="00150B1C"/>
    <w:rsid w:val="00152FB1"/>
    <w:rsid w:val="0015469B"/>
    <w:rsid w:val="001566C1"/>
    <w:rsid w:val="001569E1"/>
    <w:rsid w:val="00157ABD"/>
    <w:rsid w:val="001605B1"/>
    <w:rsid w:val="00162688"/>
    <w:rsid w:val="00162A7F"/>
    <w:rsid w:val="00163126"/>
    <w:rsid w:val="0016312F"/>
    <w:rsid w:val="00163892"/>
    <w:rsid w:val="001650F5"/>
    <w:rsid w:val="00165C61"/>
    <w:rsid w:val="00166107"/>
    <w:rsid w:val="00166256"/>
    <w:rsid w:val="00166B2B"/>
    <w:rsid w:val="001700DB"/>
    <w:rsid w:val="00170D76"/>
    <w:rsid w:val="00174748"/>
    <w:rsid w:val="001751EF"/>
    <w:rsid w:val="00176CE5"/>
    <w:rsid w:val="00177F46"/>
    <w:rsid w:val="00180649"/>
    <w:rsid w:val="00182068"/>
    <w:rsid w:val="00183A8D"/>
    <w:rsid w:val="0018422D"/>
    <w:rsid w:val="00184F74"/>
    <w:rsid w:val="001865C4"/>
    <w:rsid w:val="00187352"/>
    <w:rsid w:val="00187AED"/>
    <w:rsid w:val="0019016C"/>
    <w:rsid w:val="001926C7"/>
    <w:rsid w:val="00196B1F"/>
    <w:rsid w:val="001A0519"/>
    <w:rsid w:val="001A0627"/>
    <w:rsid w:val="001A2706"/>
    <w:rsid w:val="001A5435"/>
    <w:rsid w:val="001A6881"/>
    <w:rsid w:val="001A694F"/>
    <w:rsid w:val="001A7B33"/>
    <w:rsid w:val="001B0C42"/>
    <w:rsid w:val="001B1706"/>
    <w:rsid w:val="001B55E6"/>
    <w:rsid w:val="001B5901"/>
    <w:rsid w:val="001B6FB2"/>
    <w:rsid w:val="001C039B"/>
    <w:rsid w:val="001C06CA"/>
    <w:rsid w:val="001C1B06"/>
    <w:rsid w:val="001C26F9"/>
    <w:rsid w:val="001C30B5"/>
    <w:rsid w:val="001C4FC4"/>
    <w:rsid w:val="001C519E"/>
    <w:rsid w:val="001D101E"/>
    <w:rsid w:val="001D32DE"/>
    <w:rsid w:val="001D38BB"/>
    <w:rsid w:val="001D3F6C"/>
    <w:rsid w:val="001D43F3"/>
    <w:rsid w:val="001D55BD"/>
    <w:rsid w:val="001D6232"/>
    <w:rsid w:val="001D693E"/>
    <w:rsid w:val="001E2FB4"/>
    <w:rsid w:val="001E5720"/>
    <w:rsid w:val="001E5F00"/>
    <w:rsid w:val="001F0234"/>
    <w:rsid w:val="001F060E"/>
    <w:rsid w:val="001F0908"/>
    <w:rsid w:val="001F09C8"/>
    <w:rsid w:val="001F23FE"/>
    <w:rsid w:val="001F5229"/>
    <w:rsid w:val="001F6114"/>
    <w:rsid w:val="00200B14"/>
    <w:rsid w:val="00200C1A"/>
    <w:rsid w:val="00201271"/>
    <w:rsid w:val="00202596"/>
    <w:rsid w:val="0020291E"/>
    <w:rsid w:val="0020363A"/>
    <w:rsid w:val="00207F45"/>
    <w:rsid w:val="0021157C"/>
    <w:rsid w:val="00213531"/>
    <w:rsid w:val="00213B47"/>
    <w:rsid w:val="00214BA0"/>
    <w:rsid w:val="00214DB0"/>
    <w:rsid w:val="00215B6A"/>
    <w:rsid w:val="00216CD0"/>
    <w:rsid w:val="00221989"/>
    <w:rsid w:val="00221A42"/>
    <w:rsid w:val="00224522"/>
    <w:rsid w:val="00224AF5"/>
    <w:rsid w:val="0022541C"/>
    <w:rsid w:val="00225873"/>
    <w:rsid w:val="0022638B"/>
    <w:rsid w:val="002271EC"/>
    <w:rsid w:val="00227257"/>
    <w:rsid w:val="00227C09"/>
    <w:rsid w:val="00227FA0"/>
    <w:rsid w:val="00231AA9"/>
    <w:rsid w:val="0023241F"/>
    <w:rsid w:val="00232FFF"/>
    <w:rsid w:val="0023307A"/>
    <w:rsid w:val="00233549"/>
    <w:rsid w:val="00235C7C"/>
    <w:rsid w:val="0023658E"/>
    <w:rsid w:val="00236C84"/>
    <w:rsid w:val="002401A7"/>
    <w:rsid w:val="00240366"/>
    <w:rsid w:val="00240596"/>
    <w:rsid w:val="00242383"/>
    <w:rsid w:val="00245FA0"/>
    <w:rsid w:val="00246531"/>
    <w:rsid w:val="00247E01"/>
    <w:rsid w:val="002507D2"/>
    <w:rsid w:val="00251B04"/>
    <w:rsid w:val="00251D19"/>
    <w:rsid w:val="00252932"/>
    <w:rsid w:val="00255A2F"/>
    <w:rsid w:val="00256EF2"/>
    <w:rsid w:val="0025709E"/>
    <w:rsid w:val="0026177A"/>
    <w:rsid w:val="00263742"/>
    <w:rsid w:val="002638CD"/>
    <w:rsid w:val="0026393E"/>
    <w:rsid w:val="00263C31"/>
    <w:rsid w:val="002651E8"/>
    <w:rsid w:val="00265D95"/>
    <w:rsid w:val="002660B7"/>
    <w:rsid w:val="002664F7"/>
    <w:rsid w:val="00266711"/>
    <w:rsid w:val="002712DB"/>
    <w:rsid w:val="00272B5D"/>
    <w:rsid w:val="002736C4"/>
    <w:rsid w:val="0027442B"/>
    <w:rsid w:val="00276B88"/>
    <w:rsid w:val="00277317"/>
    <w:rsid w:val="0028062C"/>
    <w:rsid w:val="0028153D"/>
    <w:rsid w:val="002859D6"/>
    <w:rsid w:val="00285F31"/>
    <w:rsid w:val="00287196"/>
    <w:rsid w:val="00287331"/>
    <w:rsid w:val="00290223"/>
    <w:rsid w:val="00290587"/>
    <w:rsid w:val="002921EE"/>
    <w:rsid w:val="00292907"/>
    <w:rsid w:val="00293D04"/>
    <w:rsid w:val="00293F45"/>
    <w:rsid w:val="00293F97"/>
    <w:rsid w:val="00295BC2"/>
    <w:rsid w:val="002961E0"/>
    <w:rsid w:val="0029685A"/>
    <w:rsid w:val="00296A44"/>
    <w:rsid w:val="002A05B4"/>
    <w:rsid w:val="002A0970"/>
    <w:rsid w:val="002A0DFD"/>
    <w:rsid w:val="002A32E1"/>
    <w:rsid w:val="002A386A"/>
    <w:rsid w:val="002A3FEA"/>
    <w:rsid w:val="002A558C"/>
    <w:rsid w:val="002A5B8A"/>
    <w:rsid w:val="002A5C91"/>
    <w:rsid w:val="002B0874"/>
    <w:rsid w:val="002B25B0"/>
    <w:rsid w:val="002B307F"/>
    <w:rsid w:val="002B5FAC"/>
    <w:rsid w:val="002B651E"/>
    <w:rsid w:val="002B69BF"/>
    <w:rsid w:val="002B7C2C"/>
    <w:rsid w:val="002C1B92"/>
    <w:rsid w:val="002C6187"/>
    <w:rsid w:val="002C71A0"/>
    <w:rsid w:val="002D0145"/>
    <w:rsid w:val="002D0C17"/>
    <w:rsid w:val="002D0C4E"/>
    <w:rsid w:val="002D1876"/>
    <w:rsid w:val="002D1DD6"/>
    <w:rsid w:val="002D2CE6"/>
    <w:rsid w:val="002D450B"/>
    <w:rsid w:val="002D6A2B"/>
    <w:rsid w:val="002E0088"/>
    <w:rsid w:val="002E1F7F"/>
    <w:rsid w:val="002E5929"/>
    <w:rsid w:val="002E612E"/>
    <w:rsid w:val="002E7708"/>
    <w:rsid w:val="002F06E1"/>
    <w:rsid w:val="002F08F7"/>
    <w:rsid w:val="002F0C7A"/>
    <w:rsid w:val="002F1796"/>
    <w:rsid w:val="002F5BE2"/>
    <w:rsid w:val="002F5C4C"/>
    <w:rsid w:val="002F7166"/>
    <w:rsid w:val="00300A05"/>
    <w:rsid w:val="00301B19"/>
    <w:rsid w:val="00301C5D"/>
    <w:rsid w:val="0030491E"/>
    <w:rsid w:val="003061DA"/>
    <w:rsid w:val="00307E28"/>
    <w:rsid w:val="003116B9"/>
    <w:rsid w:val="00313B2B"/>
    <w:rsid w:val="00317DAA"/>
    <w:rsid w:val="0032079D"/>
    <w:rsid w:val="00322E35"/>
    <w:rsid w:val="003238A6"/>
    <w:rsid w:val="00325A82"/>
    <w:rsid w:val="003274F2"/>
    <w:rsid w:val="00327C6A"/>
    <w:rsid w:val="00330975"/>
    <w:rsid w:val="003310C8"/>
    <w:rsid w:val="003317DA"/>
    <w:rsid w:val="00333895"/>
    <w:rsid w:val="00335FBD"/>
    <w:rsid w:val="00337E82"/>
    <w:rsid w:val="00340A2C"/>
    <w:rsid w:val="003422F8"/>
    <w:rsid w:val="003433B3"/>
    <w:rsid w:val="003443CD"/>
    <w:rsid w:val="0034486D"/>
    <w:rsid w:val="003520F6"/>
    <w:rsid w:val="003533F7"/>
    <w:rsid w:val="003554E5"/>
    <w:rsid w:val="00356049"/>
    <w:rsid w:val="003563B6"/>
    <w:rsid w:val="003600C0"/>
    <w:rsid w:val="00362229"/>
    <w:rsid w:val="00362E65"/>
    <w:rsid w:val="00363BBC"/>
    <w:rsid w:val="00366276"/>
    <w:rsid w:val="00367541"/>
    <w:rsid w:val="00370277"/>
    <w:rsid w:val="0037087B"/>
    <w:rsid w:val="00374A20"/>
    <w:rsid w:val="00381040"/>
    <w:rsid w:val="00381E40"/>
    <w:rsid w:val="003827C1"/>
    <w:rsid w:val="00383487"/>
    <w:rsid w:val="0038392B"/>
    <w:rsid w:val="00383A50"/>
    <w:rsid w:val="003845D0"/>
    <w:rsid w:val="00384EEE"/>
    <w:rsid w:val="003862C6"/>
    <w:rsid w:val="00391CC9"/>
    <w:rsid w:val="00392867"/>
    <w:rsid w:val="00392BBB"/>
    <w:rsid w:val="0039432A"/>
    <w:rsid w:val="003955E2"/>
    <w:rsid w:val="00396BC6"/>
    <w:rsid w:val="00397827"/>
    <w:rsid w:val="00397947"/>
    <w:rsid w:val="003A0925"/>
    <w:rsid w:val="003A132B"/>
    <w:rsid w:val="003A18DF"/>
    <w:rsid w:val="003A3E23"/>
    <w:rsid w:val="003A4BC3"/>
    <w:rsid w:val="003A7945"/>
    <w:rsid w:val="003B0C44"/>
    <w:rsid w:val="003B68EF"/>
    <w:rsid w:val="003B6C13"/>
    <w:rsid w:val="003C0B7D"/>
    <w:rsid w:val="003C22B4"/>
    <w:rsid w:val="003C3AD7"/>
    <w:rsid w:val="003C4848"/>
    <w:rsid w:val="003C4CBF"/>
    <w:rsid w:val="003C6789"/>
    <w:rsid w:val="003D1785"/>
    <w:rsid w:val="003D1B01"/>
    <w:rsid w:val="003D1C01"/>
    <w:rsid w:val="003D251D"/>
    <w:rsid w:val="003D37F0"/>
    <w:rsid w:val="003D4D4A"/>
    <w:rsid w:val="003D5147"/>
    <w:rsid w:val="003D5575"/>
    <w:rsid w:val="003D63E6"/>
    <w:rsid w:val="003D65B4"/>
    <w:rsid w:val="003D6892"/>
    <w:rsid w:val="003D7B38"/>
    <w:rsid w:val="003E0C5E"/>
    <w:rsid w:val="003E32D6"/>
    <w:rsid w:val="003E333F"/>
    <w:rsid w:val="003E3767"/>
    <w:rsid w:val="003E3E8B"/>
    <w:rsid w:val="003E53A8"/>
    <w:rsid w:val="003F006E"/>
    <w:rsid w:val="003F2439"/>
    <w:rsid w:val="003F2E73"/>
    <w:rsid w:val="003F3127"/>
    <w:rsid w:val="003F45E4"/>
    <w:rsid w:val="003F5994"/>
    <w:rsid w:val="003F750E"/>
    <w:rsid w:val="003F7946"/>
    <w:rsid w:val="00400093"/>
    <w:rsid w:val="0040050C"/>
    <w:rsid w:val="00400A25"/>
    <w:rsid w:val="00400ADE"/>
    <w:rsid w:val="00403A2F"/>
    <w:rsid w:val="00403DF4"/>
    <w:rsid w:val="004044C1"/>
    <w:rsid w:val="00404699"/>
    <w:rsid w:val="004127C2"/>
    <w:rsid w:val="00412842"/>
    <w:rsid w:val="00413F87"/>
    <w:rsid w:val="00416DA0"/>
    <w:rsid w:val="004205D0"/>
    <w:rsid w:val="004211C1"/>
    <w:rsid w:val="004212FA"/>
    <w:rsid w:val="00421EA9"/>
    <w:rsid w:val="00422797"/>
    <w:rsid w:val="00422D4E"/>
    <w:rsid w:val="004230AC"/>
    <w:rsid w:val="00423B60"/>
    <w:rsid w:val="004243F0"/>
    <w:rsid w:val="004278ED"/>
    <w:rsid w:val="00430B5F"/>
    <w:rsid w:val="004316F9"/>
    <w:rsid w:val="004325D1"/>
    <w:rsid w:val="004331DC"/>
    <w:rsid w:val="004345F3"/>
    <w:rsid w:val="00435003"/>
    <w:rsid w:val="004354F2"/>
    <w:rsid w:val="004357FE"/>
    <w:rsid w:val="00436A71"/>
    <w:rsid w:val="0044212B"/>
    <w:rsid w:val="00443922"/>
    <w:rsid w:val="00450336"/>
    <w:rsid w:val="00450A06"/>
    <w:rsid w:val="0045217D"/>
    <w:rsid w:val="00452A32"/>
    <w:rsid w:val="00452DB9"/>
    <w:rsid w:val="00453843"/>
    <w:rsid w:val="00453CAB"/>
    <w:rsid w:val="00455E8A"/>
    <w:rsid w:val="00456505"/>
    <w:rsid w:val="00456FBF"/>
    <w:rsid w:val="0046032C"/>
    <w:rsid w:val="00460AF4"/>
    <w:rsid w:val="00460DC0"/>
    <w:rsid w:val="0046139F"/>
    <w:rsid w:val="004635C5"/>
    <w:rsid w:val="00464410"/>
    <w:rsid w:val="00466844"/>
    <w:rsid w:val="00467BC5"/>
    <w:rsid w:val="00470399"/>
    <w:rsid w:val="00475C54"/>
    <w:rsid w:val="004771E4"/>
    <w:rsid w:val="00481F76"/>
    <w:rsid w:val="00484961"/>
    <w:rsid w:val="0048507A"/>
    <w:rsid w:val="00485B0D"/>
    <w:rsid w:val="00486F3B"/>
    <w:rsid w:val="0048788F"/>
    <w:rsid w:val="00487FA4"/>
    <w:rsid w:val="00490D03"/>
    <w:rsid w:val="0049172A"/>
    <w:rsid w:val="00492FC5"/>
    <w:rsid w:val="004930A7"/>
    <w:rsid w:val="004933D8"/>
    <w:rsid w:val="00493F04"/>
    <w:rsid w:val="0049451B"/>
    <w:rsid w:val="00494E22"/>
    <w:rsid w:val="00495B11"/>
    <w:rsid w:val="00495E56"/>
    <w:rsid w:val="004967B1"/>
    <w:rsid w:val="00497452"/>
    <w:rsid w:val="004A1634"/>
    <w:rsid w:val="004A3C02"/>
    <w:rsid w:val="004A43B4"/>
    <w:rsid w:val="004A4E98"/>
    <w:rsid w:val="004A51A1"/>
    <w:rsid w:val="004A693A"/>
    <w:rsid w:val="004B2A70"/>
    <w:rsid w:val="004B2C04"/>
    <w:rsid w:val="004B2E5D"/>
    <w:rsid w:val="004B665A"/>
    <w:rsid w:val="004B67BB"/>
    <w:rsid w:val="004B685E"/>
    <w:rsid w:val="004B6FC9"/>
    <w:rsid w:val="004B75F3"/>
    <w:rsid w:val="004C073A"/>
    <w:rsid w:val="004C1AE2"/>
    <w:rsid w:val="004C2C73"/>
    <w:rsid w:val="004C43E2"/>
    <w:rsid w:val="004C5699"/>
    <w:rsid w:val="004C580F"/>
    <w:rsid w:val="004C5DEB"/>
    <w:rsid w:val="004C614B"/>
    <w:rsid w:val="004D0785"/>
    <w:rsid w:val="004D18C7"/>
    <w:rsid w:val="004D1D74"/>
    <w:rsid w:val="004D2442"/>
    <w:rsid w:val="004D2449"/>
    <w:rsid w:val="004D37F8"/>
    <w:rsid w:val="004D38E3"/>
    <w:rsid w:val="004D4661"/>
    <w:rsid w:val="004D5F7F"/>
    <w:rsid w:val="004D744C"/>
    <w:rsid w:val="004D7C32"/>
    <w:rsid w:val="004E25AA"/>
    <w:rsid w:val="004E2FD1"/>
    <w:rsid w:val="004E3E0D"/>
    <w:rsid w:val="004E3FD1"/>
    <w:rsid w:val="004E4990"/>
    <w:rsid w:val="004E4DA9"/>
    <w:rsid w:val="004E674A"/>
    <w:rsid w:val="004E70EF"/>
    <w:rsid w:val="004E7FEF"/>
    <w:rsid w:val="004F0839"/>
    <w:rsid w:val="004F135D"/>
    <w:rsid w:val="004F270D"/>
    <w:rsid w:val="004F3986"/>
    <w:rsid w:val="00500179"/>
    <w:rsid w:val="00501641"/>
    <w:rsid w:val="0050560C"/>
    <w:rsid w:val="00506B7A"/>
    <w:rsid w:val="00507872"/>
    <w:rsid w:val="005078CA"/>
    <w:rsid w:val="00512690"/>
    <w:rsid w:val="00512CE5"/>
    <w:rsid w:val="00517713"/>
    <w:rsid w:val="0052018C"/>
    <w:rsid w:val="0052337E"/>
    <w:rsid w:val="005235B8"/>
    <w:rsid w:val="00523947"/>
    <w:rsid w:val="00523C0C"/>
    <w:rsid w:val="00523F02"/>
    <w:rsid w:val="00524510"/>
    <w:rsid w:val="005267BC"/>
    <w:rsid w:val="005312E6"/>
    <w:rsid w:val="005316EE"/>
    <w:rsid w:val="005329F8"/>
    <w:rsid w:val="00532AFB"/>
    <w:rsid w:val="00532E4F"/>
    <w:rsid w:val="0053564F"/>
    <w:rsid w:val="00536D88"/>
    <w:rsid w:val="00537B43"/>
    <w:rsid w:val="00537F98"/>
    <w:rsid w:val="00541762"/>
    <w:rsid w:val="00544338"/>
    <w:rsid w:val="0054434D"/>
    <w:rsid w:val="005446DA"/>
    <w:rsid w:val="00545029"/>
    <w:rsid w:val="00547078"/>
    <w:rsid w:val="0054729B"/>
    <w:rsid w:val="005478C8"/>
    <w:rsid w:val="005511B9"/>
    <w:rsid w:val="00551C40"/>
    <w:rsid w:val="00552B5B"/>
    <w:rsid w:val="0055540E"/>
    <w:rsid w:val="00560EC7"/>
    <w:rsid w:val="005618E0"/>
    <w:rsid w:val="00561EBF"/>
    <w:rsid w:val="005624F7"/>
    <w:rsid w:val="00562FB8"/>
    <w:rsid w:val="00567B40"/>
    <w:rsid w:val="00567B44"/>
    <w:rsid w:val="00570D95"/>
    <w:rsid w:val="00572442"/>
    <w:rsid w:val="0057265F"/>
    <w:rsid w:val="00573529"/>
    <w:rsid w:val="00573AAA"/>
    <w:rsid w:val="00573F25"/>
    <w:rsid w:val="005751F3"/>
    <w:rsid w:val="00575A81"/>
    <w:rsid w:val="0057670A"/>
    <w:rsid w:val="00581449"/>
    <w:rsid w:val="00581C85"/>
    <w:rsid w:val="00582EC1"/>
    <w:rsid w:val="00583BA1"/>
    <w:rsid w:val="00583FBE"/>
    <w:rsid w:val="0058565A"/>
    <w:rsid w:val="005874C3"/>
    <w:rsid w:val="00590B12"/>
    <w:rsid w:val="00590DD8"/>
    <w:rsid w:val="00590F75"/>
    <w:rsid w:val="005910FE"/>
    <w:rsid w:val="005925FD"/>
    <w:rsid w:val="00592893"/>
    <w:rsid w:val="00592F66"/>
    <w:rsid w:val="00594608"/>
    <w:rsid w:val="00594753"/>
    <w:rsid w:val="00595671"/>
    <w:rsid w:val="00597003"/>
    <w:rsid w:val="005A21FB"/>
    <w:rsid w:val="005A2B75"/>
    <w:rsid w:val="005A363C"/>
    <w:rsid w:val="005A434D"/>
    <w:rsid w:val="005B0D2E"/>
    <w:rsid w:val="005B2176"/>
    <w:rsid w:val="005B3C28"/>
    <w:rsid w:val="005B5709"/>
    <w:rsid w:val="005B5CD9"/>
    <w:rsid w:val="005B777D"/>
    <w:rsid w:val="005C11B9"/>
    <w:rsid w:val="005C1768"/>
    <w:rsid w:val="005C1AE6"/>
    <w:rsid w:val="005C437E"/>
    <w:rsid w:val="005C74F1"/>
    <w:rsid w:val="005D069F"/>
    <w:rsid w:val="005D0C5D"/>
    <w:rsid w:val="005D1B40"/>
    <w:rsid w:val="005D3322"/>
    <w:rsid w:val="005D6FDA"/>
    <w:rsid w:val="005D70DB"/>
    <w:rsid w:val="005E02C7"/>
    <w:rsid w:val="005E2103"/>
    <w:rsid w:val="005E2385"/>
    <w:rsid w:val="005E3C75"/>
    <w:rsid w:val="005E4F53"/>
    <w:rsid w:val="005E6B15"/>
    <w:rsid w:val="005E7232"/>
    <w:rsid w:val="005F0E35"/>
    <w:rsid w:val="005F35FC"/>
    <w:rsid w:val="005F384E"/>
    <w:rsid w:val="005F3B63"/>
    <w:rsid w:val="005F44F9"/>
    <w:rsid w:val="005F52F8"/>
    <w:rsid w:val="005F5E06"/>
    <w:rsid w:val="005F6626"/>
    <w:rsid w:val="005F749E"/>
    <w:rsid w:val="005F7889"/>
    <w:rsid w:val="005F7DAE"/>
    <w:rsid w:val="0060079B"/>
    <w:rsid w:val="0060089F"/>
    <w:rsid w:val="00600B29"/>
    <w:rsid w:val="006010FB"/>
    <w:rsid w:val="00602BAD"/>
    <w:rsid w:val="006057F8"/>
    <w:rsid w:val="00606E6B"/>
    <w:rsid w:val="0060735E"/>
    <w:rsid w:val="00613708"/>
    <w:rsid w:val="00614090"/>
    <w:rsid w:val="006158B9"/>
    <w:rsid w:val="0061665E"/>
    <w:rsid w:val="00616D35"/>
    <w:rsid w:val="006172C1"/>
    <w:rsid w:val="006173EF"/>
    <w:rsid w:val="0061745F"/>
    <w:rsid w:val="00620B64"/>
    <w:rsid w:val="0062315C"/>
    <w:rsid w:val="0062484D"/>
    <w:rsid w:val="006255FE"/>
    <w:rsid w:val="00625EAE"/>
    <w:rsid w:val="00627FB7"/>
    <w:rsid w:val="00633094"/>
    <w:rsid w:val="00641BDE"/>
    <w:rsid w:val="00642230"/>
    <w:rsid w:val="006445E5"/>
    <w:rsid w:val="00644D79"/>
    <w:rsid w:val="00645E86"/>
    <w:rsid w:val="00646145"/>
    <w:rsid w:val="00646F7D"/>
    <w:rsid w:val="0065325B"/>
    <w:rsid w:val="00654D9B"/>
    <w:rsid w:val="00656BCA"/>
    <w:rsid w:val="00663694"/>
    <w:rsid w:val="00664393"/>
    <w:rsid w:val="00664F5E"/>
    <w:rsid w:val="00666448"/>
    <w:rsid w:val="0066677D"/>
    <w:rsid w:val="00672224"/>
    <w:rsid w:val="00673836"/>
    <w:rsid w:val="00674091"/>
    <w:rsid w:val="00675B1B"/>
    <w:rsid w:val="006803AA"/>
    <w:rsid w:val="006829FE"/>
    <w:rsid w:val="006847D7"/>
    <w:rsid w:val="00685462"/>
    <w:rsid w:val="00686C82"/>
    <w:rsid w:val="00686F31"/>
    <w:rsid w:val="0068710A"/>
    <w:rsid w:val="00690A4D"/>
    <w:rsid w:val="00690B35"/>
    <w:rsid w:val="00691802"/>
    <w:rsid w:val="00691A70"/>
    <w:rsid w:val="00691EF2"/>
    <w:rsid w:val="00694E6D"/>
    <w:rsid w:val="00697C1A"/>
    <w:rsid w:val="006A0F5E"/>
    <w:rsid w:val="006A15B3"/>
    <w:rsid w:val="006A16E1"/>
    <w:rsid w:val="006A1A21"/>
    <w:rsid w:val="006A1CFB"/>
    <w:rsid w:val="006A2179"/>
    <w:rsid w:val="006A32D9"/>
    <w:rsid w:val="006A7D38"/>
    <w:rsid w:val="006B2A37"/>
    <w:rsid w:val="006B2B71"/>
    <w:rsid w:val="006B336A"/>
    <w:rsid w:val="006B3510"/>
    <w:rsid w:val="006B4D98"/>
    <w:rsid w:val="006B6037"/>
    <w:rsid w:val="006B6090"/>
    <w:rsid w:val="006C03E7"/>
    <w:rsid w:val="006C2558"/>
    <w:rsid w:val="006C2634"/>
    <w:rsid w:val="006C3FE3"/>
    <w:rsid w:val="006C6E84"/>
    <w:rsid w:val="006C75DC"/>
    <w:rsid w:val="006D20E3"/>
    <w:rsid w:val="006D3CB0"/>
    <w:rsid w:val="006D7B22"/>
    <w:rsid w:val="006E0400"/>
    <w:rsid w:val="006E3657"/>
    <w:rsid w:val="006E4FBB"/>
    <w:rsid w:val="006F121D"/>
    <w:rsid w:val="006F185B"/>
    <w:rsid w:val="006F2CA4"/>
    <w:rsid w:val="006F3746"/>
    <w:rsid w:val="006F463C"/>
    <w:rsid w:val="0070000E"/>
    <w:rsid w:val="00700871"/>
    <w:rsid w:val="00701855"/>
    <w:rsid w:val="007020CB"/>
    <w:rsid w:val="00702C51"/>
    <w:rsid w:val="00702D78"/>
    <w:rsid w:val="0070496A"/>
    <w:rsid w:val="007050DC"/>
    <w:rsid w:val="00707ACD"/>
    <w:rsid w:val="0071157C"/>
    <w:rsid w:val="0071261B"/>
    <w:rsid w:val="00712E6C"/>
    <w:rsid w:val="007132B0"/>
    <w:rsid w:val="007133FD"/>
    <w:rsid w:val="00714760"/>
    <w:rsid w:val="00716238"/>
    <w:rsid w:val="00716328"/>
    <w:rsid w:val="00717B0C"/>
    <w:rsid w:val="00717E56"/>
    <w:rsid w:val="0072065F"/>
    <w:rsid w:val="00721931"/>
    <w:rsid w:val="00721AD1"/>
    <w:rsid w:val="00722FD6"/>
    <w:rsid w:val="00722FDD"/>
    <w:rsid w:val="007241D0"/>
    <w:rsid w:val="0072667C"/>
    <w:rsid w:val="007267CB"/>
    <w:rsid w:val="00731A9C"/>
    <w:rsid w:val="0073518A"/>
    <w:rsid w:val="00735555"/>
    <w:rsid w:val="00736B1F"/>
    <w:rsid w:val="00736CF3"/>
    <w:rsid w:val="007375CD"/>
    <w:rsid w:val="00740AB5"/>
    <w:rsid w:val="00743E48"/>
    <w:rsid w:val="0074438E"/>
    <w:rsid w:val="0074533D"/>
    <w:rsid w:val="00747DEF"/>
    <w:rsid w:val="007503E1"/>
    <w:rsid w:val="00751259"/>
    <w:rsid w:val="00751471"/>
    <w:rsid w:val="007536F6"/>
    <w:rsid w:val="00755E7C"/>
    <w:rsid w:val="00757553"/>
    <w:rsid w:val="00757A04"/>
    <w:rsid w:val="007607FE"/>
    <w:rsid w:val="0076089C"/>
    <w:rsid w:val="007617BF"/>
    <w:rsid w:val="007620DD"/>
    <w:rsid w:val="0076416E"/>
    <w:rsid w:val="007641BC"/>
    <w:rsid w:val="0076489C"/>
    <w:rsid w:val="00765AB5"/>
    <w:rsid w:val="00765CCD"/>
    <w:rsid w:val="007676AF"/>
    <w:rsid w:val="00770EE1"/>
    <w:rsid w:val="007712DC"/>
    <w:rsid w:val="0077191C"/>
    <w:rsid w:val="00771DD8"/>
    <w:rsid w:val="007724CE"/>
    <w:rsid w:val="0077330B"/>
    <w:rsid w:val="00773C90"/>
    <w:rsid w:val="00773E92"/>
    <w:rsid w:val="0077413A"/>
    <w:rsid w:val="00774898"/>
    <w:rsid w:val="00774BC3"/>
    <w:rsid w:val="00775460"/>
    <w:rsid w:val="0077717A"/>
    <w:rsid w:val="007778BB"/>
    <w:rsid w:val="0078027C"/>
    <w:rsid w:val="0078181B"/>
    <w:rsid w:val="0078213F"/>
    <w:rsid w:val="00783E3B"/>
    <w:rsid w:val="007854DB"/>
    <w:rsid w:val="007902D3"/>
    <w:rsid w:val="00790756"/>
    <w:rsid w:val="007934FC"/>
    <w:rsid w:val="00794786"/>
    <w:rsid w:val="00794C47"/>
    <w:rsid w:val="0079527A"/>
    <w:rsid w:val="00795EF1"/>
    <w:rsid w:val="007A258D"/>
    <w:rsid w:val="007A3AD5"/>
    <w:rsid w:val="007B28B5"/>
    <w:rsid w:val="007B29B3"/>
    <w:rsid w:val="007B3FC3"/>
    <w:rsid w:val="007B4297"/>
    <w:rsid w:val="007B44B6"/>
    <w:rsid w:val="007B516D"/>
    <w:rsid w:val="007B54BC"/>
    <w:rsid w:val="007B6395"/>
    <w:rsid w:val="007B67A6"/>
    <w:rsid w:val="007C0E53"/>
    <w:rsid w:val="007C2406"/>
    <w:rsid w:val="007C32FA"/>
    <w:rsid w:val="007C4AFB"/>
    <w:rsid w:val="007C772F"/>
    <w:rsid w:val="007D0E9B"/>
    <w:rsid w:val="007D0EA3"/>
    <w:rsid w:val="007D390D"/>
    <w:rsid w:val="007D3DFE"/>
    <w:rsid w:val="007D46E8"/>
    <w:rsid w:val="007D5BB9"/>
    <w:rsid w:val="007D62B1"/>
    <w:rsid w:val="007E3195"/>
    <w:rsid w:val="007E3716"/>
    <w:rsid w:val="007E3AAC"/>
    <w:rsid w:val="007E3C4B"/>
    <w:rsid w:val="007E524B"/>
    <w:rsid w:val="007F2007"/>
    <w:rsid w:val="007F352A"/>
    <w:rsid w:val="007F4781"/>
    <w:rsid w:val="007F7914"/>
    <w:rsid w:val="008031E8"/>
    <w:rsid w:val="008038A7"/>
    <w:rsid w:val="008040CC"/>
    <w:rsid w:val="0080510B"/>
    <w:rsid w:val="00805366"/>
    <w:rsid w:val="0080590F"/>
    <w:rsid w:val="00805C10"/>
    <w:rsid w:val="00807722"/>
    <w:rsid w:val="00814995"/>
    <w:rsid w:val="00817353"/>
    <w:rsid w:val="00820419"/>
    <w:rsid w:val="00820891"/>
    <w:rsid w:val="00821005"/>
    <w:rsid w:val="00821C2B"/>
    <w:rsid w:val="00821EE2"/>
    <w:rsid w:val="0082263E"/>
    <w:rsid w:val="00822C94"/>
    <w:rsid w:val="0082306A"/>
    <w:rsid w:val="0082327C"/>
    <w:rsid w:val="00823F67"/>
    <w:rsid w:val="00824ACC"/>
    <w:rsid w:val="00825738"/>
    <w:rsid w:val="00826793"/>
    <w:rsid w:val="008268C4"/>
    <w:rsid w:val="00827D3F"/>
    <w:rsid w:val="00827F9B"/>
    <w:rsid w:val="0083142A"/>
    <w:rsid w:val="00831923"/>
    <w:rsid w:val="00831A88"/>
    <w:rsid w:val="008332B0"/>
    <w:rsid w:val="008341F6"/>
    <w:rsid w:val="00836C9B"/>
    <w:rsid w:val="0084048C"/>
    <w:rsid w:val="00840CC6"/>
    <w:rsid w:val="008429C4"/>
    <w:rsid w:val="0084368A"/>
    <w:rsid w:val="008445F7"/>
    <w:rsid w:val="00845581"/>
    <w:rsid w:val="00845A25"/>
    <w:rsid w:val="00846255"/>
    <w:rsid w:val="00851E8C"/>
    <w:rsid w:val="00852388"/>
    <w:rsid w:val="00852637"/>
    <w:rsid w:val="00852683"/>
    <w:rsid w:val="008542A3"/>
    <w:rsid w:val="00855F64"/>
    <w:rsid w:val="00861464"/>
    <w:rsid w:val="00862E3F"/>
    <w:rsid w:val="00865091"/>
    <w:rsid w:val="00867077"/>
    <w:rsid w:val="00867AD2"/>
    <w:rsid w:val="008740B7"/>
    <w:rsid w:val="008744CF"/>
    <w:rsid w:val="0087455B"/>
    <w:rsid w:val="0087460F"/>
    <w:rsid w:val="008746CA"/>
    <w:rsid w:val="00874870"/>
    <w:rsid w:val="00876C37"/>
    <w:rsid w:val="0087719E"/>
    <w:rsid w:val="008806E2"/>
    <w:rsid w:val="00882C66"/>
    <w:rsid w:val="00882C7E"/>
    <w:rsid w:val="00884224"/>
    <w:rsid w:val="00885C2A"/>
    <w:rsid w:val="0088611E"/>
    <w:rsid w:val="0088664E"/>
    <w:rsid w:val="00886D45"/>
    <w:rsid w:val="0089086D"/>
    <w:rsid w:val="0089093E"/>
    <w:rsid w:val="008927DE"/>
    <w:rsid w:val="00893EF8"/>
    <w:rsid w:val="008944BC"/>
    <w:rsid w:val="0089568D"/>
    <w:rsid w:val="00895CF2"/>
    <w:rsid w:val="00895D5F"/>
    <w:rsid w:val="00896299"/>
    <w:rsid w:val="0089711F"/>
    <w:rsid w:val="00897CF2"/>
    <w:rsid w:val="008A0471"/>
    <w:rsid w:val="008A15F6"/>
    <w:rsid w:val="008A1CE9"/>
    <w:rsid w:val="008A2685"/>
    <w:rsid w:val="008A2D3D"/>
    <w:rsid w:val="008A3F12"/>
    <w:rsid w:val="008A4E3B"/>
    <w:rsid w:val="008A6382"/>
    <w:rsid w:val="008A71AC"/>
    <w:rsid w:val="008B517B"/>
    <w:rsid w:val="008B52C7"/>
    <w:rsid w:val="008B60C7"/>
    <w:rsid w:val="008B6B33"/>
    <w:rsid w:val="008C1400"/>
    <w:rsid w:val="008C1B83"/>
    <w:rsid w:val="008C29AB"/>
    <w:rsid w:val="008C591C"/>
    <w:rsid w:val="008C5E96"/>
    <w:rsid w:val="008C71A1"/>
    <w:rsid w:val="008C7CCB"/>
    <w:rsid w:val="008D06DB"/>
    <w:rsid w:val="008D09EF"/>
    <w:rsid w:val="008D2167"/>
    <w:rsid w:val="008D2703"/>
    <w:rsid w:val="008D59ED"/>
    <w:rsid w:val="008D5C7C"/>
    <w:rsid w:val="008D5ED6"/>
    <w:rsid w:val="008D729E"/>
    <w:rsid w:val="008D7894"/>
    <w:rsid w:val="008D7981"/>
    <w:rsid w:val="008D7E2D"/>
    <w:rsid w:val="008E0320"/>
    <w:rsid w:val="008E4551"/>
    <w:rsid w:val="008E59CB"/>
    <w:rsid w:val="008E677F"/>
    <w:rsid w:val="008E7389"/>
    <w:rsid w:val="008E748B"/>
    <w:rsid w:val="008F0DE5"/>
    <w:rsid w:val="008F1A50"/>
    <w:rsid w:val="008F4795"/>
    <w:rsid w:val="008F53C2"/>
    <w:rsid w:val="008F6C41"/>
    <w:rsid w:val="00900CE3"/>
    <w:rsid w:val="00902672"/>
    <w:rsid w:val="00903060"/>
    <w:rsid w:val="00903A68"/>
    <w:rsid w:val="009060B7"/>
    <w:rsid w:val="0090704E"/>
    <w:rsid w:val="00907417"/>
    <w:rsid w:val="009104A4"/>
    <w:rsid w:val="00912641"/>
    <w:rsid w:val="0091283E"/>
    <w:rsid w:val="009131EA"/>
    <w:rsid w:val="0091342E"/>
    <w:rsid w:val="00913AC4"/>
    <w:rsid w:val="00915629"/>
    <w:rsid w:val="00915BB5"/>
    <w:rsid w:val="00915FB7"/>
    <w:rsid w:val="00916FE2"/>
    <w:rsid w:val="009177C6"/>
    <w:rsid w:val="00917AC0"/>
    <w:rsid w:val="0092074B"/>
    <w:rsid w:val="00922D61"/>
    <w:rsid w:val="00927973"/>
    <w:rsid w:val="009333A9"/>
    <w:rsid w:val="00933B6B"/>
    <w:rsid w:val="009347D4"/>
    <w:rsid w:val="00935CFA"/>
    <w:rsid w:val="00937D9F"/>
    <w:rsid w:val="00937E08"/>
    <w:rsid w:val="009410F1"/>
    <w:rsid w:val="00942282"/>
    <w:rsid w:val="00943F1A"/>
    <w:rsid w:val="009449F9"/>
    <w:rsid w:val="00944F7B"/>
    <w:rsid w:val="009508B9"/>
    <w:rsid w:val="00950ECC"/>
    <w:rsid w:val="0095137C"/>
    <w:rsid w:val="00952191"/>
    <w:rsid w:val="00952C40"/>
    <w:rsid w:val="009532F4"/>
    <w:rsid w:val="0095502D"/>
    <w:rsid w:val="00956701"/>
    <w:rsid w:val="00957481"/>
    <w:rsid w:val="009618CA"/>
    <w:rsid w:val="00962B5F"/>
    <w:rsid w:val="00963BBA"/>
    <w:rsid w:val="00963DE6"/>
    <w:rsid w:val="009640ED"/>
    <w:rsid w:val="0096416B"/>
    <w:rsid w:val="009641A7"/>
    <w:rsid w:val="00964326"/>
    <w:rsid w:val="00964B69"/>
    <w:rsid w:val="0096517A"/>
    <w:rsid w:val="0096583B"/>
    <w:rsid w:val="00966558"/>
    <w:rsid w:val="00966C19"/>
    <w:rsid w:val="009714BA"/>
    <w:rsid w:val="009718D7"/>
    <w:rsid w:val="0098098E"/>
    <w:rsid w:val="00980F7D"/>
    <w:rsid w:val="0098185D"/>
    <w:rsid w:val="0098208F"/>
    <w:rsid w:val="009822A5"/>
    <w:rsid w:val="00982E22"/>
    <w:rsid w:val="00986FC9"/>
    <w:rsid w:val="00990603"/>
    <w:rsid w:val="009914B9"/>
    <w:rsid w:val="0099188C"/>
    <w:rsid w:val="0099216D"/>
    <w:rsid w:val="009929C8"/>
    <w:rsid w:val="00993AFF"/>
    <w:rsid w:val="00996DCF"/>
    <w:rsid w:val="009A1864"/>
    <w:rsid w:val="009A3790"/>
    <w:rsid w:val="009A3C0D"/>
    <w:rsid w:val="009A43FF"/>
    <w:rsid w:val="009A7341"/>
    <w:rsid w:val="009B08D4"/>
    <w:rsid w:val="009B2AAE"/>
    <w:rsid w:val="009B3360"/>
    <w:rsid w:val="009B5499"/>
    <w:rsid w:val="009B5B27"/>
    <w:rsid w:val="009C0D96"/>
    <w:rsid w:val="009C32FF"/>
    <w:rsid w:val="009C403F"/>
    <w:rsid w:val="009C4D61"/>
    <w:rsid w:val="009C5484"/>
    <w:rsid w:val="009C57F8"/>
    <w:rsid w:val="009C59CA"/>
    <w:rsid w:val="009C77D6"/>
    <w:rsid w:val="009D16ED"/>
    <w:rsid w:val="009D21C6"/>
    <w:rsid w:val="009D2978"/>
    <w:rsid w:val="009D2C37"/>
    <w:rsid w:val="009D306D"/>
    <w:rsid w:val="009D4974"/>
    <w:rsid w:val="009D79EE"/>
    <w:rsid w:val="009E13F4"/>
    <w:rsid w:val="009E3AC7"/>
    <w:rsid w:val="009E4973"/>
    <w:rsid w:val="009E4D16"/>
    <w:rsid w:val="009E64DC"/>
    <w:rsid w:val="009F01EE"/>
    <w:rsid w:val="009F0B35"/>
    <w:rsid w:val="009F145D"/>
    <w:rsid w:val="009F25B0"/>
    <w:rsid w:val="009F4F4A"/>
    <w:rsid w:val="009F5019"/>
    <w:rsid w:val="009F550C"/>
    <w:rsid w:val="009F606F"/>
    <w:rsid w:val="009F620E"/>
    <w:rsid w:val="009F791B"/>
    <w:rsid w:val="00A00147"/>
    <w:rsid w:val="00A01C24"/>
    <w:rsid w:val="00A026C0"/>
    <w:rsid w:val="00A03376"/>
    <w:rsid w:val="00A034EC"/>
    <w:rsid w:val="00A03695"/>
    <w:rsid w:val="00A03BB4"/>
    <w:rsid w:val="00A044AA"/>
    <w:rsid w:val="00A046B0"/>
    <w:rsid w:val="00A04750"/>
    <w:rsid w:val="00A06F0D"/>
    <w:rsid w:val="00A076C4"/>
    <w:rsid w:val="00A07A94"/>
    <w:rsid w:val="00A07AF0"/>
    <w:rsid w:val="00A11563"/>
    <w:rsid w:val="00A115C6"/>
    <w:rsid w:val="00A12DF5"/>
    <w:rsid w:val="00A135DD"/>
    <w:rsid w:val="00A13EAB"/>
    <w:rsid w:val="00A157D0"/>
    <w:rsid w:val="00A15F7E"/>
    <w:rsid w:val="00A20206"/>
    <w:rsid w:val="00A211E7"/>
    <w:rsid w:val="00A222A3"/>
    <w:rsid w:val="00A25343"/>
    <w:rsid w:val="00A27752"/>
    <w:rsid w:val="00A27AD9"/>
    <w:rsid w:val="00A31D64"/>
    <w:rsid w:val="00A324EC"/>
    <w:rsid w:val="00A327B3"/>
    <w:rsid w:val="00A3342E"/>
    <w:rsid w:val="00A334EA"/>
    <w:rsid w:val="00A33AF5"/>
    <w:rsid w:val="00A33D1D"/>
    <w:rsid w:val="00A342D3"/>
    <w:rsid w:val="00A3663F"/>
    <w:rsid w:val="00A36840"/>
    <w:rsid w:val="00A36933"/>
    <w:rsid w:val="00A4167C"/>
    <w:rsid w:val="00A41A2A"/>
    <w:rsid w:val="00A42051"/>
    <w:rsid w:val="00A42845"/>
    <w:rsid w:val="00A433E5"/>
    <w:rsid w:val="00A44ECC"/>
    <w:rsid w:val="00A45019"/>
    <w:rsid w:val="00A51288"/>
    <w:rsid w:val="00A51396"/>
    <w:rsid w:val="00A53AE7"/>
    <w:rsid w:val="00A54DEC"/>
    <w:rsid w:val="00A57CE5"/>
    <w:rsid w:val="00A601E0"/>
    <w:rsid w:val="00A621F0"/>
    <w:rsid w:val="00A6270F"/>
    <w:rsid w:val="00A629D7"/>
    <w:rsid w:val="00A63F50"/>
    <w:rsid w:val="00A67F5E"/>
    <w:rsid w:val="00A7075D"/>
    <w:rsid w:val="00A7077D"/>
    <w:rsid w:val="00A711BC"/>
    <w:rsid w:val="00A7131C"/>
    <w:rsid w:val="00A72D30"/>
    <w:rsid w:val="00A72E52"/>
    <w:rsid w:val="00A73B88"/>
    <w:rsid w:val="00A75672"/>
    <w:rsid w:val="00A75D6C"/>
    <w:rsid w:val="00A80D4E"/>
    <w:rsid w:val="00A810F1"/>
    <w:rsid w:val="00A82103"/>
    <w:rsid w:val="00A834B3"/>
    <w:rsid w:val="00A865A2"/>
    <w:rsid w:val="00A901A8"/>
    <w:rsid w:val="00A909FB"/>
    <w:rsid w:val="00A9507B"/>
    <w:rsid w:val="00A97DCC"/>
    <w:rsid w:val="00AA1814"/>
    <w:rsid w:val="00AA2C1D"/>
    <w:rsid w:val="00AA3526"/>
    <w:rsid w:val="00AA4145"/>
    <w:rsid w:val="00AA63B8"/>
    <w:rsid w:val="00AA6E4F"/>
    <w:rsid w:val="00AB0222"/>
    <w:rsid w:val="00AB1BCB"/>
    <w:rsid w:val="00AB286C"/>
    <w:rsid w:val="00AB29B5"/>
    <w:rsid w:val="00AB35E9"/>
    <w:rsid w:val="00AB360A"/>
    <w:rsid w:val="00AB4D0C"/>
    <w:rsid w:val="00AB52A8"/>
    <w:rsid w:val="00AB633C"/>
    <w:rsid w:val="00AB6CB4"/>
    <w:rsid w:val="00AB7A1B"/>
    <w:rsid w:val="00AC0112"/>
    <w:rsid w:val="00AC0A46"/>
    <w:rsid w:val="00AC1E59"/>
    <w:rsid w:val="00AC2D39"/>
    <w:rsid w:val="00AC3411"/>
    <w:rsid w:val="00AC49B9"/>
    <w:rsid w:val="00AC68BF"/>
    <w:rsid w:val="00AD1578"/>
    <w:rsid w:val="00AD2BC9"/>
    <w:rsid w:val="00AD5278"/>
    <w:rsid w:val="00AD5A3F"/>
    <w:rsid w:val="00AE0431"/>
    <w:rsid w:val="00AE05F4"/>
    <w:rsid w:val="00AE1825"/>
    <w:rsid w:val="00AE2D9B"/>
    <w:rsid w:val="00AE2FAC"/>
    <w:rsid w:val="00AF0859"/>
    <w:rsid w:val="00AF0C90"/>
    <w:rsid w:val="00AF0C9D"/>
    <w:rsid w:val="00AF3C51"/>
    <w:rsid w:val="00AF3DCB"/>
    <w:rsid w:val="00AF4B4D"/>
    <w:rsid w:val="00AF5254"/>
    <w:rsid w:val="00AF643C"/>
    <w:rsid w:val="00AF779C"/>
    <w:rsid w:val="00B00B59"/>
    <w:rsid w:val="00B025BF"/>
    <w:rsid w:val="00B027FE"/>
    <w:rsid w:val="00B04801"/>
    <w:rsid w:val="00B057A5"/>
    <w:rsid w:val="00B05A1B"/>
    <w:rsid w:val="00B05C02"/>
    <w:rsid w:val="00B106AC"/>
    <w:rsid w:val="00B11665"/>
    <w:rsid w:val="00B11875"/>
    <w:rsid w:val="00B1241F"/>
    <w:rsid w:val="00B12795"/>
    <w:rsid w:val="00B12EA1"/>
    <w:rsid w:val="00B13251"/>
    <w:rsid w:val="00B1353C"/>
    <w:rsid w:val="00B14EEA"/>
    <w:rsid w:val="00B17B2F"/>
    <w:rsid w:val="00B20C01"/>
    <w:rsid w:val="00B23E20"/>
    <w:rsid w:val="00B2416E"/>
    <w:rsid w:val="00B2483E"/>
    <w:rsid w:val="00B30A1F"/>
    <w:rsid w:val="00B30B94"/>
    <w:rsid w:val="00B31ACA"/>
    <w:rsid w:val="00B31E47"/>
    <w:rsid w:val="00B32A7E"/>
    <w:rsid w:val="00B350B4"/>
    <w:rsid w:val="00B36F12"/>
    <w:rsid w:val="00B40BF6"/>
    <w:rsid w:val="00B422F4"/>
    <w:rsid w:val="00B43E43"/>
    <w:rsid w:val="00B44D88"/>
    <w:rsid w:val="00B45ABB"/>
    <w:rsid w:val="00B46F16"/>
    <w:rsid w:val="00B519BF"/>
    <w:rsid w:val="00B523C0"/>
    <w:rsid w:val="00B54F50"/>
    <w:rsid w:val="00B654E8"/>
    <w:rsid w:val="00B65A5B"/>
    <w:rsid w:val="00B65C4E"/>
    <w:rsid w:val="00B71764"/>
    <w:rsid w:val="00B7554A"/>
    <w:rsid w:val="00B773F6"/>
    <w:rsid w:val="00B80CF1"/>
    <w:rsid w:val="00B82A06"/>
    <w:rsid w:val="00B82B69"/>
    <w:rsid w:val="00B85508"/>
    <w:rsid w:val="00B85C6F"/>
    <w:rsid w:val="00B90CE6"/>
    <w:rsid w:val="00B9138B"/>
    <w:rsid w:val="00B934FB"/>
    <w:rsid w:val="00B93F57"/>
    <w:rsid w:val="00BA1A8C"/>
    <w:rsid w:val="00BA2143"/>
    <w:rsid w:val="00BA21AB"/>
    <w:rsid w:val="00BA2F18"/>
    <w:rsid w:val="00BA42C5"/>
    <w:rsid w:val="00BA67A4"/>
    <w:rsid w:val="00BA73F0"/>
    <w:rsid w:val="00BA78C0"/>
    <w:rsid w:val="00BA7E87"/>
    <w:rsid w:val="00BB1876"/>
    <w:rsid w:val="00BB2B12"/>
    <w:rsid w:val="00BB5141"/>
    <w:rsid w:val="00BB5B22"/>
    <w:rsid w:val="00BB79B3"/>
    <w:rsid w:val="00BC1225"/>
    <w:rsid w:val="00BC2320"/>
    <w:rsid w:val="00BC494B"/>
    <w:rsid w:val="00BC49FA"/>
    <w:rsid w:val="00BC5C7A"/>
    <w:rsid w:val="00BC6194"/>
    <w:rsid w:val="00BC7595"/>
    <w:rsid w:val="00BD174B"/>
    <w:rsid w:val="00BD1C4E"/>
    <w:rsid w:val="00BD20EC"/>
    <w:rsid w:val="00BD408F"/>
    <w:rsid w:val="00BD5BDB"/>
    <w:rsid w:val="00BD6AB2"/>
    <w:rsid w:val="00BE3A8C"/>
    <w:rsid w:val="00BE4372"/>
    <w:rsid w:val="00BE5A0B"/>
    <w:rsid w:val="00BE5FBF"/>
    <w:rsid w:val="00BE6B5F"/>
    <w:rsid w:val="00BF11AD"/>
    <w:rsid w:val="00BF250A"/>
    <w:rsid w:val="00BF305F"/>
    <w:rsid w:val="00BF4D40"/>
    <w:rsid w:val="00BF558D"/>
    <w:rsid w:val="00BF5A55"/>
    <w:rsid w:val="00BF6B9E"/>
    <w:rsid w:val="00BF7B04"/>
    <w:rsid w:val="00C0305E"/>
    <w:rsid w:val="00C032B3"/>
    <w:rsid w:val="00C03CB6"/>
    <w:rsid w:val="00C04D94"/>
    <w:rsid w:val="00C055E6"/>
    <w:rsid w:val="00C058BA"/>
    <w:rsid w:val="00C07163"/>
    <w:rsid w:val="00C072B2"/>
    <w:rsid w:val="00C07441"/>
    <w:rsid w:val="00C102CE"/>
    <w:rsid w:val="00C110EE"/>
    <w:rsid w:val="00C11BE6"/>
    <w:rsid w:val="00C11DB8"/>
    <w:rsid w:val="00C12A0E"/>
    <w:rsid w:val="00C141DD"/>
    <w:rsid w:val="00C14A3C"/>
    <w:rsid w:val="00C20314"/>
    <w:rsid w:val="00C206D3"/>
    <w:rsid w:val="00C21AA9"/>
    <w:rsid w:val="00C21B83"/>
    <w:rsid w:val="00C23F5B"/>
    <w:rsid w:val="00C24378"/>
    <w:rsid w:val="00C2555F"/>
    <w:rsid w:val="00C267BF"/>
    <w:rsid w:val="00C26DC7"/>
    <w:rsid w:val="00C27C14"/>
    <w:rsid w:val="00C27F6F"/>
    <w:rsid w:val="00C30F9C"/>
    <w:rsid w:val="00C329B5"/>
    <w:rsid w:val="00C3432E"/>
    <w:rsid w:val="00C34FA0"/>
    <w:rsid w:val="00C354D5"/>
    <w:rsid w:val="00C355B7"/>
    <w:rsid w:val="00C36D52"/>
    <w:rsid w:val="00C37201"/>
    <w:rsid w:val="00C372D3"/>
    <w:rsid w:val="00C4016C"/>
    <w:rsid w:val="00C40EBC"/>
    <w:rsid w:val="00C41350"/>
    <w:rsid w:val="00C421C8"/>
    <w:rsid w:val="00C42AB9"/>
    <w:rsid w:val="00C42E34"/>
    <w:rsid w:val="00C43841"/>
    <w:rsid w:val="00C44184"/>
    <w:rsid w:val="00C454CE"/>
    <w:rsid w:val="00C45E91"/>
    <w:rsid w:val="00C520BB"/>
    <w:rsid w:val="00C5211A"/>
    <w:rsid w:val="00C5367E"/>
    <w:rsid w:val="00C53D26"/>
    <w:rsid w:val="00C553BF"/>
    <w:rsid w:val="00C55A08"/>
    <w:rsid w:val="00C56601"/>
    <w:rsid w:val="00C570F5"/>
    <w:rsid w:val="00C60446"/>
    <w:rsid w:val="00C624BD"/>
    <w:rsid w:val="00C62E91"/>
    <w:rsid w:val="00C64CBA"/>
    <w:rsid w:val="00C64F83"/>
    <w:rsid w:val="00C70639"/>
    <w:rsid w:val="00C7084F"/>
    <w:rsid w:val="00C70A97"/>
    <w:rsid w:val="00C74E36"/>
    <w:rsid w:val="00C764D9"/>
    <w:rsid w:val="00C76E1D"/>
    <w:rsid w:val="00C806D3"/>
    <w:rsid w:val="00C80853"/>
    <w:rsid w:val="00C8156E"/>
    <w:rsid w:val="00C83C8A"/>
    <w:rsid w:val="00C83D7B"/>
    <w:rsid w:val="00C91169"/>
    <w:rsid w:val="00C92FB5"/>
    <w:rsid w:val="00C938F8"/>
    <w:rsid w:val="00C94654"/>
    <w:rsid w:val="00C94A25"/>
    <w:rsid w:val="00C96761"/>
    <w:rsid w:val="00C97996"/>
    <w:rsid w:val="00CA041E"/>
    <w:rsid w:val="00CA196C"/>
    <w:rsid w:val="00CA3005"/>
    <w:rsid w:val="00CA3070"/>
    <w:rsid w:val="00CA39EF"/>
    <w:rsid w:val="00CA47D0"/>
    <w:rsid w:val="00CA4E60"/>
    <w:rsid w:val="00CA6698"/>
    <w:rsid w:val="00CA7569"/>
    <w:rsid w:val="00CA7C61"/>
    <w:rsid w:val="00CB084A"/>
    <w:rsid w:val="00CB1B93"/>
    <w:rsid w:val="00CB1BDE"/>
    <w:rsid w:val="00CB1F5A"/>
    <w:rsid w:val="00CB26F7"/>
    <w:rsid w:val="00CB2B1A"/>
    <w:rsid w:val="00CB2F52"/>
    <w:rsid w:val="00CB2FC2"/>
    <w:rsid w:val="00CB38CD"/>
    <w:rsid w:val="00CB50E5"/>
    <w:rsid w:val="00CB5BAF"/>
    <w:rsid w:val="00CB747E"/>
    <w:rsid w:val="00CC0742"/>
    <w:rsid w:val="00CC0BCA"/>
    <w:rsid w:val="00CC1ADF"/>
    <w:rsid w:val="00CC6D13"/>
    <w:rsid w:val="00CC7199"/>
    <w:rsid w:val="00CD048F"/>
    <w:rsid w:val="00CD1C73"/>
    <w:rsid w:val="00CD2AA7"/>
    <w:rsid w:val="00CD3364"/>
    <w:rsid w:val="00CD3D03"/>
    <w:rsid w:val="00CD6A19"/>
    <w:rsid w:val="00CE31D2"/>
    <w:rsid w:val="00CE31F9"/>
    <w:rsid w:val="00CE397A"/>
    <w:rsid w:val="00CE45AD"/>
    <w:rsid w:val="00CE5B73"/>
    <w:rsid w:val="00CE5BA9"/>
    <w:rsid w:val="00CE6034"/>
    <w:rsid w:val="00CE6765"/>
    <w:rsid w:val="00CE6906"/>
    <w:rsid w:val="00CF00A5"/>
    <w:rsid w:val="00CF06FC"/>
    <w:rsid w:val="00CF24CA"/>
    <w:rsid w:val="00CF3160"/>
    <w:rsid w:val="00CF4BCB"/>
    <w:rsid w:val="00CF514B"/>
    <w:rsid w:val="00CF5CDB"/>
    <w:rsid w:val="00CF7C23"/>
    <w:rsid w:val="00D02809"/>
    <w:rsid w:val="00D028E6"/>
    <w:rsid w:val="00D029B8"/>
    <w:rsid w:val="00D03540"/>
    <w:rsid w:val="00D04950"/>
    <w:rsid w:val="00D05E96"/>
    <w:rsid w:val="00D06BC6"/>
    <w:rsid w:val="00D07B12"/>
    <w:rsid w:val="00D10B36"/>
    <w:rsid w:val="00D10D2B"/>
    <w:rsid w:val="00D1123D"/>
    <w:rsid w:val="00D12A65"/>
    <w:rsid w:val="00D13742"/>
    <w:rsid w:val="00D171AE"/>
    <w:rsid w:val="00D1729A"/>
    <w:rsid w:val="00D1744A"/>
    <w:rsid w:val="00D17580"/>
    <w:rsid w:val="00D22C64"/>
    <w:rsid w:val="00D22C6C"/>
    <w:rsid w:val="00D232EB"/>
    <w:rsid w:val="00D25718"/>
    <w:rsid w:val="00D25C22"/>
    <w:rsid w:val="00D27150"/>
    <w:rsid w:val="00D30177"/>
    <w:rsid w:val="00D313CE"/>
    <w:rsid w:val="00D34B79"/>
    <w:rsid w:val="00D40C95"/>
    <w:rsid w:val="00D4109D"/>
    <w:rsid w:val="00D417ED"/>
    <w:rsid w:val="00D41B45"/>
    <w:rsid w:val="00D42F86"/>
    <w:rsid w:val="00D432CB"/>
    <w:rsid w:val="00D43A0F"/>
    <w:rsid w:val="00D44A1E"/>
    <w:rsid w:val="00D45983"/>
    <w:rsid w:val="00D47935"/>
    <w:rsid w:val="00D479D8"/>
    <w:rsid w:val="00D47A37"/>
    <w:rsid w:val="00D47CC4"/>
    <w:rsid w:val="00D5027F"/>
    <w:rsid w:val="00D51398"/>
    <w:rsid w:val="00D54B5A"/>
    <w:rsid w:val="00D602E3"/>
    <w:rsid w:val="00D6044B"/>
    <w:rsid w:val="00D614CD"/>
    <w:rsid w:val="00D62296"/>
    <w:rsid w:val="00D62D90"/>
    <w:rsid w:val="00D638E7"/>
    <w:rsid w:val="00D64F86"/>
    <w:rsid w:val="00D65E95"/>
    <w:rsid w:val="00D702DF"/>
    <w:rsid w:val="00D70A34"/>
    <w:rsid w:val="00D7112F"/>
    <w:rsid w:val="00D73862"/>
    <w:rsid w:val="00D762B3"/>
    <w:rsid w:val="00D763C4"/>
    <w:rsid w:val="00D77268"/>
    <w:rsid w:val="00D8069A"/>
    <w:rsid w:val="00D809FE"/>
    <w:rsid w:val="00D82327"/>
    <w:rsid w:val="00D858A8"/>
    <w:rsid w:val="00D85ADB"/>
    <w:rsid w:val="00D86560"/>
    <w:rsid w:val="00D90E2B"/>
    <w:rsid w:val="00D92F13"/>
    <w:rsid w:val="00D95216"/>
    <w:rsid w:val="00DA0F70"/>
    <w:rsid w:val="00DA0FEB"/>
    <w:rsid w:val="00DA375F"/>
    <w:rsid w:val="00DA3E43"/>
    <w:rsid w:val="00DA45CD"/>
    <w:rsid w:val="00DA4D11"/>
    <w:rsid w:val="00DA53B7"/>
    <w:rsid w:val="00DA5E91"/>
    <w:rsid w:val="00DB07A3"/>
    <w:rsid w:val="00DB0CAB"/>
    <w:rsid w:val="00DB1EFF"/>
    <w:rsid w:val="00DB3F9A"/>
    <w:rsid w:val="00DB521A"/>
    <w:rsid w:val="00DB7F17"/>
    <w:rsid w:val="00DC03D4"/>
    <w:rsid w:val="00DC14E9"/>
    <w:rsid w:val="00DC3373"/>
    <w:rsid w:val="00DC4364"/>
    <w:rsid w:val="00DC533F"/>
    <w:rsid w:val="00DC61CA"/>
    <w:rsid w:val="00DC7F7D"/>
    <w:rsid w:val="00DC7F80"/>
    <w:rsid w:val="00DD04D7"/>
    <w:rsid w:val="00DD3311"/>
    <w:rsid w:val="00DD547F"/>
    <w:rsid w:val="00DD60C3"/>
    <w:rsid w:val="00DD6F02"/>
    <w:rsid w:val="00DD75E4"/>
    <w:rsid w:val="00DE233C"/>
    <w:rsid w:val="00DE24B5"/>
    <w:rsid w:val="00DE26B9"/>
    <w:rsid w:val="00DE3DC0"/>
    <w:rsid w:val="00DE50EA"/>
    <w:rsid w:val="00DE73DE"/>
    <w:rsid w:val="00DF174E"/>
    <w:rsid w:val="00DF1A11"/>
    <w:rsid w:val="00DF1D7A"/>
    <w:rsid w:val="00DF1F8E"/>
    <w:rsid w:val="00DF346E"/>
    <w:rsid w:val="00DF5050"/>
    <w:rsid w:val="00E00558"/>
    <w:rsid w:val="00E00F48"/>
    <w:rsid w:val="00E0157A"/>
    <w:rsid w:val="00E0183F"/>
    <w:rsid w:val="00E027C4"/>
    <w:rsid w:val="00E0288A"/>
    <w:rsid w:val="00E04185"/>
    <w:rsid w:val="00E05705"/>
    <w:rsid w:val="00E10255"/>
    <w:rsid w:val="00E10573"/>
    <w:rsid w:val="00E110FF"/>
    <w:rsid w:val="00E11549"/>
    <w:rsid w:val="00E12F46"/>
    <w:rsid w:val="00E134A5"/>
    <w:rsid w:val="00E14435"/>
    <w:rsid w:val="00E145EC"/>
    <w:rsid w:val="00E16FFD"/>
    <w:rsid w:val="00E23C96"/>
    <w:rsid w:val="00E25F36"/>
    <w:rsid w:val="00E26DAD"/>
    <w:rsid w:val="00E30CFD"/>
    <w:rsid w:val="00E31D25"/>
    <w:rsid w:val="00E325A0"/>
    <w:rsid w:val="00E34959"/>
    <w:rsid w:val="00E34E6E"/>
    <w:rsid w:val="00E36F32"/>
    <w:rsid w:val="00E372AA"/>
    <w:rsid w:val="00E37B47"/>
    <w:rsid w:val="00E37F78"/>
    <w:rsid w:val="00E4071E"/>
    <w:rsid w:val="00E40869"/>
    <w:rsid w:val="00E417CB"/>
    <w:rsid w:val="00E41F9D"/>
    <w:rsid w:val="00E42D47"/>
    <w:rsid w:val="00E4318D"/>
    <w:rsid w:val="00E436AD"/>
    <w:rsid w:val="00E453D0"/>
    <w:rsid w:val="00E454BB"/>
    <w:rsid w:val="00E4700F"/>
    <w:rsid w:val="00E47F27"/>
    <w:rsid w:val="00E50C1A"/>
    <w:rsid w:val="00E52703"/>
    <w:rsid w:val="00E52FE4"/>
    <w:rsid w:val="00E53375"/>
    <w:rsid w:val="00E53603"/>
    <w:rsid w:val="00E55944"/>
    <w:rsid w:val="00E567EC"/>
    <w:rsid w:val="00E57B31"/>
    <w:rsid w:val="00E60696"/>
    <w:rsid w:val="00E60A27"/>
    <w:rsid w:val="00E612B6"/>
    <w:rsid w:val="00E63812"/>
    <w:rsid w:val="00E64717"/>
    <w:rsid w:val="00E661CD"/>
    <w:rsid w:val="00E675A6"/>
    <w:rsid w:val="00E675F8"/>
    <w:rsid w:val="00E708CE"/>
    <w:rsid w:val="00E7240D"/>
    <w:rsid w:val="00E73471"/>
    <w:rsid w:val="00E748F8"/>
    <w:rsid w:val="00E801B7"/>
    <w:rsid w:val="00E81111"/>
    <w:rsid w:val="00E82F2E"/>
    <w:rsid w:val="00E83B80"/>
    <w:rsid w:val="00E844B1"/>
    <w:rsid w:val="00E850F0"/>
    <w:rsid w:val="00E85B0B"/>
    <w:rsid w:val="00E85F2C"/>
    <w:rsid w:val="00E85F52"/>
    <w:rsid w:val="00E860DF"/>
    <w:rsid w:val="00E86EF7"/>
    <w:rsid w:val="00E927C7"/>
    <w:rsid w:val="00E93087"/>
    <w:rsid w:val="00E931C4"/>
    <w:rsid w:val="00E94424"/>
    <w:rsid w:val="00E94C38"/>
    <w:rsid w:val="00E95ACE"/>
    <w:rsid w:val="00E95D1C"/>
    <w:rsid w:val="00E962B8"/>
    <w:rsid w:val="00EA7121"/>
    <w:rsid w:val="00EB1130"/>
    <w:rsid w:val="00EB2395"/>
    <w:rsid w:val="00EB3262"/>
    <w:rsid w:val="00EB3DC6"/>
    <w:rsid w:val="00EB4217"/>
    <w:rsid w:val="00EB4ABC"/>
    <w:rsid w:val="00EB5379"/>
    <w:rsid w:val="00EC069D"/>
    <w:rsid w:val="00EC5741"/>
    <w:rsid w:val="00EC6C17"/>
    <w:rsid w:val="00EC737B"/>
    <w:rsid w:val="00EC7F6D"/>
    <w:rsid w:val="00ED251A"/>
    <w:rsid w:val="00ED25E6"/>
    <w:rsid w:val="00ED2D79"/>
    <w:rsid w:val="00ED332A"/>
    <w:rsid w:val="00ED460E"/>
    <w:rsid w:val="00ED6A5B"/>
    <w:rsid w:val="00ED72B5"/>
    <w:rsid w:val="00EE10CF"/>
    <w:rsid w:val="00EE121A"/>
    <w:rsid w:val="00EE17C0"/>
    <w:rsid w:val="00EE4347"/>
    <w:rsid w:val="00EE61A8"/>
    <w:rsid w:val="00EE626F"/>
    <w:rsid w:val="00EE6A14"/>
    <w:rsid w:val="00EE76EF"/>
    <w:rsid w:val="00EE7738"/>
    <w:rsid w:val="00EE7D81"/>
    <w:rsid w:val="00EF1CC9"/>
    <w:rsid w:val="00EF32A5"/>
    <w:rsid w:val="00EF4654"/>
    <w:rsid w:val="00EF525F"/>
    <w:rsid w:val="00EF58F6"/>
    <w:rsid w:val="00EF7115"/>
    <w:rsid w:val="00F00D19"/>
    <w:rsid w:val="00F0262A"/>
    <w:rsid w:val="00F03763"/>
    <w:rsid w:val="00F0501F"/>
    <w:rsid w:val="00F06ACF"/>
    <w:rsid w:val="00F07A31"/>
    <w:rsid w:val="00F07FC7"/>
    <w:rsid w:val="00F170FC"/>
    <w:rsid w:val="00F17E2C"/>
    <w:rsid w:val="00F23E9E"/>
    <w:rsid w:val="00F254F9"/>
    <w:rsid w:val="00F26517"/>
    <w:rsid w:val="00F27FEB"/>
    <w:rsid w:val="00F31254"/>
    <w:rsid w:val="00F3382F"/>
    <w:rsid w:val="00F35BB9"/>
    <w:rsid w:val="00F36674"/>
    <w:rsid w:val="00F42431"/>
    <w:rsid w:val="00F4309C"/>
    <w:rsid w:val="00F43EF3"/>
    <w:rsid w:val="00F4421A"/>
    <w:rsid w:val="00F443B6"/>
    <w:rsid w:val="00F44D76"/>
    <w:rsid w:val="00F47054"/>
    <w:rsid w:val="00F53F85"/>
    <w:rsid w:val="00F5652F"/>
    <w:rsid w:val="00F608B9"/>
    <w:rsid w:val="00F61421"/>
    <w:rsid w:val="00F61724"/>
    <w:rsid w:val="00F619E6"/>
    <w:rsid w:val="00F73F94"/>
    <w:rsid w:val="00F7410F"/>
    <w:rsid w:val="00F7459D"/>
    <w:rsid w:val="00F75816"/>
    <w:rsid w:val="00F75D7F"/>
    <w:rsid w:val="00F77FBB"/>
    <w:rsid w:val="00F81E75"/>
    <w:rsid w:val="00F83675"/>
    <w:rsid w:val="00F86AC8"/>
    <w:rsid w:val="00F86FD0"/>
    <w:rsid w:val="00F870BF"/>
    <w:rsid w:val="00F87405"/>
    <w:rsid w:val="00F90028"/>
    <w:rsid w:val="00F91ACA"/>
    <w:rsid w:val="00F91EAD"/>
    <w:rsid w:val="00F94980"/>
    <w:rsid w:val="00F9577E"/>
    <w:rsid w:val="00F9589F"/>
    <w:rsid w:val="00F970DF"/>
    <w:rsid w:val="00FA0BCF"/>
    <w:rsid w:val="00FA16C5"/>
    <w:rsid w:val="00FA4FFC"/>
    <w:rsid w:val="00FA577E"/>
    <w:rsid w:val="00FA5881"/>
    <w:rsid w:val="00FA616C"/>
    <w:rsid w:val="00FA6B68"/>
    <w:rsid w:val="00FA729C"/>
    <w:rsid w:val="00FA7A9B"/>
    <w:rsid w:val="00FA7AF7"/>
    <w:rsid w:val="00FB08FA"/>
    <w:rsid w:val="00FB1955"/>
    <w:rsid w:val="00FB1A74"/>
    <w:rsid w:val="00FB277A"/>
    <w:rsid w:val="00FB2CFE"/>
    <w:rsid w:val="00FB3493"/>
    <w:rsid w:val="00FB34B4"/>
    <w:rsid w:val="00FB3F02"/>
    <w:rsid w:val="00FC0AC8"/>
    <w:rsid w:val="00FC3080"/>
    <w:rsid w:val="00FC3151"/>
    <w:rsid w:val="00FC385B"/>
    <w:rsid w:val="00FC3FA0"/>
    <w:rsid w:val="00FC43F3"/>
    <w:rsid w:val="00FC4CCB"/>
    <w:rsid w:val="00FC547A"/>
    <w:rsid w:val="00FC5713"/>
    <w:rsid w:val="00FC6423"/>
    <w:rsid w:val="00FC7E4C"/>
    <w:rsid w:val="00FD3D82"/>
    <w:rsid w:val="00FD62F5"/>
    <w:rsid w:val="00FE0878"/>
    <w:rsid w:val="00FE1386"/>
    <w:rsid w:val="00FE2432"/>
    <w:rsid w:val="00FE3C49"/>
    <w:rsid w:val="00FE63AA"/>
    <w:rsid w:val="00FE7968"/>
    <w:rsid w:val="00FF0158"/>
    <w:rsid w:val="00FF100D"/>
    <w:rsid w:val="00FF1885"/>
    <w:rsid w:val="00FF2191"/>
    <w:rsid w:val="00FF2F63"/>
    <w:rsid w:val="00FF3950"/>
    <w:rsid w:val="00FF412E"/>
    <w:rsid w:val="00FF6D03"/>
    <w:rsid w:val="086DC0DA"/>
    <w:rsid w:val="0E925753"/>
    <w:rsid w:val="2194A5CB"/>
    <w:rsid w:val="2E9E206B"/>
    <w:rsid w:val="316FA0D3"/>
    <w:rsid w:val="33601BEF"/>
    <w:rsid w:val="354354BA"/>
    <w:rsid w:val="35B17B25"/>
    <w:rsid w:val="368ECF32"/>
    <w:rsid w:val="3704F283"/>
    <w:rsid w:val="3D4633F7"/>
    <w:rsid w:val="3E9C87AA"/>
    <w:rsid w:val="4C2EBE74"/>
    <w:rsid w:val="50278072"/>
    <w:rsid w:val="5D942CEE"/>
    <w:rsid w:val="6194D711"/>
    <w:rsid w:val="62F3BE23"/>
    <w:rsid w:val="678FC73A"/>
    <w:rsid w:val="70DA749F"/>
    <w:rsid w:val="72A85E2D"/>
    <w:rsid w:val="74AE42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5220"/>
  <w15:chartTrackingRefBased/>
  <w15:docId w15:val="{79871DF7-096C-47F2-9F57-7A22E8AC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C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0740CF"/>
    <w:rPr>
      <w:rFonts w:ascii="Arial" w:hAnsi="Arial"/>
      <w:kern w:val="28"/>
      <w:sz w:val="24"/>
      <w:lang w:val="es-ES_tradnl" w:eastAsia="es-ES"/>
    </w:rPr>
  </w:style>
  <w:style w:type="paragraph" w:styleId="Encabezado">
    <w:name w:val="header"/>
    <w:basedOn w:val="Normal"/>
    <w:link w:val="EncabezadoCar"/>
    <w:rsid w:val="000740CF"/>
    <w:pPr>
      <w:tabs>
        <w:tab w:val="center" w:pos="4252"/>
        <w:tab w:val="right" w:pos="8504"/>
      </w:tabs>
    </w:pPr>
    <w:rPr>
      <w:rFonts w:ascii="Arial" w:eastAsiaTheme="minorHAnsi" w:hAnsi="Arial" w:cstheme="minorBidi"/>
      <w:kern w:val="28"/>
      <w:sz w:val="24"/>
      <w:szCs w:val="22"/>
      <w:lang w:val="es-ES_tradnl"/>
    </w:rPr>
  </w:style>
  <w:style w:type="character" w:customStyle="1" w:styleId="EncabezadoCar1">
    <w:name w:val="Encabezado Car1"/>
    <w:basedOn w:val="Fuentedeprrafopredeter"/>
    <w:uiPriority w:val="99"/>
    <w:semiHidden/>
    <w:rsid w:val="000740C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740CF"/>
  </w:style>
  <w:style w:type="paragraph" w:styleId="Piedepgina">
    <w:name w:val="footer"/>
    <w:basedOn w:val="Normal"/>
    <w:link w:val="PiedepginaCar"/>
    <w:uiPriority w:val="99"/>
    <w:unhideWhenUsed/>
    <w:rsid w:val="000740CF"/>
    <w:pPr>
      <w:tabs>
        <w:tab w:val="center" w:pos="4252"/>
        <w:tab w:val="right" w:pos="8504"/>
      </w:tabs>
    </w:pPr>
  </w:style>
  <w:style w:type="character" w:customStyle="1" w:styleId="PiedepginaCar">
    <w:name w:val="Pie de página Car"/>
    <w:basedOn w:val="Fuentedeprrafopredeter"/>
    <w:link w:val="Piedepgina"/>
    <w:uiPriority w:val="99"/>
    <w:rsid w:val="000740CF"/>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unhideWhenUsed/>
    <w:rsid w:val="000740CF"/>
    <w:pPr>
      <w:spacing w:after="120"/>
      <w:ind w:left="283"/>
    </w:pPr>
  </w:style>
  <w:style w:type="character" w:customStyle="1" w:styleId="SangradetextonormalCar">
    <w:name w:val="Sangría de texto normal Car"/>
    <w:basedOn w:val="Fuentedeprrafopredeter"/>
    <w:link w:val="Sangradetextonormal"/>
    <w:uiPriority w:val="99"/>
    <w:rsid w:val="000740C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86A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AC8"/>
    <w:rPr>
      <w:rFonts w:ascii="Segoe UI" w:eastAsia="Times New Roman" w:hAnsi="Segoe UI" w:cs="Segoe UI"/>
      <w:sz w:val="18"/>
      <w:szCs w:val="18"/>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0227A0"/>
    <w:pPr>
      <w:jc w:val="both"/>
    </w:pPr>
    <w:rPr>
      <w:rFonts w:ascii="Arial" w:hAnsi="Arial"/>
      <w:sz w:val="18"/>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0227A0"/>
    <w:rPr>
      <w:rFonts w:ascii="Arial" w:eastAsia="Times New Roman" w:hAnsi="Arial" w:cs="Times New Roman"/>
      <w:sz w:val="18"/>
      <w:szCs w:val="20"/>
      <w:lang w:val="es-ES"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basedOn w:val="Fuentedeprrafopredeter"/>
    <w:link w:val="4GChar"/>
    <w:uiPriority w:val="99"/>
    <w:unhideWhenUsed/>
    <w:qFormat/>
    <w:rsid w:val="00276B88"/>
    <w:rPr>
      <w:vertAlign w:val="superscript"/>
    </w:rPr>
  </w:style>
  <w:style w:type="paragraph" w:styleId="Prrafodelista">
    <w:name w:val="List Paragraph"/>
    <w:basedOn w:val="Normal"/>
    <w:uiPriority w:val="34"/>
    <w:qFormat/>
    <w:rsid w:val="007132B0"/>
    <w:pPr>
      <w:overflowPunct w:val="0"/>
      <w:autoSpaceDE w:val="0"/>
      <w:autoSpaceDN w:val="0"/>
      <w:adjustRightInd w:val="0"/>
      <w:ind w:left="708"/>
      <w:textAlignment w:val="baseline"/>
    </w:pPr>
  </w:style>
  <w:style w:type="paragraph" w:styleId="Textoindependiente">
    <w:name w:val="Body Text"/>
    <w:basedOn w:val="Normal"/>
    <w:link w:val="TextoindependienteCar"/>
    <w:rsid w:val="003A4BC3"/>
    <w:pPr>
      <w:overflowPunct w:val="0"/>
      <w:autoSpaceDE w:val="0"/>
      <w:autoSpaceDN w:val="0"/>
      <w:adjustRightInd w:val="0"/>
      <w:spacing w:after="120"/>
      <w:textAlignment w:val="baseline"/>
    </w:pPr>
    <w:rPr>
      <w:rFonts w:ascii="Roman 10cpi" w:hAnsi="Roman 10cpi"/>
    </w:rPr>
  </w:style>
  <w:style w:type="character" w:customStyle="1" w:styleId="TextoindependienteCar">
    <w:name w:val="Texto independiente Car"/>
    <w:basedOn w:val="Fuentedeprrafopredeter"/>
    <w:link w:val="Textoindependiente"/>
    <w:rsid w:val="003A4BC3"/>
    <w:rPr>
      <w:rFonts w:ascii="Roman 10cpi" w:eastAsia="Times New Roman" w:hAnsi="Roman 10cpi" w:cs="Times New Roman"/>
      <w:sz w:val="20"/>
      <w:szCs w:val="20"/>
      <w:lang w:val="es-ES" w:eastAsia="es-ES"/>
    </w:rPr>
  </w:style>
  <w:style w:type="paragraph" w:styleId="Sinespaciado">
    <w:name w:val="No Spacing"/>
    <w:uiPriority w:val="1"/>
    <w:qFormat/>
    <w:rsid w:val="00A7077D"/>
    <w:pPr>
      <w:spacing w:after="0" w:line="240" w:lineRule="auto"/>
    </w:pPr>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semiHidden/>
    <w:rsid w:val="00A7077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7077D"/>
    <w:rPr>
      <w:rFonts w:ascii="Times New Roman" w:eastAsia="Times New Roman" w:hAnsi="Times New Roman" w:cs="Times New Roman"/>
      <w:sz w:val="16"/>
      <w:szCs w:val="16"/>
      <w:lang w:val="es-ES" w:eastAsia="es-ES"/>
    </w:rPr>
  </w:style>
  <w:style w:type="character" w:styleId="Textoennegrita">
    <w:name w:val="Strong"/>
    <w:basedOn w:val="Fuentedeprrafopredeter"/>
    <w:uiPriority w:val="22"/>
    <w:qFormat/>
    <w:rsid w:val="00A7077D"/>
    <w:rPr>
      <w:b/>
      <w:bCs/>
    </w:rPr>
  </w:style>
  <w:style w:type="paragraph" w:styleId="Textoindependiente2">
    <w:name w:val="Body Text 2"/>
    <w:basedOn w:val="Normal"/>
    <w:link w:val="Textoindependiente2Car"/>
    <w:rsid w:val="001A5435"/>
    <w:pPr>
      <w:overflowPunct w:val="0"/>
      <w:autoSpaceDE w:val="0"/>
      <w:autoSpaceDN w:val="0"/>
      <w:adjustRightInd w:val="0"/>
      <w:spacing w:after="120" w:line="480" w:lineRule="auto"/>
      <w:textAlignment w:val="baseline"/>
    </w:pPr>
  </w:style>
  <w:style w:type="character" w:customStyle="1" w:styleId="Textoindependiente2Car">
    <w:name w:val="Texto independiente 2 Car"/>
    <w:basedOn w:val="Fuentedeprrafopredeter"/>
    <w:link w:val="Textoindependiente2"/>
    <w:uiPriority w:val="99"/>
    <w:rsid w:val="001A5435"/>
    <w:rPr>
      <w:rFonts w:ascii="Times New Roman" w:eastAsia="Times New Roman" w:hAnsi="Times New Roman" w:cs="Times New Roman"/>
      <w:sz w:val="20"/>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A5435"/>
    <w:pPr>
      <w:jc w:val="both"/>
    </w:pPr>
    <w:rPr>
      <w:rFonts w:asciiTheme="minorHAnsi" w:eastAsiaTheme="minorHAnsi" w:hAnsiTheme="minorHAnsi" w:cstheme="minorBidi"/>
      <w:sz w:val="22"/>
      <w:szCs w:val="22"/>
      <w:vertAlign w:val="superscript"/>
      <w:lang w:val="es-CO" w:eastAsia="en-US"/>
    </w:rPr>
  </w:style>
  <w:style w:type="paragraph" w:customStyle="1" w:styleId="Estilo">
    <w:name w:val="Estilo"/>
    <w:uiPriority w:val="99"/>
    <w:rsid w:val="0008175B"/>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4E7FEF"/>
    <w:rPr>
      <w:sz w:val="16"/>
      <w:szCs w:val="16"/>
    </w:rPr>
  </w:style>
  <w:style w:type="paragraph" w:styleId="Textocomentario">
    <w:name w:val="annotation text"/>
    <w:basedOn w:val="Normal"/>
    <w:link w:val="TextocomentarioCar"/>
    <w:uiPriority w:val="99"/>
    <w:semiHidden/>
    <w:unhideWhenUsed/>
    <w:rsid w:val="004E7FEF"/>
  </w:style>
  <w:style w:type="character" w:customStyle="1" w:styleId="TextocomentarioCar">
    <w:name w:val="Texto comentario Car"/>
    <w:basedOn w:val="Fuentedeprrafopredeter"/>
    <w:link w:val="Textocomentario"/>
    <w:uiPriority w:val="99"/>
    <w:semiHidden/>
    <w:rsid w:val="004E7FE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E7FEF"/>
    <w:rPr>
      <w:b/>
      <w:bCs/>
    </w:rPr>
  </w:style>
  <w:style w:type="character" w:customStyle="1" w:styleId="AsuntodelcomentarioCar">
    <w:name w:val="Asunto del comentario Car"/>
    <w:basedOn w:val="TextocomentarioCar"/>
    <w:link w:val="Asuntodelcomentario"/>
    <w:uiPriority w:val="99"/>
    <w:semiHidden/>
    <w:rsid w:val="004E7FEF"/>
    <w:rPr>
      <w:rFonts w:ascii="Times New Roman" w:eastAsia="Times New Roman" w:hAnsi="Times New Roman" w:cs="Times New Roman"/>
      <w:b/>
      <w:bCs/>
      <w:sz w:val="20"/>
      <w:szCs w:val="20"/>
      <w:lang w:val="es-ES" w:eastAsia="es-ES"/>
    </w:rPr>
  </w:style>
  <w:style w:type="paragraph" w:styleId="NormalWeb">
    <w:name w:val="Normal (Web)"/>
    <w:basedOn w:val="Normal"/>
    <w:uiPriority w:val="99"/>
    <w:unhideWhenUsed/>
    <w:rsid w:val="00DE73DE"/>
    <w:pPr>
      <w:spacing w:before="100" w:beforeAutospacing="1" w:after="100" w:afterAutospacing="1"/>
    </w:pPr>
    <w:rPr>
      <w:sz w:val="24"/>
      <w:szCs w:val="24"/>
      <w:lang w:val="es-CO" w:eastAsia="es-CO"/>
    </w:rPr>
  </w:style>
  <w:style w:type="paragraph" w:styleId="Bibliografa">
    <w:name w:val="Bibliography"/>
    <w:basedOn w:val="Normal"/>
    <w:next w:val="Normal"/>
    <w:uiPriority w:val="37"/>
    <w:semiHidden/>
    <w:unhideWhenUsed/>
    <w:rsid w:val="009618CA"/>
  </w:style>
  <w:style w:type="paragraph" w:customStyle="1" w:styleId="Prconnumeracin">
    <w:name w:val="Pár. con numeración"/>
    <w:basedOn w:val="Normal"/>
    <w:link w:val="PrconnumeracinCar"/>
    <w:qFormat/>
    <w:rsid w:val="00C83D7B"/>
    <w:pPr>
      <w:numPr>
        <w:numId w:val="14"/>
      </w:numPr>
      <w:tabs>
        <w:tab w:val="left" w:pos="426"/>
      </w:tabs>
      <w:spacing w:line="276" w:lineRule="auto"/>
      <w:ind w:left="0" w:firstLine="0"/>
      <w:jc w:val="both"/>
    </w:pPr>
    <w:rPr>
      <w:rFonts w:ascii="Century Gothic" w:eastAsiaTheme="minorHAnsi" w:hAnsi="Century Gothic" w:cs="Arial"/>
      <w:sz w:val="24"/>
      <w:szCs w:val="24"/>
      <w:lang w:val="es-CO" w:eastAsia="en-US"/>
    </w:rPr>
  </w:style>
  <w:style w:type="character" w:customStyle="1" w:styleId="PrconnumeracinCar">
    <w:name w:val="Pár. con numeración Car"/>
    <w:basedOn w:val="Fuentedeprrafopredeter"/>
    <w:link w:val="Prconnumeracin"/>
    <w:rsid w:val="00C83D7B"/>
    <w:rPr>
      <w:rFonts w:ascii="Century Gothic" w:hAnsi="Century Gothic" w:cs="Arial"/>
      <w:sz w:val="24"/>
      <w:szCs w:val="24"/>
    </w:rPr>
  </w:style>
  <w:style w:type="paragraph" w:customStyle="1" w:styleId="Sangra3detindependiente1">
    <w:name w:val="Sangría 3 de t. independiente1"/>
    <w:basedOn w:val="Normal"/>
    <w:rsid w:val="009C57F8"/>
    <w:pPr>
      <w:overflowPunct w:val="0"/>
      <w:autoSpaceDE w:val="0"/>
      <w:autoSpaceDN w:val="0"/>
      <w:adjustRightInd w:val="0"/>
      <w:spacing w:line="360" w:lineRule="auto"/>
      <w:ind w:firstLine="1683"/>
      <w:textAlignment w:val="baseline"/>
    </w:pPr>
    <w:rPr>
      <w:rFonts w:ascii="Arial" w:hAnsi="Arial"/>
      <w:sz w:val="26"/>
    </w:rPr>
  </w:style>
  <w:style w:type="table" w:styleId="Tablaconcuadrcula">
    <w:name w:val="Table Grid"/>
    <w:basedOn w:val="Tablanormal"/>
    <w:uiPriority w:val="39"/>
    <w:rsid w:val="00E11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7F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352">
      <w:bodyDiv w:val="1"/>
      <w:marLeft w:val="0"/>
      <w:marRight w:val="0"/>
      <w:marTop w:val="0"/>
      <w:marBottom w:val="0"/>
      <w:divBdr>
        <w:top w:val="none" w:sz="0" w:space="0" w:color="auto"/>
        <w:left w:val="none" w:sz="0" w:space="0" w:color="auto"/>
        <w:bottom w:val="none" w:sz="0" w:space="0" w:color="auto"/>
        <w:right w:val="none" w:sz="0" w:space="0" w:color="auto"/>
      </w:divBdr>
    </w:div>
    <w:div w:id="37557108">
      <w:bodyDiv w:val="1"/>
      <w:marLeft w:val="0"/>
      <w:marRight w:val="0"/>
      <w:marTop w:val="0"/>
      <w:marBottom w:val="0"/>
      <w:divBdr>
        <w:top w:val="none" w:sz="0" w:space="0" w:color="auto"/>
        <w:left w:val="none" w:sz="0" w:space="0" w:color="auto"/>
        <w:bottom w:val="none" w:sz="0" w:space="0" w:color="auto"/>
        <w:right w:val="none" w:sz="0" w:space="0" w:color="auto"/>
      </w:divBdr>
    </w:div>
    <w:div w:id="52393861">
      <w:bodyDiv w:val="1"/>
      <w:marLeft w:val="0"/>
      <w:marRight w:val="0"/>
      <w:marTop w:val="0"/>
      <w:marBottom w:val="0"/>
      <w:divBdr>
        <w:top w:val="none" w:sz="0" w:space="0" w:color="auto"/>
        <w:left w:val="none" w:sz="0" w:space="0" w:color="auto"/>
        <w:bottom w:val="none" w:sz="0" w:space="0" w:color="auto"/>
        <w:right w:val="none" w:sz="0" w:space="0" w:color="auto"/>
      </w:divBdr>
    </w:div>
    <w:div w:id="120928037">
      <w:bodyDiv w:val="1"/>
      <w:marLeft w:val="0"/>
      <w:marRight w:val="0"/>
      <w:marTop w:val="0"/>
      <w:marBottom w:val="0"/>
      <w:divBdr>
        <w:top w:val="none" w:sz="0" w:space="0" w:color="auto"/>
        <w:left w:val="none" w:sz="0" w:space="0" w:color="auto"/>
        <w:bottom w:val="none" w:sz="0" w:space="0" w:color="auto"/>
        <w:right w:val="none" w:sz="0" w:space="0" w:color="auto"/>
      </w:divBdr>
    </w:div>
    <w:div w:id="325863291">
      <w:bodyDiv w:val="1"/>
      <w:marLeft w:val="0"/>
      <w:marRight w:val="0"/>
      <w:marTop w:val="0"/>
      <w:marBottom w:val="0"/>
      <w:divBdr>
        <w:top w:val="none" w:sz="0" w:space="0" w:color="auto"/>
        <w:left w:val="none" w:sz="0" w:space="0" w:color="auto"/>
        <w:bottom w:val="none" w:sz="0" w:space="0" w:color="auto"/>
        <w:right w:val="none" w:sz="0" w:space="0" w:color="auto"/>
      </w:divBdr>
    </w:div>
    <w:div w:id="362439499">
      <w:bodyDiv w:val="1"/>
      <w:marLeft w:val="0"/>
      <w:marRight w:val="0"/>
      <w:marTop w:val="0"/>
      <w:marBottom w:val="0"/>
      <w:divBdr>
        <w:top w:val="none" w:sz="0" w:space="0" w:color="auto"/>
        <w:left w:val="none" w:sz="0" w:space="0" w:color="auto"/>
        <w:bottom w:val="none" w:sz="0" w:space="0" w:color="auto"/>
        <w:right w:val="none" w:sz="0" w:space="0" w:color="auto"/>
      </w:divBdr>
    </w:div>
    <w:div w:id="419378419">
      <w:bodyDiv w:val="1"/>
      <w:marLeft w:val="0"/>
      <w:marRight w:val="0"/>
      <w:marTop w:val="0"/>
      <w:marBottom w:val="0"/>
      <w:divBdr>
        <w:top w:val="none" w:sz="0" w:space="0" w:color="auto"/>
        <w:left w:val="none" w:sz="0" w:space="0" w:color="auto"/>
        <w:bottom w:val="none" w:sz="0" w:space="0" w:color="auto"/>
        <w:right w:val="none" w:sz="0" w:space="0" w:color="auto"/>
      </w:divBdr>
    </w:div>
    <w:div w:id="429860224">
      <w:bodyDiv w:val="1"/>
      <w:marLeft w:val="0"/>
      <w:marRight w:val="0"/>
      <w:marTop w:val="0"/>
      <w:marBottom w:val="0"/>
      <w:divBdr>
        <w:top w:val="none" w:sz="0" w:space="0" w:color="auto"/>
        <w:left w:val="none" w:sz="0" w:space="0" w:color="auto"/>
        <w:bottom w:val="none" w:sz="0" w:space="0" w:color="auto"/>
        <w:right w:val="none" w:sz="0" w:space="0" w:color="auto"/>
      </w:divBdr>
    </w:div>
    <w:div w:id="524750668">
      <w:bodyDiv w:val="1"/>
      <w:marLeft w:val="0"/>
      <w:marRight w:val="0"/>
      <w:marTop w:val="0"/>
      <w:marBottom w:val="0"/>
      <w:divBdr>
        <w:top w:val="none" w:sz="0" w:space="0" w:color="auto"/>
        <w:left w:val="none" w:sz="0" w:space="0" w:color="auto"/>
        <w:bottom w:val="none" w:sz="0" w:space="0" w:color="auto"/>
        <w:right w:val="none" w:sz="0" w:space="0" w:color="auto"/>
      </w:divBdr>
    </w:div>
    <w:div w:id="596520386">
      <w:bodyDiv w:val="1"/>
      <w:marLeft w:val="0"/>
      <w:marRight w:val="0"/>
      <w:marTop w:val="0"/>
      <w:marBottom w:val="0"/>
      <w:divBdr>
        <w:top w:val="none" w:sz="0" w:space="0" w:color="auto"/>
        <w:left w:val="none" w:sz="0" w:space="0" w:color="auto"/>
        <w:bottom w:val="none" w:sz="0" w:space="0" w:color="auto"/>
        <w:right w:val="none" w:sz="0" w:space="0" w:color="auto"/>
      </w:divBdr>
    </w:div>
    <w:div w:id="650989545">
      <w:bodyDiv w:val="1"/>
      <w:marLeft w:val="0"/>
      <w:marRight w:val="0"/>
      <w:marTop w:val="0"/>
      <w:marBottom w:val="0"/>
      <w:divBdr>
        <w:top w:val="none" w:sz="0" w:space="0" w:color="auto"/>
        <w:left w:val="none" w:sz="0" w:space="0" w:color="auto"/>
        <w:bottom w:val="none" w:sz="0" w:space="0" w:color="auto"/>
        <w:right w:val="none" w:sz="0" w:space="0" w:color="auto"/>
      </w:divBdr>
    </w:div>
    <w:div w:id="719474385">
      <w:bodyDiv w:val="1"/>
      <w:marLeft w:val="0"/>
      <w:marRight w:val="0"/>
      <w:marTop w:val="0"/>
      <w:marBottom w:val="0"/>
      <w:divBdr>
        <w:top w:val="none" w:sz="0" w:space="0" w:color="auto"/>
        <w:left w:val="none" w:sz="0" w:space="0" w:color="auto"/>
        <w:bottom w:val="none" w:sz="0" w:space="0" w:color="auto"/>
        <w:right w:val="none" w:sz="0" w:space="0" w:color="auto"/>
      </w:divBdr>
    </w:div>
    <w:div w:id="787315241">
      <w:bodyDiv w:val="1"/>
      <w:marLeft w:val="0"/>
      <w:marRight w:val="0"/>
      <w:marTop w:val="0"/>
      <w:marBottom w:val="0"/>
      <w:divBdr>
        <w:top w:val="none" w:sz="0" w:space="0" w:color="auto"/>
        <w:left w:val="none" w:sz="0" w:space="0" w:color="auto"/>
        <w:bottom w:val="none" w:sz="0" w:space="0" w:color="auto"/>
        <w:right w:val="none" w:sz="0" w:space="0" w:color="auto"/>
      </w:divBdr>
    </w:div>
    <w:div w:id="867450863">
      <w:bodyDiv w:val="1"/>
      <w:marLeft w:val="0"/>
      <w:marRight w:val="0"/>
      <w:marTop w:val="0"/>
      <w:marBottom w:val="0"/>
      <w:divBdr>
        <w:top w:val="none" w:sz="0" w:space="0" w:color="auto"/>
        <w:left w:val="none" w:sz="0" w:space="0" w:color="auto"/>
        <w:bottom w:val="none" w:sz="0" w:space="0" w:color="auto"/>
        <w:right w:val="none" w:sz="0" w:space="0" w:color="auto"/>
      </w:divBdr>
    </w:div>
    <w:div w:id="932595293">
      <w:bodyDiv w:val="1"/>
      <w:marLeft w:val="0"/>
      <w:marRight w:val="0"/>
      <w:marTop w:val="0"/>
      <w:marBottom w:val="0"/>
      <w:divBdr>
        <w:top w:val="none" w:sz="0" w:space="0" w:color="auto"/>
        <w:left w:val="none" w:sz="0" w:space="0" w:color="auto"/>
        <w:bottom w:val="none" w:sz="0" w:space="0" w:color="auto"/>
        <w:right w:val="none" w:sz="0" w:space="0" w:color="auto"/>
      </w:divBdr>
    </w:div>
    <w:div w:id="983123950">
      <w:bodyDiv w:val="1"/>
      <w:marLeft w:val="0"/>
      <w:marRight w:val="0"/>
      <w:marTop w:val="0"/>
      <w:marBottom w:val="0"/>
      <w:divBdr>
        <w:top w:val="none" w:sz="0" w:space="0" w:color="auto"/>
        <w:left w:val="none" w:sz="0" w:space="0" w:color="auto"/>
        <w:bottom w:val="none" w:sz="0" w:space="0" w:color="auto"/>
        <w:right w:val="none" w:sz="0" w:space="0" w:color="auto"/>
      </w:divBdr>
    </w:div>
    <w:div w:id="993071201">
      <w:bodyDiv w:val="1"/>
      <w:marLeft w:val="0"/>
      <w:marRight w:val="0"/>
      <w:marTop w:val="0"/>
      <w:marBottom w:val="0"/>
      <w:divBdr>
        <w:top w:val="none" w:sz="0" w:space="0" w:color="auto"/>
        <w:left w:val="none" w:sz="0" w:space="0" w:color="auto"/>
        <w:bottom w:val="none" w:sz="0" w:space="0" w:color="auto"/>
        <w:right w:val="none" w:sz="0" w:space="0" w:color="auto"/>
      </w:divBdr>
    </w:div>
    <w:div w:id="1095174664">
      <w:bodyDiv w:val="1"/>
      <w:marLeft w:val="0"/>
      <w:marRight w:val="0"/>
      <w:marTop w:val="0"/>
      <w:marBottom w:val="0"/>
      <w:divBdr>
        <w:top w:val="none" w:sz="0" w:space="0" w:color="auto"/>
        <w:left w:val="none" w:sz="0" w:space="0" w:color="auto"/>
        <w:bottom w:val="none" w:sz="0" w:space="0" w:color="auto"/>
        <w:right w:val="none" w:sz="0" w:space="0" w:color="auto"/>
      </w:divBdr>
    </w:div>
    <w:div w:id="1186556290">
      <w:bodyDiv w:val="1"/>
      <w:marLeft w:val="0"/>
      <w:marRight w:val="0"/>
      <w:marTop w:val="0"/>
      <w:marBottom w:val="0"/>
      <w:divBdr>
        <w:top w:val="none" w:sz="0" w:space="0" w:color="auto"/>
        <w:left w:val="none" w:sz="0" w:space="0" w:color="auto"/>
        <w:bottom w:val="none" w:sz="0" w:space="0" w:color="auto"/>
        <w:right w:val="none" w:sz="0" w:space="0" w:color="auto"/>
      </w:divBdr>
    </w:div>
    <w:div w:id="1349722231">
      <w:bodyDiv w:val="1"/>
      <w:marLeft w:val="0"/>
      <w:marRight w:val="0"/>
      <w:marTop w:val="0"/>
      <w:marBottom w:val="0"/>
      <w:divBdr>
        <w:top w:val="none" w:sz="0" w:space="0" w:color="auto"/>
        <w:left w:val="none" w:sz="0" w:space="0" w:color="auto"/>
        <w:bottom w:val="none" w:sz="0" w:space="0" w:color="auto"/>
        <w:right w:val="none" w:sz="0" w:space="0" w:color="auto"/>
      </w:divBdr>
    </w:div>
    <w:div w:id="1439332661">
      <w:bodyDiv w:val="1"/>
      <w:marLeft w:val="0"/>
      <w:marRight w:val="0"/>
      <w:marTop w:val="0"/>
      <w:marBottom w:val="0"/>
      <w:divBdr>
        <w:top w:val="none" w:sz="0" w:space="0" w:color="auto"/>
        <w:left w:val="none" w:sz="0" w:space="0" w:color="auto"/>
        <w:bottom w:val="none" w:sz="0" w:space="0" w:color="auto"/>
        <w:right w:val="none" w:sz="0" w:space="0" w:color="auto"/>
      </w:divBdr>
    </w:div>
    <w:div w:id="1620985466">
      <w:bodyDiv w:val="1"/>
      <w:marLeft w:val="0"/>
      <w:marRight w:val="0"/>
      <w:marTop w:val="0"/>
      <w:marBottom w:val="0"/>
      <w:divBdr>
        <w:top w:val="none" w:sz="0" w:space="0" w:color="auto"/>
        <w:left w:val="none" w:sz="0" w:space="0" w:color="auto"/>
        <w:bottom w:val="none" w:sz="0" w:space="0" w:color="auto"/>
        <w:right w:val="none" w:sz="0" w:space="0" w:color="auto"/>
      </w:divBdr>
    </w:div>
    <w:div w:id="1633098950">
      <w:bodyDiv w:val="1"/>
      <w:marLeft w:val="0"/>
      <w:marRight w:val="0"/>
      <w:marTop w:val="0"/>
      <w:marBottom w:val="0"/>
      <w:divBdr>
        <w:top w:val="none" w:sz="0" w:space="0" w:color="auto"/>
        <w:left w:val="none" w:sz="0" w:space="0" w:color="auto"/>
        <w:bottom w:val="none" w:sz="0" w:space="0" w:color="auto"/>
        <w:right w:val="none" w:sz="0" w:space="0" w:color="auto"/>
      </w:divBdr>
    </w:div>
    <w:div w:id="1680813891">
      <w:bodyDiv w:val="1"/>
      <w:marLeft w:val="0"/>
      <w:marRight w:val="0"/>
      <w:marTop w:val="0"/>
      <w:marBottom w:val="0"/>
      <w:divBdr>
        <w:top w:val="none" w:sz="0" w:space="0" w:color="auto"/>
        <w:left w:val="none" w:sz="0" w:space="0" w:color="auto"/>
        <w:bottom w:val="none" w:sz="0" w:space="0" w:color="auto"/>
        <w:right w:val="none" w:sz="0" w:space="0" w:color="auto"/>
      </w:divBdr>
    </w:div>
    <w:div w:id="1692023669">
      <w:bodyDiv w:val="1"/>
      <w:marLeft w:val="0"/>
      <w:marRight w:val="0"/>
      <w:marTop w:val="0"/>
      <w:marBottom w:val="0"/>
      <w:divBdr>
        <w:top w:val="none" w:sz="0" w:space="0" w:color="auto"/>
        <w:left w:val="none" w:sz="0" w:space="0" w:color="auto"/>
        <w:bottom w:val="none" w:sz="0" w:space="0" w:color="auto"/>
        <w:right w:val="none" w:sz="0" w:space="0" w:color="auto"/>
      </w:divBdr>
    </w:div>
    <w:div w:id="1803235014">
      <w:bodyDiv w:val="1"/>
      <w:marLeft w:val="0"/>
      <w:marRight w:val="0"/>
      <w:marTop w:val="0"/>
      <w:marBottom w:val="0"/>
      <w:divBdr>
        <w:top w:val="none" w:sz="0" w:space="0" w:color="auto"/>
        <w:left w:val="none" w:sz="0" w:space="0" w:color="auto"/>
        <w:bottom w:val="none" w:sz="0" w:space="0" w:color="auto"/>
        <w:right w:val="none" w:sz="0" w:space="0" w:color="auto"/>
      </w:divBdr>
    </w:div>
    <w:div w:id="1884900630">
      <w:bodyDiv w:val="1"/>
      <w:marLeft w:val="0"/>
      <w:marRight w:val="0"/>
      <w:marTop w:val="0"/>
      <w:marBottom w:val="0"/>
      <w:divBdr>
        <w:top w:val="none" w:sz="0" w:space="0" w:color="auto"/>
        <w:left w:val="none" w:sz="0" w:space="0" w:color="auto"/>
        <w:bottom w:val="none" w:sz="0" w:space="0" w:color="auto"/>
        <w:right w:val="none" w:sz="0" w:space="0" w:color="auto"/>
      </w:divBdr>
    </w:div>
    <w:div w:id="1921131267">
      <w:bodyDiv w:val="1"/>
      <w:marLeft w:val="0"/>
      <w:marRight w:val="0"/>
      <w:marTop w:val="0"/>
      <w:marBottom w:val="0"/>
      <w:divBdr>
        <w:top w:val="none" w:sz="0" w:space="0" w:color="auto"/>
        <w:left w:val="none" w:sz="0" w:space="0" w:color="auto"/>
        <w:bottom w:val="none" w:sz="0" w:space="0" w:color="auto"/>
        <w:right w:val="none" w:sz="0" w:space="0" w:color="auto"/>
      </w:divBdr>
    </w:div>
    <w:div w:id="2001732822">
      <w:bodyDiv w:val="1"/>
      <w:marLeft w:val="0"/>
      <w:marRight w:val="0"/>
      <w:marTop w:val="0"/>
      <w:marBottom w:val="0"/>
      <w:divBdr>
        <w:top w:val="none" w:sz="0" w:space="0" w:color="auto"/>
        <w:left w:val="none" w:sz="0" w:space="0" w:color="auto"/>
        <w:bottom w:val="none" w:sz="0" w:space="0" w:color="auto"/>
        <w:right w:val="none" w:sz="0" w:space="0" w:color="auto"/>
      </w:divBdr>
    </w:div>
    <w:div w:id="20332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0" ma:contentTypeDescription="Crear nuevo documento." ma:contentTypeScope="" ma:versionID="67ece09d439dfc7ca38a62d2b6aa42e0">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03ef2b05d1f4627321d45a5458675eb2"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F9A7B-5F80-456E-B70E-F5755ADC8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84B9C-A349-4EA3-9BAF-960DF3C1131A}">
  <ds:schemaRefs>
    <ds:schemaRef ds:uri="http://schemas.openxmlformats.org/officeDocument/2006/bibliography"/>
  </ds:schemaRefs>
</ds:datastoreItem>
</file>

<file path=customXml/itemProps3.xml><?xml version="1.0" encoding="utf-8"?>
<ds:datastoreItem xmlns:ds="http://schemas.openxmlformats.org/officeDocument/2006/customXml" ds:itemID="{50DA115B-497E-4AFA-AA42-CDB392066F37}">
  <ds:schemaRefs>
    <ds:schemaRef ds:uri="http://schemas.microsoft.com/sharepoint/v3/contenttype/forms"/>
  </ds:schemaRefs>
</ds:datastoreItem>
</file>

<file path=customXml/itemProps4.xml><?xml version="1.0" encoding="utf-8"?>
<ds:datastoreItem xmlns:ds="http://schemas.openxmlformats.org/officeDocument/2006/customXml" ds:itemID="{70943331-1D3D-4363-BB5B-2470EABD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18</Pages>
  <Words>5752</Words>
  <Characters>31638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SECRETARIA2</dc:creator>
  <cp:keywords/>
  <dc:description/>
  <cp:lastModifiedBy>Libardo Rodríguez Céspedes</cp:lastModifiedBy>
  <cp:revision>4</cp:revision>
  <cp:lastPrinted>2019-12-18T14:54:00Z</cp:lastPrinted>
  <dcterms:created xsi:type="dcterms:W3CDTF">2021-08-23T12:20:00Z</dcterms:created>
  <dcterms:modified xsi:type="dcterms:W3CDTF">2021-08-25T22:31:00Z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ZOTERO_PREF_1">
    <vt:lpwstr>&lt;data data-version="3" zotero-version="5.0.96"&gt;&lt;session id="xGORUi8s"/&gt;&lt;style id="http://www.zotero.org/styles/chicago-fullnote-bibliography" locale="es-ES" hasBibliography="1" bibliographyStyleHasBeenSet="1"/&gt;&lt;prefs&gt;&lt;pref name="noteType" value="1"/&gt;&lt;pref</vt:lpwstr>
  </property>
  <property fmtid="{D5CDD505-2E9C-101B-9397-08002B2CF9AE}" pid="4" name="ZOTERO_PREF_2">
    <vt:lpwstr> name="fieldType" value="Field"/&gt;&lt;/prefs&gt;&lt;/data&gt;</vt:lpwstr>
  </property>
</Properties>
</file>