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E8C" w:rsidRDefault="002A6E8C" w:rsidP="00F655AE">
      <w:pPr>
        <w:pStyle w:val="Encabezado"/>
        <w:tabs>
          <w:tab w:val="clear" w:pos="4252"/>
          <w:tab w:val="clear" w:pos="8504"/>
        </w:tabs>
        <w:jc w:val="center"/>
        <w:rPr>
          <w:b/>
          <w:bCs/>
          <w:i/>
          <w:iCs/>
          <w:sz w:val="22"/>
          <w:szCs w:val="22"/>
        </w:rPr>
      </w:pPr>
      <w:bookmarkStart w:id="0" w:name="_GoBack"/>
      <w:bookmarkEnd w:id="0"/>
    </w:p>
    <w:p w:rsidR="002A6E8C" w:rsidRPr="00937508" w:rsidRDefault="008C2FF4" w:rsidP="00F655AE">
      <w:pPr>
        <w:pStyle w:val="Encabezado"/>
        <w:tabs>
          <w:tab w:val="clear" w:pos="4252"/>
          <w:tab w:val="clear" w:pos="8504"/>
        </w:tabs>
        <w:jc w:val="center"/>
        <w:rPr>
          <w:rFonts w:ascii="Times New Roman" w:hAnsi="Times New Roman" w:cs="Times New Roman"/>
          <w:b/>
          <w:bCs/>
          <w:i/>
          <w:iCs/>
          <w:sz w:val="22"/>
          <w:szCs w:val="22"/>
        </w:rPr>
      </w:pPr>
      <w:r>
        <w:rPr>
          <w:noProof/>
          <w:lang w:eastAsia="es-CO"/>
        </w:rPr>
        <w:drawing>
          <wp:anchor distT="0" distB="0" distL="114300" distR="114300" simplePos="0" relativeHeight="251657728" behindDoc="1" locked="0" layoutInCell="1" allowOverlap="1">
            <wp:simplePos x="0" y="0"/>
            <wp:positionH relativeFrom="column">
              <wp:posOffset>0</wp:posOffset>
            </wp:positionH>
            <wp:positionV relativeFrom="paragraph">
              <wp:posOffset>-55880</wp:posOffset>
            </wp:positionV>
            <wp:extent cx="604520" cy="800100"/>
            <wp:effectExtent l="0" t="0" r="5080" b="0"/>
            <wp:wrapNone/>
            <wp:docPr id="131"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520" cy="800100"/>
                    </a:xfrm>
                    <a:prstGeom prst="rect">
                      <a:avLst/>
                    </a:prstGeom>
                    <a:noFill/>
                  </pic:spPr>
                </pic:pic>
              </a:graphicData>
            </a:graphic>
            <wp14:sizeRelH relativeFrom="page">
              <wp14:pctWidth>0</wp14:pctWidth>
            </wp14:sizeRelH>
            <wp14:sizeRelV relativeFrom="page">
              <wp14:pctHeight>0</wp14:pctHeight>
            </wp14:sizeRelV>
          </wp:anchor>
        </w:drawing>
      </w:r>
      <w:r w:rsidR="002A6E8C" w:rsidRPr="00937508">
        <w:rPr>
          <w:rFonts w:ascii="Times New Roman" w:hAnsi="Times New Roman" w:cs="Times New Roman"/>
          <w:b/>
          <w:bCs/>
          <w:i/>
          <w:iCs/>
          <w:sz w:val="22"/>
          <w:szCs w:val="22"/>
        </w:rPr>
        <w:t>Rama Judicial del Poder Público</w:t>
      </w:r>
    </w:p>
    <w:p w:rsidR="002A6E8C" w:rsidRPr="00937508" w:rsidRDefault="002A6E8C" w:rsidP="00F655AE">
      <w:pPr>
        <w:pStyle w:val="Encabezado"/>
        <w:tabs>
          <w:tab w:val="clear" w:pos="4252"/>
          <w:tab w:val="clear" w:pos="8504"/>
        </w:tabs>
        <w:jc w:val="center"/>
        <w:rPr>
          <w:rFonts w:ascii="Times New Roman" w:hAnsi="Times New Roman" w:cs="Times New Roman"/>
          <w:b/>
          <w:bCs/>
          <w:i/>
          <w:iCs/>
          <w:sz w:val="22"/>
          <w:szCs w:val="22"/>
        </w:rPr>
      </w:pPr>
      <w:r w:rsidRPr="00937508">
        <w:rPr>
          <w:rFonts w:ascii="Times New Roman" w:hAnsi="Times New Roman" w:cs="Times New Roman"/>
          <w:b/>
          <w:bCs/>
          <w:i/>
          <w:iCs/>
          <w:sz w:val="22"/>
          <w:szCs w:val="22"/>
        </w:rPr>
        <w:t xml:space="preserve">Consejo Superior de </w:t>
      </w:r>
      <w:smartTag w:uri="urn:schemas-microsoft-com:office:smarttags" w:element="PersonName">
        <w:smartTagPr>
          <w:attr w:name="ProductID" w:val="la Judicatura"/>
        </w:smartTagPr>
        <w:r w:rsidRPr="00937508">
          <w:rPr>
            <w:rFonts w:ascii="Times New Roman" w:hAnsi="Times New Roman" w:cs="Times New Roman"/>
            <w:b/>
            <w:bCs/>
            <w:i/>
            <w:iCs/>
            <w:sz w:val="22"/>
            <w:szCs w:val="22"/>
          </w:rPr>
          <w:t>la Judicatura</w:t>
        </w:r>
      </w:smartTag>
    </w:p>
    <w:p w:rsidR="002A6E8C" w:rsidRPr="00B570AF" w:rsidRDefault="002A6E8C" w:rsidP="00F655AE">
      <w:pPr>
        <w:pStyle w:val="Encabezado"/>
        <w:tabs>
          <w:tab w:val="clear" w:pos="4252"/>
          <w:tab w:val="clear" w:pos="8504"/>
        </w:tabs>
        <w:jc w:val="center"/>
        <w:rPr>
          <w:b/>
          <w:bCs/>
          <w:i/>
          <w:iCs/>
          <w:sz w:val="22"/>
          <w:szCs w:val="22"/>
        </w:rPr>
      </w:pPr>
      <w:r w:rsidRPr="00937508">
        <w:rPr>
          <w:rFonts w:ascii="Times New Roman" w:hAnsi="Times New Roman" w:cs="Times New Roman"/>
          <w:b/>
          <w:bCs/>
          <w:i/>
          <w:iCs/>
          <w:sz w:val="22"/>
          <w:szCs w:val="22"/>
        </w:rPr>
        <w:t>Sala Administrativa</w:t>
      </w:r>
    </w:p>
    <w:p w:rsidR="002A6E8C" w:rsidRDefault="002A6E8C" w:rsidP="00F655AE">
      <w:pPr>
        <w:jc w:val="center"/>
        <w:rPr>
          <w:rFonts w:ascii="Cambria" w:hAnsi="Cambria"/>
          <w:b/>
          <w:lang w:val="es-MX"/>
        </w:rPr>
      </w:pPr>
    </w:p>
    <w:p w:rsidR="002A6E8C" w:rsidRDefault="002A6E8C" w:rsidP="00F655AE">
      <w:pPr>
        <w:jc w:val="center"/>
        <w:rPr>
          <w:rFonts w:ascii="Cambria" w:hAnsi="Cambria"/>
          <w:b/>
          <w:lang w:val="es-MX"/>
        </w:rPr>
      </w:pPr>
    </w:p>
    <w:p w:rsidR="002A6E8C" w:rsidRDefault="002A6E8C" w:rsidP="00F655AE">
      <w:pPr>
        <w:jc w:val="center"/>
        <w:rPr>
          <w:rFonts w:ascii="Cambria" w:hAnsi="Cambria"/>
          <w:b/>
          <w:lang w:val="es-MX"/>
        </w:rPr>
      </w:pPr>
    </w:p>
    <w:p w:rsidR="002A6E8C" w:rsidRDefault="002A6E8C" w:rsidP="00F655AE">
      <w:pPr>
        <w:jc w:val="center"/>
        <w:rPr>
          <w:rFonts w:ascii="Cambria" w:hAnsi="Cambria"/>
          <w:b/>
          <w:lang w:val="es-MX"/>
        </w:rPr>
      </w:pPr>
    </w:p>
    <w:p w:rsidR="002A6E8C" w:rsidRDefault="002A6E8C" w:rsidP="00F655AE">
      <w:pPr>
        <w:jc w:val="center"/>
        <w:rPr>
          <w:rFonts w:ascii="Cambria" w:hAnsi="Cambria"/>
          <w:b/>
          <w:lang w:val="es-MX"/>
        </w:rPr>
      </w:pPr>
    </w:p>
    <w:p w:rsidR="002A6E8C" w:rsidRDefault="002A6E8C" w:rsidP="00F655AE">
      <w:pPr>
        <w:jc w:val="center"/>
        <w:rPr>
          <w:rFonts w:ascii="Cambria" w:hAnsi="Cambria"/>
          <w:b/>
          <w:lang w:val="es-MX"/>
        </w:rPr>
      </w:pPr>
    </w:p>
    <w:p w:rsidR="002A6E8C" w:rsidRDefault="002A6E8C" w:rsidP="00F655AE">
      <w:pPr>
        <w:jc w:val="center"/>
        <w:rPr>
          <w:rFonts w:ascii="Cambria" w:hAnsi="Cambria"/>
          <w:b/>
          <w:lang w:val="es-MX"/>
        </w:rPr>
      </w:pPr>
    </w:p>
    <w:p w:rsidR="002A6E8C" w:rsidRDefault="002A6E8C" w:rsidP="00F655AE">
      <w:pPr>
        <w:jc w:val="center"/>
        <w:rPr>
          <w:rFonts w:ascii="Cambria" w:hAnsi="Cambria"/>
          <w:b/>
          <w:lang w:val="es-MX"/>
        </w:rPr>
      </w:pPr>
    </w:p>
    <w:p w:rsidR="002A6E8C" w:rsidRPr="00486588" w:rsidRDefault="002A6E8C" w:rsidP="00486588">
      <w:pPr>
        <w:spacing w:after="0" w:line="240" w:lineRule="auto"/>
        <w:jc w:val="right"/>
        <w:rPr>
          <w:rFonts w:ascii="Arial" w:hAnsi="Arial" w:cs="Arial"/>
          <w:b/>
          <w:bCs/>
          <w:color w:val="17365D"/>
          <w:sz w:val="32"/>
          <w:szCs w:val="32"/>
          <w:lang w:eastAsia="es-ES"/>
        </w:rPr>
      </w:pPr>
      <w:r w:rsidRPr="00486588">
        <w:rPr>
          <w:rFonts w:ascii="Arial" w:hAnsi="Arial" w:cs="Arial"/>
          <w:b/>
          <w:bCs/>
          <w:color w:val="17365D"/>
          <w:sz w:val="32"/>
          <w:szCs w:val="32"/>
          <w:lang w:eastAsia="es-ES"/>
        </w:rPr>
        <w:t>INFORME DE AVANCE</w:t>
      </w:r>
      <w:r>
        <w:rPr>
          <w:rFonts w:ascii="Arial" w:hAnsi="Arial" w:cs="Arial"/>
          <w:b/>
          <w:bCs/>
          <w:color w:val="17365D"/>
          <w:sz w:val="32"/>
          <w:szCs w:val="32"/>
          <w:lang w:eastAsia="es-ES"/>
        </w:rPr>
        <w:t xml:space="preserve"> </w:t>
      </w:r>
      <w:r w:rsidRPr="007D2276">
        <w:rPr>
          <w:rFonts w:ascii="Arial" w:hAnsi="Arial" w:cs="Arial"/>
          <w:b/>
          <w:bCs/>
          <w:color w:val="17365D"/>
          <w:sz w:val="52"/>
          <w:szCs w:val="52"/>
          <w:lang w:eastAsia="es-ES"/>
        </w:rPr>
        <w:t>SINEJ</w:t>
      </w:r>
      <w:r>
        <w:rPr>
          <w:rFonts w:ascii="Arial" w:hAnsi="Arial" w:cs="Arial"/>
          <w:b/>
          <w:bCs/>
          <w:color w:val="17365D"/>
          <w:sz w:val="32"/>
          <w:szCs w:val="32"/>
          <w:lang w:eastAsia="es-ES"/>
        </w:rPr>
        <w:t xml:space="preserve"> </w:t>
      </w:r>
    </w:p>
    <w:p w:rsidR="002A6E8C" w:rsidRDefault="002A6E8C" w:rsidP="00486588">
      <w:pPr>
        <w:spacing w:after="0" w:line="240" w:lineRule="auto"/>
        <w:ind w:right="-1"/>
        <w:jc w:val="right"/>
        <w:rPr>
          <w:rFonts w:ascii="Arial" w:hAnsi="Arial" w:cs="Arial"/>
          <w:b/>
          <w:bCs/>
          <w:color w:val="17365D"/>
          <w:sz w:val="32"/>
          <w:szCs w:val="32"/>
          <w:lang w:eastAsia="es-ES"/>
        </w:rPr>
      </w:pPr>
      <w:r>
        <w:rPr>
          <w:rFonts w:ascii="Arial" w:hAnsi="Arial" w:cs="Arial"/>
          <w:b/>
          <w:bCs/>
          <w:color w:val="17365D"/>
          <w:sz w:val="32"/>
          <w:szCs w:val="32"/>
          <w:lang w:eastAsia="es-ES"/>
        </w:rPr>
        <w:t xml:space="preserve">ESTADÍSTICA JUDICIAL </w:t>
      </w:r>
    </w:p>
    <w:p w:rsidR="002A6E8C" w:rsidRPr="00486588" w:rsidRDefault="002A6E8C" w:rsidP="007D2276">
      <w:pPr>
        <w:spacing w:after="0" w:line="240" w:lineRule="auto"/>
        <w:ind w:right="-1"/>
        <w:jc w:val="right"/>
        <w:rPr>
          <w:rFonts w:ascii="Arial" w:hAnsi="Arial" w:cs="Arial"/>
          <w:b/>
          <w:bCs/>
          <w:color w:val="17365D"/>
          <w:sz w:val="32"/>
          <w:szCs w:val="32"/>
          <w:lang w:eastAsia="es-ES"/>
        </w:rPr>
      </w:pPr>
      <w:r>
        <w:rPr>
          <w:rFonts w:ascii="Arial" w:hAnsi="Arial" w:cs="Arial"/>
          <w:b/>
          <w:bCs/>
          <w:color w:val="17365D"/>
          <w:sz w:val="32"/>
          <w:szCs w:val="32"/>
          <w:lang w:eastAsia="es-ES"/>
        </w:rPr>
        <w:t>SECTOR JUSTICIA</w:t>
      </w:r>
    </w:p>
    <w:p w:rsidR="002A6E8C" w:rsidRPr="00486588" w:rsidRDefault="002A6E8C" w:rsidP="00486588">
      <w:pPr>
        <w:spacing w:after="0" w:line="240" w:lineRule="auto"/>
        <w:ind w:right="-1"/>
        <w:jc w:val="right"/>
        <w:rPr>
          <w:rFonts w:ascii="Arial" w:hAnsi="Arial" w:cs="Arial"/>
          <w:b/>
          <w:bCs/>
          <w:color w:val="17365D"/>
          <w:sz w:val="32"/>
          <w:szCs w:val="32"/>
          <w:lang w:eastAsia="es-ES"/>
        </w:rPr>
      </w:pPr>
      <w:r w:rsidRPr="00486588">
        <w:rPr>
          <w:rFonts w:ascii="Arial" w:hAnsi="Arial" w:cs="Arial"/>
          <w:b/>
          <w:bCs/>
          <w:color w:val="17365D"/>
          <w:sz w:val="32"/>
          <w:szCs w:val="32"/>
          <w:lang w:eastAsia="es-ES"/>
        </w:rPr>
        <w:t>INDICADORES DE CICLO CRIMINAL</w:t>
      </w:r>
    </w:p>
    <w:p w:rsidR="002A6E8C" w:rsidRDefault="002A6E8C" w:rsidP="00486588">
      <w:pPr>
        <w:pBdr>
          <w:top w:val="single" w:sz="4" w:space="1" w:color="auto"/>
        </w:pBdr>
        <w:spacing w:after="0" w:line="240" w:lineRule="auto"/>
        <w:jc w:val="center"/>
        <w:rPr>
          <w:rFonts w:ascii="Arial" w:hAnsi="Arial" w:cs="Arial"/>
          <w:b/>
          <w:bCs/>
          <w:sz w:val="32"/>
          <w:szCs w:val="32"/>
          <w:lang w:eastAsia="es-ES"/>
        </w:rPr>
      </w:pPr>
    </w:p>
    <w:p w:rsidR="002A6E8C" w:rsidRDefault="002A6E8C" w:rsidP="00F655AE">
      <w:pPr>
        <w:spacing w:after="0" w:line="240" w:lineRule="auto"/>
        <w:jc w:val="center"/>
        <w:rPr>
          <w:rFonts w:ascii="Arial" w:hAnsi="Arial" w:cs="Arial"/>
          <w:b/>
          <w:bCs/>
          <w:sz w:val="32"/>
          <w:szCs w:val="32"/>
          <w:lang w:eastAsia="es-ES"/>
        </w:rPr>
      </w:pPr>
    </w:p>
    <w:p w:rsidR="002A6E8C" w:rsidRDefault="002A6E8C" w:rsidP="00F655AE">
      <w:pPr>
        <w:spacing w:after="0" w:line="240" w:lineRule="auto"/>
        <w:jc w:val="center"/>
        <w:rPr>
          <w:rFonts w:ascii="Arial" w:hAnsi="Arial" w:cs="Arial"/>
          <w:b/>
          <w:bCs/>
          <w:sz w:val="32"/>
          <w:szCs w:val="32"/>
          <w:lang w:eastAsia="es-ES"/>
        </w:rPr>
      </w:pPr>
    </w:p>
    <w:p w:rsidR="002A6E8C" w:rsidRDefault="002A6E8C" w:rsidP="00F655AE">
      <w:pPr>
        <w:spacing w:after="0" w:line="240" w:lineRule="auto"/>
        <w:jc w:val="center"/>
        <w:rPr>
          <w:rFonts w:ascii="Arial" w:hAnsi="Arial" w:cs="Arial"/>
          <w:b/>
          <w:bCs/>
          <w:sz w:val="32"/>
          <w:szCs w:val="32"/>
          <w:lang w:eastAsia="es-ES"/>
        </w:rPr>
      </w:pPr>
    </w:p>
    <w:p w:rsidR="002A6E8C" w:rsidRDefault="002A6E8C" w:rsidP="00573E67">
      <w:pPr>
        <w:spacing w:after="0" w:line="240" w:lineRule="auto"/>
        <w:jc w:val="right"/>
        <w:rPr>
          <w:rFonts w:ascii="Arial" w:hAnsi="Arial" w:cs="Arial"/>
          <w:b/>
          <w:bCs/>
          <w:sz w:val="20"/>
          <w:szCs w:val="20"/>
          <w:lang w:eastAsia="es-ES"/>
        </w:rPr>
      </w:pPr>
    </w:p>
    <w:p w:rsidR="002A6E8C" w:rsidRDefault="002A6E8C" w:rsidP="00573E67">
      <w:pPr>
        <w:spacing w:after="0" w:line="240" w:lineRule="auto"/>
        <w:jc w:val="right"/>
        <w:rPr>
          <w:rFonts w:ascii="Arial" w:hAnsi="Arial" w:cs="Arial"/>
          <w:b/>
          <w:bCs/>
          <w:sz w:val="20"/>
          <w:szCs w:val="20"/>
          <w:lang w:eastAsia="es-ES"/>
        </w:rPr>
      </w:pPr>
      <w:r w:rsidRPr="00573E67">
        <w:rPr>
          <w:rFonts w:ascii="Arial" w:hAnsi="Arial" w:cs="Arial"/>
          <w:b/>
          <w:bCs/>
          <w:sz w:val="20"/>
          <w:szCs w:val="20"/>
          <w:lang w:eastAsia="es-ES"/>
        </w:rPr>
        <w:t>Documento de trabajo para uso interno</w:t>
      </w:r>
      <w:r>
        <w:rPr>
          <w:rFonts w:ascii="Arial" w:hAnsi="Arial" w:cs="Arial"/>
          <w:b/>
          <w:bCs/>
          <w:sz w:val="20"/>
          <w:szCs w:val="20"/>
          <w:lang w:eastAsia="es-ES"/>
        </w:rPr>
        <w:t xml:space="preserve"> del </w:t>
      </w:r>
    </w:p>
    <w:p w:rsidR="002A6E8C" w:rsidRPr="00573E67" w:rsidRDefault="002A6E8C" w:rsidP="00573E67">
      <w:pPr>
        <w:spacing w:after="0" w:line="240" w:lineRule="auto"/>
        <w:jc w:val="right"/>
        <w:rPr>
          <w:rFonts w:ascii="Arial" w:hAnsi="Arial" w:cs="Arial"/>
          <w:b/>
          <w:bCs/>
          <w:sz w:val="20"/>
          <w:szCs w:val="20"/>
          <w:lang w:eastAsia="es-ES"/>
        </w:rPr>
      </w:pPr>
      <w:r>
        <w:rPr>
          <w:rFonts w:ascii="Arial" w:hAnsi="Arial" w:cs="Arial"/>
          <w:b/>
          <w:bCs/>
          <w:sz w:val="20"/>
          <w:szCs w:val="20"/>
          <w:lang w:eastAsia="es-ES"/>
        </w:rPr>
        <w:t>Comité</w:t>
      </w:r>
      <w:r w:rsidRPr="00573E67">
        <w:rPr>
          <w:rFonts w:ascii="Arial" w:hAnsi="Arial" w:cs="Arial"/>
          <w:b/>
          <w:bCs/>
          <w:sz w:val="20"/>
          <w:szCs w:val="20"/>
          <w:lang w:eastAsia="es-ES"/>
        </w:rPr>
        <w:t xml:space="preserve"> T</w:t>
      </w:r>
      <w:r>
        <w:rPr>
          <w:rFonts w:ascii="Arial" w:hAnsi="Arial" w:cs="Arial"/>
          <w:b/>
          <w:bCs/>
          <w:sz w:val="20"/>
          <w:szCs w:val="20"/>
          <w:lang w:eastAsia="es-ES"/>
        </w:rPr>
        <w:t>é</w:t>
      </w:r>
      <w:r w:rsidRPr="00573E67">
        <w:rPr>
          <w:rFonts w:ascii="Arial" w:hAnsi="Arial" w:cs="Arial"/>
          <w:b/>
          <w:bCs/>
          <w:sz w:val="20"/>
          <w:szCs w:val="20"/>
          <w:lang w:eastAsia="es-ES"/>
        </w:rPr>
        <w:t xml:space="preserve">cnico Interinstitucional del SINEJ </w:t>
      </w:r>
    </w:p>
    <w:p w:rsidR="002A6E8C" w:rsidRPr="00092975" w:rsidRDefault="002A6E8C" w:rsidP="00F655AE">
      <w:pPr>
        <w:jc w:val="both"/>
        <w:rPr>
          <w:rFonts w:ascii="Cambria" w:hAnsi="Cambria"/>
        </w:rPr>
      </w:pPr>
    </w:p>
    <w:p w:rsidR="002A6E8C" w:rsidRDefault="002A6E8C" w:rsidP="00F655AE">
      <w:pPr>
        <w:jc w:val="both"/>
        <w:rPr>
          <w:rFonts w:ascii="Cambria" w:hAnsi="Cambria"/>
          <w:lang w:val="es-MX"/>
        </w:rPr>
      </w:pPr>
    </w:p>
    <w:p w:rsidR="002A6E8C" w:rsidRDefault="002A6E8C" w:rsidP="00573E67">
      <w:pPr>
        <w:rPr>
          <w:rFonts w:ascii="Cambria" w:hAnsi="Cambria"/>
          <w:lang w:val="es-MX"/>
        </w:rPr>
      </w:pPr>
    </w:p>
    <w:p w:rsidR="002A6E8C" w:rsidRDefault="002A6E8C" w:rsidP="00573E67">
      <w:pPr>
        <w:rPr>
          <w:rFonts w:ascii="Cambria" w:hAnsi="Cambria"/>
          <w:lang w:val="es-MX"/>
        </w:rPr>
      </w:pPr>
    </w:p>
    <w:p w:rsidR="002A6E8C" w:rsidRDefault="002A6E8C" w:rsidP="00573E67">
      <w:pPr>
        <w:rPr>
          <w:rFonts w:ascii="Cambria" w:hAnsi="Cambria"/>
          <w:lang w:val="es-MX"/>
        </w:rPr>
      </w:pPr>
    </w:p>
    <w:p w:rsidR="002A6E8C" w:rsidRDefault="002A6E8C" w:rsidP="00573E67">
      <w:pPr>
        <w:rPr>
          <w:rFonts w:ascii="Cambria" w:hAnsi="Cambria"/>
          <w:lang w:val="es-MX"/>
        </w:rPr>
      </w:pPr>
    </w:p>
    <w:p w:rsidR="002A6E8C" w:rsidRDefault="002A6E8C" w:rsidP="00573E67">
      <w:pPr>
        <w:rPr>
          <w:rFonts w:ascii="Cambria" w:hAnsi="Cambria"/>
          <w:lang w:val="es-MX"/>
        </w:rPr>
      </w:pPr>
    </w:p>
    <w:p w:rsidR="002A6E8C" w:rsidRPr="00573E67" w:rsidRDefault="002A6E8C" w:rsidP="00573E67">
      <w:pPr>
        <w:jc w:val="center"/>
        <w:rPr>
          <w:rFonts w:ascii="Arial" w:hAnsi="Arial" w:cs="Arial"/>
          <w:lang w:val="es-MX"/>
        </w:rPr>
      </w:pPr>
      <w:r w:rsidRPr="00573E67">
        <w:rPr>
          <w:rFonts w:ascii="Arial" w:hAnsi="Arial" w:cs="Arial"/>
          <w:lang w:val="es-MX"/>
        </w:rPr>
        <w:t>Bogotá</w:t>
      </w:r>
      <w:r>
        <w:rPr>
          <w:rFonts w:ascii="Arial" w:hAnsi="Arial" w:cs="Arial"/>
          <w:lang w:val="es-MX"/>
        </w:rPr>
        <w:t xml:space="preserve"> DC</w:t>
      </w:r>
      <w:r w:rsidRPr="00573E67">
        <w:rPr>
          <w:rFonts w:ascii="Arial" w:hAnsi="Arial" w:cs="Arial"/>
          <w:lang w:val="es-MX"/>
        </w:rPr>
        <w:t xml:space="preserve">, Enero </w:t>
      </w:r>
      <w:r>
        <w:rPr>
          <w:rFonts w:ascii="Arial" w:hAnsi="Arial" w:cs="Arial"/>
          <w:lang w:val="es-MX"/>
        </w:rPr>
        <w:t>30</w:t>
      </w:r>
      <w:r w:rsidRPr="00573E67">
        <w:rPr>
          <w:rFonts w:ascii="Arial" w:hAnsi="Arial" w:cs="Arial"/>
          <w:lang w:val="es-MX"/>
        </w:rPr>
        <w:t xml:space="preserve"> de 2012</w:t>
      </w:r>
    </w:p>
    <w:p w:rsidR="002A6E8C" w:rsidRDefault="002A6E8C">
      <w:pPr>
        <w:rPr>
          <w:rFonts w:ascii="Arial" w:hAnsi="Arial" w:cs="Arial"/>
          <w:b/>
          <w:bCs/>
          <w:sz w:val="24"/>
          <w:szCs w:val="24"/>
          <w:lang w:val="es-ES_tradnl" w:eastAsia="es-ES"/>
        </w:rPr>
      </w:pPr>
    </w:p>
    <w:p w:rsidR="002A6E8C" w:rsidRPr="006472C8" w:rsidRDefault="002A6E8C" w:rsidP="006472C8">
      <w:pPr>
        <w:pStyle w:val="TDC1"/>
      </w:pPr>
      <w:r w:rsidRPr="006472C8">
        <w:t>TABLA DE CONTENIDO DE INDICADORES SINEJ</w:t>
      </w:r>
    </w:p>
    <w:p w:rsidR="002A6E8C" w:rsidRDefault="002A6E8C" w:rsidP="006472C8">
      <w:pPr>
        <w:ind w:left="142"/>
        <w:jc w:val="both"/>
        <w:rPr>
          <w:rFonts w:ascii="Arial" w:hAnsi="Arial" w:cs="Arial"/>
          <w:b/>
          <w:lang w:val="es-MX"/>
        </w:rPr>
      </w:pPr>
    </w:p>
    <w:p w:rsidR="002A6E8C" w:rsidRPr="00486588" w:rsidRDefault="002A6E8C" w:rsidP="006472C8">
      <w:pPr>
        <w:spacing w:before="120"/>
        <w:ind w:left="142"/>
        <w:jc w:val="both"/>
        <w:rPr>
          <w:rFonts w:ascii="Arial" w:hAnsi="Arial" w:cs="Arial"/>
          <w:b/>
          <w:lang w:val="es-MX"/>
        </w:rPr>
      </w:pPr>
      <w:r w:rsidRPr="00486588">
        <w:rPr>
          <w:rFonts w:ascii="Arial" w:hAnsi="Arial" w:cs="Arial"/>
          <w:b/>
          <w:lang w:val="es-MX"/>
        </w:rPr>
        <w:t>PRESENTACI</w:t>
      </w:r>
      <w:r>
        <w:rPr>
          <w:rFonts w:ascii="Arial" w:hAnsi="Arial" w:cs="Arial"/>
          <w:b/>
          <w:lang w:val="es-MX"/>
        </w:rPr>
        <w:t>Ó</w:t>
      </w:r>
      <w:r w:rsidRPr="00486588">
        <w:rPr>
          <w:rFonts w:ascii="Arial" w:hAnsi="Arial" w:cs="Arial"/>
          <w:b/>
          <w:lang w:val="es-MX"/>
        </w:rPr>
        <w:t>N</w:t>
      </w:r>
    </w:p>
    <w:p w:rsidR="002A6E8C" w:rsidRPr="006472C8" w:rsidRDefault="002A6E8C" w:rsidP="006472C8">
      <w:pPr>
        <w:pStyle w:val="TDC1"/>
        <w:rPr>
          <w:lang w:val="es-ES" w:eastAsia="es-ES"/>
        </w:rPr>
      </w:pPr>
      <w:r w:rsidRPr="006472C8">
        <w:fldChar w:fldCharType="begin"/>
      </w:r>
      <w:r w:rsidRPr="006472C8">
        <w:instrText xml:space="preserve"> TOC \o "1-3" \h \z \u </w:instrText>
      </w:r>
      <w:r w:rsidRPr="006472C8">
        <w:fldChar w:fldCharType="separate"/>
      </w:r>
      <w:hyperlink w:anchor="_Toc315681370" w:history="1">
        <w:r w:rsidRPr="006472C8">
          <w:rPr>
            <w:rStyle w:val="Hipervnculo"/>
            <w:rFonts w:cs="Arial"/>
            <w:sz w:val="22"/>
            <w:szCs w:val="22"/>
          </w:rPr>
          <w:t>1.INFORME INSTITUTO DE MEDICINA LEGAL Y CIENCIAS FORENSES</w:t>
        </w:r>
        <w:r>
          <w:rPr>
            <w:rStyle w:val="Hipervnculo"/>
            <w:rFonts w:cs="Arial"/>
            <w:sz w:val="22"/>
            <w:szCs w:val="22"/>
          </w:rPr>
          <w:tab/>
        </w:r>
        <w:r w:rsidRPr="006472C8">
          <w:rPr>
            <w:webHidden/>
          </w:rPr>
          <w:tab/>
        </w:r>
        <w:r w:rsidRPr="006472C8">
          <w:rPr>
            <w:webHidden/>
          </w:rPr>
          <w:fldChar w:fldCharType="begin"/>
        </w:r>
        <w:r w:rsidRPr="006472C8">
          <w:rPr>
            <w:webHidden/>
          </w:rPr>
          <w:instrText xml:space="preserve"> PAGEREF _Toc315681370 \h </w:instrText>
        </w:r>
        <w:r w:rsidRPr="006472C8">
          <w:rPr>
            <w:webHidden/>
          </w:rPr>
        </w:r>
        <w:r w:rsidRPr="006472C8">
          <w:rPr>
            <w:webHidden/>
          </w:rPr>
          <w:fldChar w:fldCharType="separate"/>
        </w:r>
        <w:r>
          <w:rPr>
            <w:webHidden/>
          </w:rPr>
          <w:t>5</w:t>
        </w:r>
        <w:r w:rsidRPr="006472C8">
          <w:rPr>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71" w:history="1">
        <w:r w:rsidR="002A6E8C" w:rsidRPr="006472C8">
          <w:rPr>
            <w:rStyle w:val="Hipervnculo"/>
            <w:rFonts w:ascii="Arial" w:hAnsi="Arial" w:cs="Arial"/>
            <w:noProof/>
            <w:lang w:eastAsia="es-ES"/>
          </w:rPr>
          <w:t>1.1.</w:t>
        </w:r>
        <w:r w:rsidR="002A6E8C" w:rsidRPr="006472C8">
          <w:rPr>
            <w:rFonts w:ascii="Arial" w:hAnsi="Arial" w:cs="Arial"/>
            <w:noProof/>
            <w:lang w:val="es-ES" w:eastAsia="es-ES"/>
          </w:rPr>
          <w:tab/>
        </w:r>
        <w:r w:rsidR="002A6E8C" w:rsidRPr="006472C8">
          <w:rPr>
            <w:rStyle w:val="Hipervnculo"/>
            <w:rFonts w:ascii="Arial" w:hAnsi="Arial" w:cs="Arial"/>
            <w:noProof/>
            <w:lang w:eastAsia="es-ES"/>
          </w:rPr>
          <w:t>Tasa de lesiones no fatales según etiología de la lesión por cada 100.000 habitantes</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_Toc315681371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6</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72" w:history="1">
        <w:r w:rsidR="002A6E8C" w:rsidRPr="006472C8">
          <w:rPr>
            <w:rStyle w:val="Hipervnculo"/>
            <w:rFonts w:ascii="Arial" w:hAnsi="Arial" w:cs="Arial"/>
            <w:noProof/>
            <w:lang w:eastAsia="es-ES"/>
          </w:rPr>
          <w:t>1.2.</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Participación de los homicidios en el total de muertes violentas</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_Toc315681372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12</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73" w:history="1">
        <w:r w:rsidR="002A6E8C" w:rsidRPr="006472C8">
          <w:rPr>
            <w:rStyle w:val="Hipervnculo"/>
            <w:rFonts w:ascii="Arial" w:hAnsi="Arial" w:cs="Arial"/>
            <w:noProof/>
            <w:lang w:eastAsia="es-ES"/>
          </w:rPr>
          <w:t>1.3.</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Participación de muertes por violencia indeterminada en el total de muertes violentas</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_Toc315681373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14</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74" w:history="1">
        <w:r w:rsidR="002A6E8C" w:rsidRPr="006472C8">
          <w:rPr>
            <w:rStyle w:val="Hipervnculo"/>
            <w:rFonts w:ascii="Arial" w:hAnsi="Arial" w:cs="Arial"/>
            <w:noProof/>
            <w:lang w:eastAsia="es-ES"/>
          </w:rPr>
          <w:t>1.4.</w:t>
        </w:r>
        <w:r w:rsidR="002A6E8C" w:rsidRPr="006472C8">
          <w:rPr>
            <w:rFonts w:ascii="Arial" w:hAnsi="Arial" w:cs="Arial"/>
            <w:noProof/>
            <w:lang w:val="es-ES" w:eastAsia="es-ES"/>
          </w:rPr>
          <w:tab/>
        </w:r>
        <w:r w:rsidR="002A6E8C" w:rsidRPr="006472C8">
          <w:rPr>
            <w:rStyle w:val="Hipervnculo"/>
            <w:rFonts w:ascii="Arial" w:hAnsi="Arial" w:cs="Arial"/>
            <w:noProof/>
            <w:lang w:eastAsia="es-ES"/>
          </w:rPr>
          <w:t>Total de muertes por violencia indeterminada según rango de edad</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_Toc315681374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14</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75" w:history="1">
        <w:r w:rsidR="002A6E8C" w:rsidRPr="006472C8">
          <w:rPr>
            <w:rStyle w:val="Hipervnculo"/>
            <w:rFonts w:ascii="Arial" w:hAnsi="Arial" w:cs="Arial"/>
            <w:noProof/>
            <w:lang w:eastAsia="es-ES"/>
          </w:rPr>
          <w:t>1.5.</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Porcentaje de homicidios según rango de edad</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_Toc315681375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15</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76" w:history="1">
        <w:r w:rsidR="002A6E8C" w:rsidRPr="006472C8">
          <w:rPr>
            <w:rStyle w:val="Hipervnculo"/>
            <w:rFonts w:ascii="Arial" w:hAnsi="Arial" w:cs="Arial"/>
            <w:noProof/>
            <w:lang w:eastAsia="es-ES"/>
          </w:rPr>
          <w:t>1.6.</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Porcentaje de muertes por violencia indeterminada, según sexo de la victima</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_Toc315681376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16</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77" w:history="1">
        <w:r w:rsidR="002A6E8C" w:rsidRPr="006472C8">
          <w:rPr>
            <w:rStyle w:val="Hipervnculo"/>
            <w:rFonts w:ascii="Arial" w:hAnsi="Arial" w:cs="Arial"/>
            <w:noProof/>
            <w:lang w:eastAsia="es-ES"/>
          </w:rPr>
          <w:t>1.7.</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Porcentaje de homicidios según sexo de la victima</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_Toc315681377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18</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78" w:history="1">
        <w:r w:rsidR="002A6E8C" w:rsidRPr="006472C8">
          <w:rPr>
            <w:rStyle w:val="Hipervnculo"/>
            <w:rFonts w:ascii="Arial" w:hAnsi="Arial" w:cs="Arial"/>
            <w:noProof/>
            <w:lang w:eastAsia="es-ES"/>
          </w:rPr>
          <w:t>1.8.</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Porcentaje de lesiones no fatales según etiología</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_Toc315681378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21</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79" w:history="1">
        <w:r w:rsidR="002A6E8C" w:rsidRPr="006472C8">
          <w:rPr>
            <w:rStyle w:val="Hipervnculo"/>
            <w:rFonts w:ascii="Arial" w:hAnsi="Arial" w:cs="Arial"/>
            <w:noProof/>
            <w:lang w:eastAsia="es-ES"/>
          </w:rPr>
          <w:t>1.9.</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Porcentaje de lesiones no fatales según etiología y rango de edad</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_Toc315681379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22</w:t>
        </w:r>
        <w:r w:rsidR="002A6E8C" w:rsidRPr="006472C8">
          <w:rPr>
            <w:rFonts w:ascii="Arial" w:hAnsi="Arial" w:cs="Arial"/>
            <w:noProof/>
            <w:webHidden/>
          </w:rPr>
          <w:fldChar w:fldCharType="end"/>
        </w:r>
      </w:hyperlink>
    </w:p>
    <w:p w:rsidR="002A6E8C" w:rsidRPr="006472C8" w:rsidRDefault="00D22D8D">
      <w:pPr>
        <w:pStyle w:val="TDC2"/>
        <w:tabs>
          <w:tab w:val="left" w:pos="1100"/>
          <w:tab w:val="right" w:leader="dot" w:pos="8828"/>
        </w:tabs>
        <w:rPr>
          <w:rFonts w:ascii="Arial" w:hAnsi="Arial" w:cs="Arial"/>
          <w:noProof/>
          <w:lang w:val="es-ES" w:eastAsia="es-ES"/>
        </w:rPr>
      </w:pPr>
      <w:hyperlink w:anchor="_Toc315681380" w:history="1">
        <w:r w:rsidR="002A6E8C" w:rsidRPr="006472C8">
          <w:rPr>
            <w:rStyle w:val="Hipervnculo"/>
            <w:rFonts w:ascii="Arial" w:hAnsi="Arial" w:cs="Arial"/>
            <w:noProof/>
            <w:lang w:eastAsia="es-ES"/>
          </w:rPr>
          <w:t>1.10.</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Porcentaje de lesiones no fatales según etiología y sexo de la víctima</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_Toc315681380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27</w:t>
        </w:r>
        <w:r w:rsidR="002A6E8C" w:rsidRPr="006472C8">
          <w:rPr>
            <w:rFonts w:ascii="Arial" w:hAnsi="Arial" w:cs="Arial"/>
            <w:noProof/>
            <w:webHidden/>
          </w:rPr>
          <w:fldChar w:fldCharType="end"/>
        </w:r>
      </w:hyperlink>
    </w:p>
    <w:p w:rsidR="002A6E8C" w:rsidRPr="006472C8" w:rsidRDefault="00D22D8D">
      <w:pPr>
        <w:pStyle w:val="TDC2"/>
        <w:tabs>
          <w:tab w:val="left" w:pos="1100"/>
          <w:tab w:val="right" w:leader="dot" w:pos="8828"/>
        </w:tabs>
        <w:rPr>
          <w:rFonts w:ascii="Arial" w:hAnsi="Arial" w:cs="Arial"/>
          <w:noProof/>
          <w:lang w:val="es-ES" w:eastAsia="es-ES"/>
        </w:rPr>
      </w:pPr>
      <w:hyperlink w:anchor="_Toc315681381" w:history="1">
        <w:r w:rsidR="002A6E8C" w:rsidRPr="006472C8">
          <w:rPr>
            <w:rStyle w:val="Hipervnculo"/>
            <w:rFonts w:ascii="Arial" w:hAnsi="Arial" w:cs="Arial"/>
            <w:noProof/>
            <w:lang w:eastAsia="es-ES"/>
          </w:rPr>
          <w:t>1.11.</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Promedio de años de vida potencialmente perdidos por causa de homicidios</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_Toc315681381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32</w:t>
        </w:r>
        <w:r w:rsidR="002A6E8C" w:rsidRPr="006472C8">
          <w:rPr>
            <w:rFonts w:ascii="Arial" w:hAnsi="Arial" w:cs="Arial"/>
            <w:noProof/>
            <w:webHidden/>
          </w:rPr>
          <w:fldChar w:fldCharType="end"/>
        </w:r>
      </w:hyperlink>
    </w:p>
    <w:p w:rsidR="002A6E8C" w:rsidRPr="006472C8" w:rsidRDefault="00D22D8D">
      <w:pPr>
        <w:pStyle w:val="TDC2"/>
        <w:tabs>
          <w:tab w:val="left" w:pos="1100"/>
          <w:tab w:val="right" w:leader="dot" w:pos="8828"/>
        </w:tabs>
        <w:rPr>
          <w:rFonts w:ascii="Arial" w:hAnsi="Arial" w:cs="Arial"/>
          <w:noProof/>
          <w:lang w:val="es-ES" w:eastAsia="es-ES"/>
        </w:rPr>
      </w:pPr>
      <w:hyperlink w:anchor="_Toc315681382" w:history="1">
        <w:r w:rsidR="002A6E8C" w:rsidRPr="006472C8">
          <w:rPr>
            <w:rStyle w:val="Hipervnculo"/>
            <w:rFonts w:ascii="Arial" w:hAnsi="Arial" w:cs="Arial"/>
            <w:noProof/>
            <w:lang w:eastAsia="es-ES"/>
          </w:rPr>
          <w:t>1.12.</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Porcentaje de homicidios según móvil o circunstancia del hecho</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_Toc315681382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33</w:t>
        </w:r>
        <w:r w:rsidR="002A6E8C" w:rsidRPr="006472C8">
          <w:rPr>
            <w:rFonts w:ascii="Arial" w:hAnsi="Arial" w:cs="Arial"/>
            <w:noProof/>
            <w:webHidden/>
          </w:rPr>
          <w:fldChar w:fldCharType="end"/>
        </w:r>
      </w:hyperlink>
    </w:p>
    <w:p w:rsidR="002A6E8C" w:rsidRDefault="00D22D8D">
      <w:pPr>
        <w:pStyle w:val="TDC2"/>
        <w:tabs>
          <w:tab w:val="left" w:pos="1100"/>
          <w:tab w:val="right" w:leader="dot" w:pos="8828"/>
        </w:tabs>
        <w:rPr>
          <w:rStyle w:val="Hipervnculo"/>
          <w:rFonts w:ascii="Arial" w:hAnsi="Arial" w:cs="Arial"/>
          <w:noProof/>
        </w:rPr>
      </w:pPr>
      <w:hyperlink w:anchor="_Toc315681383" w:history="1">
        <w:r w:rsidR="002A6E8C" w:rsidRPr="006472C8">
          <w:rPr>
            <w:rStyle w:val="Hipervnculo"/>
            <w:rFonts w:ascii="Arial" w:hAnsi="Arial" w:cs="Arial"/>
            <w:noProof/>
            <w:lang w:eastAsia="es-ES"/>
          </w:rPr>
          <w:t>1.13.</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Participación de muertes por accidente de tránsito en el total de muertes violentas</w:t>
        </w:r>
        <w:r w:rsidR="002A6E8C" w:rsidRPr="006472C8">
          <w:rPr>
            <w:rFonts w:ascii="Arial" w:hAnsi="Arial" w:cs="Arial"/>
            <w:noProof/>
            <w:webHidden/>
          </w:rPr>
          <w:tab/>
        </w:r>
        <w:r w:rsidR="002A6E8C">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_Toc315681383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35</w:t>
        </w:r>
        <w:r w:rsidR="002A6E8C" w:rsidRPr="006472C8">
          <w:rPr>
            <w:rFonts w:ascii="Arial" w:hAnsi="Arial" w:cs="Arial"/>
            <w:noProof/>
            <w:webHidden/>
          </w:rPr>
          <w:fldChar w:fldCharType="end"/>
        </w:r>
      </w:hyperlink>
    </w:p>
    <w:p w:rsidR="002A6E8C" w:rsidRPr="006472C8" w:rsidRDefault="002A6E8C" w:rsidP="006472C8">
      <w:pPr>
        <w:rPr>
          <w:noProof/>
        </w:rPr>
      </w:pPr>
    </w:p>
    <w:p w:rsidR="002A6E8C" w:rsidRPr="006472C8" w:rsidRDefault="00D22D8D" w:rsidP="006472C8">
      <w:pPr>
        <w:pStyle w:val="TDC1"/>
        <w:rPr>
          <w:lang w:val="es-ES" w:eastAsia="es-ES"/>
        </w:rPr>
      </w:pPr>
      <w:hyperlink w:anchor="_Toc315681384" w:history="1">
        <w:r w:rsidR="002A6E8C" w:rsidRPr="006472C8">
          <w:rPr>
            <w:rStyle w:val="Hipervnculo"/>
            <w:rFonts w:cs="Arial"/>
            <w:sz w:val="22"/>
            <w:szCs w:val="22"/>
          </w:rPr>
          <w:t>2.INFORME  INSTITUTO COLOMBIANO DE BIENESTAR FAMILIAR – ICBF</w:t>
        </w:r>
        <w:r w:rsidR="002A6E8C" w:rsidRPr="006472C8">
          <w:rPr>
            <w:webHidden/>
          </w:rPr>
          <w:tab/>
        </w:r>
        <w:r w:rsidR="002A6E8C">
          <w:rPr>
            <w:webHidden/>
          </w:rPr>
          <w:tab/>
        </w:r>
        <w:r w:rsidR="002A6E8C" w:rsidRPr="006472C8">
          <w:rPr>
            <w:webHidden/>
          </w:rPr>
          <w:fldChar w:fldCharType="begin"/>
        </w:r>
        <w:r w:rsidR="002A6E8C" w:rsidRPr="006472C8">
          <w:rPr>
            <w:webHidden/>
          </w:rPr>
          <w:instrText xml:space="preserve"> PAGEREF _Toc315681384 \h </w:instrText>
        </w:r>
        <w:r w:rsidR="002A6E8C" w:rsidRPr="006472C8">
          <w:rPr>
            <w:webHidden/>
          </w:rPr>
        </w:r>
        <w:r w:rsidR="002A6E8C" w:rsidRPr="006472C8">
          <w:rPr>
            <w:webHidden/>
          </w:rPr>
          <w:fldChar w:fldCharType="separate"/>
        </w:r>
        <w:r w:rsidR="002A6E8C">
          <w:rPr>
            <w:webHidden/>
          </w:rPr>
          <w:t>36</w:t>
        </w:r>
        <w:r w:rsidR="002A6E8C" w:rsidRPr="006472C8">
          <w:rPr>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85" w:history="1">
        <w:r w:rsidR="002A6E8C" w:rsidRPr="006472C8">
          <w:rPr>
            <w:rStyle w:val="Hipervnculo"/>
            <w:rFonts w:ascii="Arial" w:hAnsi="Arial" w:cs="Arial"/>
            <w:noProof/>
            <w:lang w:eastAsia="es-ES"/>
          </w:rPr>
          <w:t>2.1.</w:t>
        </w:r>
        <w:r w:rsidR="002A6E8C" w:rsidRPr="006472C8">
          <w:rPr>
            <w:rFonts w:ascii="Arial" w:hAnsi="Arial" w:cs="Arial"/>
            <w:noProof/>
            <w:lang w:val="es-ES" w:eastAsia="es-ES"/>
          </w:rPr>
          <w:tab/>
        </w:r>
        <w:r w:rsidR="002A6E8C" w:rsidRPr="006472C8">
          <w:rPr>
            <w:rStyle w:val="Hipervnculo"/>
            <w:rFonts w:ascii="Arial" w:hAnsi="Arial" w:cs="Arial"/>
            <w:noProof/>
            <w:lang w:eastAsia="es-ES"/>
          </w:rPr>
          <w:t>Distribución de las  sanciones aplicadas a los adolescentes por tipo de sanción año 2010</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_Toc315681385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36</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86" w:history="1">
        <w:r w:rsidR="002A6E8C" w:rsidRPr="006472C8">
          <w:rPr>
            <w:rStyle w:val="Hipervnculo"/>
            <w:rFonts w:ascii="Arial" w:hAnsi="Arial" w:cs="Arial"/>
            <w:noProof/>
            <w:lang w:eastAsia="es-ES"/>
          </w:rPr>
          <w:t>2.2.</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Proporción de niños, niñas y adolescentes desvinculados victimas de grupos generadores de violencia según grupo generador de violencia</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_Toc315681386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37</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87" w:history="1">
        <w:r w:rsidR="002A6E8C" w:rsidRPr="006472C8">
          <w:rPr>
            <w:rStyle w:val="Hipervnculo"/>
            <w:rFonts w:ascii="Arial" w:hAnsi="Arial" w:cs="Arial"/>
            <w:noProof/>
            <w:lang w:eastAsia="es-ES"/>
          </w:rPr>
          <w:t>2.3.</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Proporción de adolescentes atendidos por las defensorías de familia según tipo de delito</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_Toc315681387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38</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88" w:history="1">
        <w:r w:rsidR="002A6E8C" w:rsidRPr="006472C8">
          <w:rPr>
            <w:rStyle w:val="Hipervnculo"/>
            <w:rFonts w:ascii="Arial" w:hAnsi="Arial" w:cs="Arial"/>
            <w:noProof/>
            <w:lang w:eastAsia="es-ES"/>
          </w:rPr>
          <w:t>2.4.</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Proporción de adolescentes atendidos por las defensorías de familia según rango de edad</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_Toc315681388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39</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89" w:history="1">
        <w:r w:rsidR="002A6E8C" w:rsidRPr="006472C8">
          <w:rPr>
            <w:rStyle w:val="Hipervnculo"/>
            <w:rFonts w:ascii="Arial" w:hAnsi="Arial" w:cs="Arial"/>
            <w:noProof/>
            <w:lang w:eastAsia="es-ES"/>
          </w:rPr>
          <w:t>2.5.</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Proporción de sanciones aplicadas a los adolescentes por rango de edad</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_Toc315681389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40</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90" w:history="1">
        <w:r w:rsidR="002A6E8C" w:rsidRPr="006472C8">
          <w:rPr>
            <w:rStyle w:val="Hipervnculo"/>
            <w:rFonts w:ascii="Arial" w:hAnsi="Arial" w:cs="Arial"/>
            <w:noProof/>
            <w:lang w:eastAsia="es-ES"/>
          </w:rPr>
          <w:t>2.6.</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Proporción de sanciones aplicadas a los adolescentes por nivel de escolaridad</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_Toc315681390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40</w:t>
        </w:r>
        <w:r w:rsidR="002A6E8C" w:rsidRPr="006472C8">
          <w:rPr>
            <w:rFonts w:ascii="Arial" w:hAnsi="Arial" w:cs="Arial"/>
            <w:noProof/>
            <w:webHidden/>
          </w:rPr>
          <w:fldChar w:fldCharType="end"/>
        </w:r>
      </w:hyperlink>
    </w:p>
    <w:p w:rsidR="002A6E8C" w:rsidRDefault="00D22D8D">
      <w:pPr>
        <w:pStyle w:val="TDC2"/>
        <w:tabs>
          <w:tab w:val="left" w:pos="880"/>
          <w:tab w:val="right" w:leader="dot" w:pos="8828"/>
        </w:tabs>
        <w:rPr>
          <w:rStyle w:val="Hipervnculo"/>
          <w:rFonts w:ascii="Arial" w:hAnsi="Arial" w:cs="Arial"/>
          <w:noProof/>
        </w:rPr>
      </w:pPr>
      <w:hyperlink w:anchor="_Toc315681391" w:history="1">
        <w:r w:rsidR="002A6E8C" w:rsidRPr="006472C8">
          <w:rPr>
            <w:rStyle w:val="Hipervnculo"/>
            <w:rFonts w:ascii="Arial" w:hAnsi="Arial" w:cs="Arial"/>
            <w:noProof/>
            <w:lang w:eastAsia="es-ES"/>
          </w:rPr>
          <w:t>2.7.</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Proporción de adolescentes atendidos por las defensorías de familia según genero</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_Toc315681391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40</w:t>
        </w:r>
        <w:r w:rsidR="002A6E8C" w:rsidRPr="006472C8">
          <w:rPr>
            <w:rFonts w:ascii="Arial" w:hAnsi="Arial" w:cs="Arial"/>
            <w:noProof/>
            <w:webHidden/>
          </w:rPr>
          <w:fldChar w:fldCharType="end"/>
        </w:r>
      </w:hyperlink>
    </w:p>
    <w:p w:rsidR="002A6E8C" w:rsidRPr="006472C8" w:rsidRDefault="002A6E8C" w:rsidP="006472C8">
      <w:pPr>
        <w:rPr>
          <w:noProof/>
        </w:rPr>
      </w:pPr>
    </w:p>
    <w:p w:rsidR="002A6E8C" w:rsidRPr="006472C8" w:rsidRDefault="00D22D8D" w:rsidP="006472C8">
      <w:pPr>
        <w:pStyle w:val="TDC1"/>
        <w:rPr>
          <w:lang w:val="es-ES" w:eastAsia="es-ES"/>
        </w:rPr>
      </w:pPr>
      <w:hyperlink w:anchor="_Toc315681392" w:history="1">
        <w:r w:rsidR="002A6E8C" w:rsidRPr="006472C8">
          <w:rPr>
            <w:rStyle w:val="Hipervnculo"/>
            <w:rFonts w:cs="Arial"/>
            <w:sz w:val="22"/>
            <w:szCs w:val="22"/>
          </w:rPr>
          <w:t>3.INFORME  CONSEJO SUPERIOR DE LA JUDICATURA</w:t>
        </w:r>
        <w:r w:rsidR="002A6E8C" w:rsidRPr="006472C8">
          <w:rPr>
            <w:webHidden/>
          </w:rPr>
          <w:tab/>
        </w:r>
        <w:r w:rsidR="002A6E8C">
          <w:rPr>
            <w:webHidden/>
          </w:rPr>
          <w:tab/>
        </w:r>
        <w:r w:rsidR="002A6E8C" w:rsidRPr="006472C8">
          <w:rPr>
            <w:webHidden/>
          </w:rPr>
          <w:fldChar w:fldCharType="begin"/>
        </w:r>
        <w:r w:rsidR="002A6E8C" w:rsidRPr="006472C8">
          <w:rPr>
            <w:webHidden/>
          </w:rPr>
          <w:instrText xml:space="preserve"> PAGEREF _Toc315681392 \h </w:instrText>
        </w:r>
        <w:r w:rsidR="002A6E8C" w:rsidRPr="006472C8">
          <w:rPr>
            <w:webHidden/>
          </w:rPr>
        </w:r>
        <w:r w:rsidR="002A6E8C" w:rsidRPr="006472C8">
          <w:rPr>
            <w:webHidden/>
          </w:rPr>
          <w:fldChar w:fldCharType="separate"/>
        </w:r>
        <w:r w:rsidR="002A6E8C">
          <w:rPr>
            <w:webHidden/>
          </w:rPr>
          <w:t>41</w:t>
        </w:r>
        <w:r w:rsidR="002A6E8C" w:rsidRPr="006472C8">
          <w:rPr>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93" w:history="1">
        <w:r w:rsidR="002A6E8C" w:rsidRPr="006472C8">
          <w:rPr>
            <w:rStyle w:val="Hipervnculo"/>
            <w:rFonts w:ascii="Arial" w:hAnsi="Arial" w:cs="Arial"/>
            <w:noProof/>
            <w:lang w:eastAsia="es-ES"/>
          </w:rPr>
          <w:t>3.1.</w:t>
        </w:r>
        <w:r w:rsidR="002A6E8C" w:rsidRPr="006472C8">
          <w:rPr>
            <w:rFonts w:ascii="Arial" w:hAnsi="Arial" w:cs="Arial"/>
            <w:noProof/>
            <w:lang w:val="es-ES" w:eastAsia="es-ES"/>
          </w:rPr>
          <w:tab/>
        </w:r>
        <w:r w:rsidR="002A6E8C" w:rsidRPr="006472C8">
          <w:rPr>
            <w:rStyle w:val="Hipervnculo"/>
            <w:rFonts w:ascii="Arial" w:hAnsi="Arial" w:cs="Arial"/>
            <w:noProof/>
            <w:lang w:eastAsia="es-ES"/>
          </w:rPr>
          <w:t>Distribución de la Demanda en la especialidad penal por clase de Proceso</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_Toc315681393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41</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94" w:history="1">
        <w:r w:rsidR="002A6E8C" w:rsidRPr="006472C8">
          <w:rPr>
            <w:rStyle w:val="Hipervnculo"/>
            <w:rFonts w:ascii="Arial" w:hAnsi="Arial" w:cs="Arial"/>
            <w:noProof/>
            <w:lang w:eastAsia="es-ES"/>
          </w:rPr>
          <w:t>3.2.</w:t>
        </w:r>
        <w:r w:rsidR="002A6E8C" w:rsidRPr="006472C8">
          <w:rPr>
            <w:rFonts w:ascii="Arial" w:hAnsi="Arial" w:cs="Arial"/>
            <w:noProof/>
            <w:lang w:val="es-ES" w:eastAsia="es-ES"/>
          </w:rPr>
          <w:tab/>
        </w:r>
        <w:r w:rsidR="002A6E8C" w:rsidRPr="006472C8">
          <w:rPr>
            <w:rStyle w:val="Hipervnculo"/>
            <w:rFonts w:ascii="Arial" w:hAnsi="Arial" w:cs="Arial"/>
            <w:noProof/>
            <w:lang w:eastAsia="es-ES"/>
          </w:rPr>
          <w:t>Índice de Demanda en la especialidad penal según instancia</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_Toc315681394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41</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95" w:history="1">
        <w:r w:rsidR="002A6E8C" w:rsidRPr="006472C8">
          <w:rPr>
            <w:rStyle w:val="Hipervnculo"/>
            <w:rFonts w:ascii="Arial" w:hAnsi="Arial" w:cs="Arial"/>
            <w:noProof/>
            <w:lang w:eastAsia="es-ES"/>
          </w:rPr>
          <w:t>3.3.</w:t>
        </w:r>
        <w:r w:rsidR="002A6E8C" w:rsidRPr="006472C8">
          <w:rPr>
            <w:rFonts w:ascii="Arial" w:hAnsi="Arial" w:cs="Arial"/>
            <w:noProof/>
            <w:lang w:val="es-ES" w:eastAsia="es-ES"/>
          </w:rPr>
          <w:tab/>
        </w:r>
        <w:r w:rsidR="002A6E8C" w:rsidRPr="006472C8">
          <w:rPr>
            <w:rStyle w:val="Hipervnculo"/>
            <w:rFonts w:ascii="Arial" w:hAnsi="Arial" w:cs="Arial"/>
            <w:noProof/>
            <w:lang w:eastAsia="es-ES"/>
          </w:rPr>
          <w:t>Índice de Participación de la Demanda en la especialidad penal según instancia i</w:t>
        </w:r>
        <w:r w:rsidR="002A6E8C" w:rsidRPr="006472C8">
          <w:rPr>
            <w:rFonts w:ascii="Arial" w:hAnsi="Arial" w:cs="Arial"/>
            <w:noProof/>
            <w:webHidden/>
          </w:rPr>
          <w:tab/>
        </w:r>
        <w:r w:rsidR="002A6E8C">
          <w:rPr>
            <w:rFonts w:ascii="Arial" w:hAnsi="Arial" w:cs="Arial"/>
            <w:noProof/>
            <w:webHidden/>
          </w:rPr>
          <w:tab/>
        </w:r>
        <w:r w:rsidR="002A6E8C">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_Toc315681395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42</w:t>
        </w:r>
        <w:r w:rsidR="002A6E8C" w:rsidRPr="006472C8">
          <w:rPr>
            <w:rFonts w:ascii="Arial" w:hAnsi="Arial" w:cs="Arial"/>
            <w:noProof/>
            <w:webHidden/>
          </w:rPr>
          <w:fldChar w:fldCharType="end"/>
        </w:r>
      </w:hyperlink>
    </w:p>
    <w:p w:rsidR="002A6E8C" w:rsidRDefault="00D22D8D">
      <w:pPr>
        <w:pStyle w:val="TDC2"/>
        <w:tabs>
          <w:tab w:val="left" w:pos="880"/>
          <w:tab w:val="right" w:leader="dot" w:pos="8828"/>
        </w:tabs>
        <w:rPr>
          <w:rStyle w:val="Hipervnculo"/>
          <w:rFonts w:ascii="Arial" w:hAnsi="Arial" w:cs="Arial"/>
          <w:noProof/>
        </w:rPr>
      </w:pPr>
      <w:hyperlink w:anchor="_Toc315681396" w:history="1">
        <w:r w:rsidR="002A6E8C" w:rsidRPr="006472C8">
          <w:rPr>
            <w:rStyle w:val="Hipervnculo"/>
            <w:rFonts w:ascii="Arial" w:hAnsi="Arial" w:cs="Arial"/>
            <w:noProof/>
            <w:lang w:eastAsia="es-ES"/>
          </w:rPr>
          <w:t>3.4.</w:t>
        </w:r>
        <w:r w:rsidR="002A6E8C" w:rsidRPr="006472C8">
          <w:rPr>
            <w:rFonts w:ascii="Arial" w:hAnsi="Arial" w:cs="Arial"/>
            <w:noProof/>
            <w:lang w:val="es-ES" w:eastAsia="es-ES"/>
          </w:rPr>
          <w:tab/>
        </w:r>
        <w:r w:rsidR="002A6E8C" w:rsidRPr="006472C8">
          <w:rPr>
            <w:rStyle w:val="Hipervnculo"/>
            <w:rFonts w:ascii="Arial" w:hAnsi="Arial" w:cs="Arial"/>
            <w:noProof/>
            <w:lang w:eastAsia="es-ES"/>
          </w:rPr>
          <w:t>Distribución de los Egresos Totales en la especialidad penal por clase de Proceso</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_Toc315681396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42</w:t>
        </w:r>
        <w:r w:rsidR="002A6E8C" w:rsidRPr="006472C8">
          <w:rPr>
            <w:rFonts w:ascii="Arial" w:hAnsi="Arial" w:cs="Arial"/>
            <w:noProof/>
            <w:webHidden/>
          </w:rPr>
          <w:fldChar w:fldCharType="end"/>
        </w:r>
      </w:hyperlink>
    </w:p>
    <w:p w:rsidR="002A6E8C" w:rsidRPr="006472C8" w:rsidRDefault="002A6E8C" w:rsidP="006472C8">
      <w:pPr>
        <w:rPr>
          <w:noProof/>
        </w:rPr>
      </w:pPr>
    </w:p>
    <w:p w:rsidR="002A6E8C" w:rsidRPr="006472C8" w:rsidRDefault="00D22D8D" w:rsidP="006472C8">
      <w:pPr>
        <w:pStyle w:val="TDC1"/>
        <w:rPr>
          <w:lang w:val="es-ES" w:eastAsia="es-ES"/>
        </w:rPr>
      </w:pPr>
      <w:hyperlink w:anchor="_Toc315681397" w:history="1">
        <w:r w:rsidR="002A6E8C" w:rsidRPr="006472C8">
          <w:rPr>
            <w:rStyle w:val="Hipervnculo"/>
            <w:rFonts w:cs="Arial"/>
            <w:sz w:val="22"/>
            <w:szCs w:val="22"/>
          </w:rPr>
          <w:t>4.INFORME  FISCALIA GENERAL DE LA NACION</w:t>
        </w:r>
        <w:r w:rsidR="002A6E8C" w:rsidRPr="006472C8">
          <w:rPr>
            <w:webHidden/>
          </w:rPr>
          <w:tab/>
        </w:r>
        <w:r w:rsidR="002A6E8C">
          <w:rPr>
            <w:webHidden/>
          </w:rPr>
          <w:tab/>
        </w:r>
        <w:r w:rsidR="002A6E8C" w:rsidRPr="006472C8">
          <w:rPr>
            <w:webHidden/>
          </w:rPr>
          <w:fldChar w:fldCharType="begin"/>
        </w:r>
        <w:r w:rsidR="002A6E8C" w:rsidRPr="006472C8">
          <w:rPr>
            <w:webHidden/>
          </w:rPr>
          <w:instrText xml:space="preserve"> PAGEREF _Toc315681397 \h </w:instrText>
        </w:r>
        <w:r w:rsidR="002A6E8C" w:rsidRPr="006472C8">
          <w:rPr>
            <w:webHidden/>
          </w:rPr>
        </w:r>
        <w:r w:rsidR="002A6E8C" w:rsidRPr="006472C8">
          <w:rPr>
            <w:webHidden/>
          </w:rPr>
          <w:fldChar w:fldCharType="separate"/>
        </w:r>
        <w:r w:rsidR="002A6E8C">
          <w:rPr>
            <w:webHidden/>
          </w:rPr>
          <w:t>43</w:t>
        </w:r>
        <w:r w:rsidR="002A6E8C" w:rsidRPr="006472C8">
          <w:rPr>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98" w:history="1">
        <w:r w:rsidR="002A6E8C" w:rsidRPr="006472C8">
          <w:rPr>
            <w:rStyle w:val="Hipervnculo"/>
            <w:rFonts w:ascii="Arial" w:hAnsi="Arial" w:cs="Arial"/>
            <w:noProof/>
            <w:lang w:eastAsia="es-ES"/>
          </w:rPr>
          <w:t>4.1.</w:t>
        </w:r>
        <w:r w:rsidR="002A6E8C" w:rsidRPr="006472C8">
          <w:rPr>
            <w:rFonts w:ascii="Arial" w:hAnsi="Arial" w:cs="Arial"/>
            <w:noProof/>
            <w:lang w:val="es-ES" w:eastAsia="es-ES"/>
          </w:rPr>
          <w:tab/>
        </w:r>
        <w:r w:rsidR="002A6E8C" w:rsidRPr="006472C8">
          <w:rPr>
            <w:rStyle w:val="Hipervnculo"/>
            <w:rFonts w:ascii="Arial" w:hAnsi="Arial" w:cs="Arial"/>
            <w:noProof/>
            <w:lang w:eastAsia="es-ES"/>
          </w:rPr>
          <w:t>Distribución de los Entradas y Salidas a la Fiscalía General de la Nación Ley 906</w:t>
        </w:r>
        <w:r w:rsidR="002A6E8C" w:rsidRPr="006472C8">
          <w:rPr>
            <w:rFonts w:ascii="Arial" w:hAnsi="Arial" w:cs="Arial"/>
            <w:noProof/>
            <w:webHidden/>
          </w:rPr>
          <w:tab/>
        </w:r>
        <w:r w:rsidR="002A6E8C">
          <w:rPr>
            <w:rFonts w:ascii="Arial" w:hAnsi="Arial" w:cs="Arial"/>
            <w:noProof/>
            <w:webHidden/>
          </w:rPr>
          <w:tab/>
        </w:r>
        <w:r w:rsidR="002A6E8C">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_Toc315681398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43</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399" w:history="1">
        <w:r w:rsidR="002A6E8C" w:rsidRPr="006472C8">
          <w:rPr>
            <w:rStyle w:val="Hipervnculo"/>
            <w:rFonts w:ascii="Arial" w:hAnsi="Arial" w:cs="Arial"/>
            <w:noProof/>
            <w:lang w:eastAsia="es-ES"/>
          </w:rPr>
          <w:t>4.2.</w:t>
        </w:r>
        <w:r w:rsidR="002A6E8C" w:rsidRPr="006472C8">
          <w:rPr>
            <w:rFonts w:ascii="Arial" w:hAnsi="Arial" w:cs="Arial"/>
            <w:noProof/>
            <w:lang w:val="es-ES" w:eastAsia="es-ES"/>
          </w:rPr>
          <w:tab/>
        </w:r>
        <w:r w:rsidR="002A6E8C" w:rsidRPr="006472C8">
          <w:rPr>
            <w:rStyle w:val="Hipervnculo"/>
            <w:rFonts w:ascii="Arial" w:hAnsi="Arial" w:cs="Arial"/>
            <w:noProof/>
            <w:lang w:eastAsia="es-ES"/>
          </w:rPr>
          <w:t>Distribución de los Entradas a la Fiscalía General de la Nación</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_Toc315681399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43</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400" w:history="1">
        <w:r w:rsidR="002A6E8C" w:rsidRPr="006472C8">
          <w:rPr>
            <w:rStyle w:val="Hipervnculo"/>
            <w:rFonts w:ascii="Arial" w:hAnsi="Arial" w:cs="Arial"/>
            <w:noProof/>
            <w:lang w:eastAsia="es-ES"/>
          </w:rPr>
          <w:t>4.3.</w:t>
        </w:r>
        <w:r w:rsidR="002A6E8C" w:rsidRPr="006472C8">
          <w:rPr>
            <w:rFonts w:ascii="Arial" w:hAnsi="Arial" w:cs="Arial"/>
            <w:noProof/>
            <w:lang w:val="es-ES" w:eastAsia="es-ES"/>
          </w:rPr>
          <w:tab/>
        </w:r>
        <w:r w:rsidR="002A6E8C" w:rsidRPr="006472C8">
          <w:rPr>
            <w:rStyle w:val="Hipervnculo"/>
            <w:rFonts w:ascii="Arial" w:hAnsi="Arial" w:cs="Arial"/>
            <w:noProof/>
            <w:lang w:eastAsia="es-ES"/>
          </w:rPr>
          <w:t>Total de Entradas - Ley 906 por etapa del proceso</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_Toc315681400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44</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401" w:history="1">
        <w:r w:rsidR="002A6E8C" w:rsidRPr="006472C8">
          <w:rPr>
            <w:rStyle w:val="Hipervnculo"/>
            <w:rFonts w:ascii="Arial" w:hAnsi="Arial" w:cs="Arial"/>
            <w:noProof/>
            <w:lang w:eastAsia="es-ES"/>
          </w:rPr>
          <w:t>4.4.</w:t>
        </w:r>
        <w:r w:rsidR="002A6E8C" w:rsidRPr="006472C8">
          <w:rPr>
            <w:rFonts w:ascii="Arial" w:hAnsi="Arial" w:cs="Arial"/>
            <w:noProof/>
            <w:lang w:val="es-ES" w:eastAsia="es-ES"/>
          </w:rPr>
          <w:tab/>
        </w:r>
        <w:r w:rsidR="002A6E8C" w:rsidRPr="006472C8">
          <w:rPr>
            <w:rStyle w:val="Hipervnculo"/>
            <w:rFonts w:ascii="Arial" w:hAnsi="Arial" w:cs="Arial"/>
            <w:noProof/>
            <w:lang w:eastAsia="es-ES"/>
          </w:rPr>
          <w:t>Total de Entradas - Ley 906 por etapa del proceso y tipo de delito</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_Toc315681401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44</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402" w:history="1">
        <w:r w:rsidR="002A6E8C" w:rsidRPr="006472C8">
          <w:rPr>
            <w:rStyle w:val="Hipervnculo"/>
            <w:rFonts w:ascii="Arial" w:hAnsi="Arial" w:cs="Arial"/>
            <w:noProof/>
            <w:lang w:eastAsia="es-ES"/>
          </w:rPr>
          <w:t>4.5.</w:t>
        </w:r>
        <w:r w:rsidR="002A6E8C" w:rsidRPr="006472C8">
          <w:rPr>
            <w:rFonts w:ascii="Arial" w:hAnsi="Arial" w:cs="Arial"/>
            <w:noProof/>
            <w:lang w:val="es-ES" w:eastAsia="es-ES"/>
          </w:rPr>
          <w:tab/>
        </w:r>
        <w:r w:rsidR="002A6E8C" w:rsidRPr="006472C8">
          <w:rPr>
            <w:rStyle w:val="Hipervnculo"/>
            <w:rFonts w:ascii="Arial" w:hAnsi="Arial" w:cs="Arial"/>
            <w:noProof/>
            <w:lang w:eastAsia="es-ES"/>
          </w:rPr>
          <w:t>Distribución de las Salidas  a la Fiscalía General de la Nación</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_Toc315681402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54</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403" w:history="1">
        <w:r w:rsidR="002A6E8C" w:rsidRPr="006472C8">
          <w:rPr>
            <w:rStyle w:val="Hipervnculo"/>
            <w:rFonts w:ascii="Arial" w:hAnsi="Arial" w:cs="Arial"/>
            <w:noProof/>
            <w:lang w:eastAsia="es-ES"/>
          </w:rPr>
          <w:t>4.6.</w:t>
        </w:r>
        <w:r w:rsidR="002A6E8C" w:rsidRPr="006472C8">
          <w:rPr>
            <w:rFonts w:ascii="Arial" w:hAnsi="Arial" w:cs="Arial"/>
            <w:noProof/>
            <w:lang w:val="es-ES" w:eastAsia="es-ES"/>
          </w:rPr>
          <w:tab/>
        </w:r>
        <w:r w:rsidR="002A6E8C" w:rsidRPr="006472C8">
          <w:rPr>
            <w:rStyle w:val="Hipervnculo"/>
            <w:rFonts w:ascii="Arial" w:hAnsi="Arial" w:cs="Arial"/>
            <w:noProof/>
            <w:lang w:eastAsia="es-ES"/>
          </w:rPr>
          <w:t>Total de salidas - Ley 906 por etapa del proceso</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_Toc315681403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55</w:t>
        </w:r>
        <w:r w:rsidR="002A6E8C" w:rsidRPr="006472C8">
          <w:rPr>
            <w:rFonts w:ascii="Arial" w:hAnsi="Arial" w:cs="Arial"/>
            <w:noProof/>
            <w:webHidden/>
          </w:rPr>
          <w:fldChar w:fldCharType="end"/>
        </w:r>
      </w:hyperlink>
    </w:p>
    <w:p w:rsidR="002A6E8C" w:rsidRDefault="00D22D8D">
      <w:pPr>
        <w:pStyle w:val="TDC2"/>
        <w:tabs>
          <w:tab w:val="left" w:pos="880"/>
          <w:tab w:val="right" w:leader="dot" w:pos="8828"/>
        </w:tabs>
        <w:rPr>
          <w:rStyle w:val="Hipervnculo"/>
          <w:rFonts w:ascii="Arial" w:hAnsi="Arial" w:cs="Arial"/>
          <w:noProof/>
        </w:rPr>
      </w:pPr>
      <w:hyperlink w:anchor="_Toc315681404" w:history="1">
        <w:r w:rsidR="002A6E8C" w:rsidRPr="006472C8">
          <w:rPr>
            <w:rStyle w:val="Hipervnculo"/>
            <w:rFonts w:ascii="Arial" w:hAnsi="Arial" w:cs="Arial"/>
            <w:noProof/>
            <w:lang w:eastAsia="es-ES"/>
          </w:rPr>
          <w:t>4.7.</w:t>
        </w:r>
        <w:r w:rsidR="002A6E8C" w:rsidRPr="006472C8">
          <w:rPr>
            <w:rFonts w:ascii="Arial" w:hAnsi="Arial" w:cs="Arial"/>
            <w:noProof/>
            <w:lang w:val="es-ES" w:eastAsia="es-ES"/>
          </w:rPr>
          <w:tab/>
        </w:r>
        <w:r w:rsidR="002A6E8C" w:rsidRPr="006472C8">
          <w:rPr>
            <w:rStyle w:val="Hipervnculo"/>
            <w:rFonts w:ascii="Arial" w:hAnsi="Arial" w:cs="Arial"/>
            <w:noProof/>
            <w:lang w:eastAsia="es-ES"/>
          </w:rPr>
          <w:t>Total de Salidas - Ley 906 por etapa del proceso y tipo de delito</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_Toc315681404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55</w:t>
        </w:r>
        <w:r w:rsidR="002A6E8C" w:rsidRPr="006472C8">
          <w:rPr>
            <w:rFonts w:ascii="Arial" w:hAnsi="Arial" w:cs="Arial"/>
            <w:noProof/>
            <w:webHidden/>
          </w:rPr>
          <w:fldChar w:fldCharType="end"/>
        </w:r>
      </w:hyperlink>
    </w:p>
    <w:p w:rsidR="002A6E8C" w:rsidRPr="006472C8" w:rsidRDefault="002A6E8C" w:rsidP="006472C8">
      <w:pPr>
        <w:rPr>
          <w:noProof/>
        </w:rPr>
      </w:pPr>
    </w:p>
    <w:p w:rsidR="002A6E8C" w:rsidRPr="006472C8" w:rsidRDefault="00D22D8D" w:rsidP="006472C8">
      <w:pPr>
        <w:pStyle w:val="TDC1"/>
        <w:rPr>
          <w:lang w:val="es-ES" w:eastAsia="es-ES"/>
        </w:rPr>
      </w:pPr>
      <w:hyperlink w:anchor="_Toc315681405" w:history="1">
        <w:r w:rsidR="002A6E8C" w:rsidRPr="006472C8">
          <w:rPr>
            <w:rStyle w:val="Hipervnculo"/>
            <w:rFonts w:cs="Arial"/>
            <w:sz w:val="22"/>
            <w:szCs w:val="22"/>
          </w:rPr>
          <w:t>5.INFORME  MINISTERIO DE JUSTICIA</w:t>
        </w:r>
        <w:r w:rsidR="002A6E8C" w:rsidRPr="006472C8">
          <w:rPr>
            <w:webHidden/>
          </w:rPr>
          <w:tab/>
        </w:r>
        <w:r w:rsidR="002A6E8C">
          <w:rPr>
            <w:webHidden/>
          </w:rPr>
          <w:tab/>
        </w:r>
        <w:r w:rsidR="002A6E8C" w:rsidRPr="006472C8">
          <w:rPr>
            <w:webHidden/>
          </w:rPr>
          <w:fldChar w:fldCharType="begin"/>
        </w:r>
        <w:r w:rsidR="002A6E8C" w:rsidRPr="006472C8">
          <w:rPr>
            <w:webHidden/>
          </w:rPr>
          <w:instrText xml:space="preserve"> PAGEREF _Toc315681405 \h </w:instrText>
        </w:r>
        <w:r w:rsidR="002A6E8C" w:rsidRPr="006472C8">
          <w:rPr>
            <w:webHidden/>
          </w:rPr>
        </w:r>
        <w:r w:rsidR="002A6E8C" w:rsidRPr="006472C8">
          <w:rPr>
            <w:webHidden/>
          </w:rPr>
          <w:fldChar w:fldCharType="separate"/>
        </w:r>
        <w:r w:rsidR="002A6E8C">
          <w:rPr>
            <w:webHidden/>
          </w:rPr>
          <w:t>66</w:t>
        </w:r>
        <w:r w:rsidR="002A6E8C" w:rsidRPr="006472C8">
          <w:rPr>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406" w:history="1">
        <w:r w:rsidR="002A6E8C" w:rsidRPr="006472C8">
          <w:rPr>
            <w:rStyle w:val="Hipervnculo"/>
            <w:rFonts w:ascii="Arial" w:hAnsi="Arial" w:cs="Arial"/>
            <w:noProof/>
            <w:lang w:eastAsia="es-ES"/>
          </w:rPr>
          <w:t>5.1.</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Porcentaje de trámites de conciliación en materia penal según tipo penal</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_Toc315681406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66</w:t>
        </w:r>
        <w:r w:rsidR="002A6E8C" w:rsidRPr="006472C8">
          <w:rPr>
            <w:rFonts w:ascii="Arial" w:hAnsi="Arial" w:cs="Arial"/>
            <w:noProof/>
            <w:webHidden/>
          </w:rPr>
          <w:fldChar w:fldCharType="end"/>
        </w:r>
      </w:hyperlink>
    </w:p>
    <w:p w:rsidR="002A6E8C" w:rsidRPr="006472C8" w:rsidRDefault="00D22D8D">
      <w:pPr>
        <w:pStyle w:val="TDC2"/>
        <w:tabs>
          <w:tab w:val="left" w:pos="880"/>
          <w:tab w:val="right" w:leader="dot" w:pos="8828"/>
        </w:tabs>
        <w:rPr>
          <w:rFonts w:ascii="Arial" w:hAnsi="Arial" w:cs="Arial"/>
          <w:noProof/>
          <w:lang w:val="es-ES" w:eastAsia="es-ES"/>
        </w:rPr>
      </w:pPr>
      <w:hyperlink w:anchor="_Toc315681407" w:history="1">
        <w:r w:rsidR="002A6E8C" w:rsidRPr="006472C8">
          <w:rPr>
            <w:rStyle w:val="Hipervnculo"/>
            <w:rFonts w:ascii="Arial" w:hAnsi="Arial" w:cs="Arial"/>
            <w:noProof/>
            <w:lang w:eastAsia="es-ES"/>
          </w:rPr>
          <w:t>5.2.</w:t>
        </w:r>
        <w:r w:rsidR="002A6E8C" w:rsidRPr="006472C8">
          <w:rPr>
            <w:rFonts w:ascii="Arial" w:hAnsi="Arial" w:cs="Arial"/>
            <w:noProof/>
            <w:lang w:val="es-ES" w:eastAsia="es-ES"/>
          </w:rPr>
          <w:tab/>
        </w:r>
        <w:r w:rsidR="002A6E8C" w:rsidRPr="006472C8">
          <w:rPr>
            <w:rStyle w:val="Hipervnculo"/>
            <w:rFonts w:ascii="Arial" w:hAnsi="Arial" w:cs="Arial"/>
            <w:noProof/>
            <w:lang w:eastAsia="es-ES"/>
          </w:rPr>
          <w:t>Porcentaje de trámites de conciliación en materia penal según tipo de salida</w:t>
        </w:r>
        <w:r w:rsidR="002A6E8C" w:rsidRPr="006472C8">
          <w:rPr>
            <w:rFonts w:ascii="Arial" w:hAnsi="Arial" w:cs="Arial"/>
            <w:noProof/>
            <w:webHidden/>
          </w:rPr>
          <w:tab/>
        </w:r>
        <w:r w:rsidR="002A6E8C" w:rsidRPr="006472C8">
          <w:rPr>
            <w:rFonts w:ascii="Arial" w:hAnsi="Arial" w:cs="Arial"/>
            <w:noProof/>
            <w:webHidden/>
          </w:rPr>
          <w:fldChar w:fldCharType="begin"/>
        </w:r>
        <w:r w:rsidR="002A6E8C" w:rsidRPr="006472C8">
          <w:rPr>
            <w:rFonts w:ascii="Arial" w:hAnsi="Arial" w:cs="Arial"/>
            <w:noProof/>
            <w:webHidden/>
          </w:rPr>
          <w:instrText xml:space="preserve"> PAGEREF _Toc315681407 \h </w:instrText>
        </w:r>
        <w:r w:rsidR="002A6E8C" w:rsidRPr="006472C8">
          <w:rPr>
            <w:rFonts w:ascii="Arial" w:hAnsi="Arial" w:cs="Arial"/>
            <w:noProof/>
            <w:webHidden/>
          </w:rPr>
        </w:r>
        <w:r w:rsidR="002A6E8C" w:rsidRPr="006472C8">
          <w:rPr>
            <w:rFonts w:ascii="Arial" w:hAnsi="Arial" w:cs="Arial"/>
            <w:noProof/>
            <w:webHidden/>
          </w:rPr>
          <w:fldChar w:fldCharType="separate"/>
        </w:r>
        <w:r w:rsidR="002A6E8C">
          <w:rPr>
            <w:rFonts w:ascii="Arial" w:hAnsi="Arial" w:cs="Arial"/>
            <w:noProof/>
            <w:webHidden/>
          </w:rPr>
          <w:t>68</w:t>
        </w:r>
        <w:r w:rsidR="002A6E8C" w:rsidRPr="006472C8">
          <w:rPr>
            <w:rFonts w:ascii="Arial" w:hAnsi="Arial" w:cs="Arial"/>
            <w:noProof/>
            <w:webHidden/>
          </w:rPr>
          <w:fldChar w:fldCharType="end"/>
        </w:r>
      </w:hyperlink>
    </w:p>
    <w:p w:rsidR="002A6E8C" w:rsidRDefault="002A6E8C" w:rsidP="005D0C51">
      <w:pPr>
        <w:rPr>
          <w:rFonts w:ascii="Arial" w:hAnsi="Arial" w:cs="Arial"/>
          <w:sz w:val="24"/>
          <w:szCs w:val="24"/>
          <w:lang w:val="es-MX"/>
        </w:rPr>
      </w:pPr>
      <w:r w:rsidRPr="006472C8">
        <w:fldChar w:fldCharType="end"/>
      </w:r>
    </w:p>
    <w:p w:rsidR="002A6E8C" w:rsidRDefault="002A6E8C" w:rsidP="006859FD">
      <w:pPr>
        <w:spacing w:after="0"/>
        <w:jc w:val="center"/>
        <w:rPr>
          <w:rFonts w:ascii="Cambria" w:hAnsi="Cambria" w:cs="Arial"/>
          <w:b/>
          <w:sz w:val="32"/>
          <w:szCs w:val="32"/>
          <w:lang w:val="es-MX"/>
        </w:rPr>
        <w:sectPr w:rsidR="002A6E8C" w:rsidSect="0064416F">
          <w:footerReference w:type="default" r:id="rId8"/>
          <w:pgSz w:w="12240" w:h="15840" w:code="1"/>
          <w:pgMar w:top="1417" w:right="1701" w:bottom="1417" w:left="1701" w:header="708" w:footer="708" w:gutter="0"/>
          <w:cols w:space="708"/>
          <w:docGrid w:linePitch="360"/>
        </w:sectPr>
      </w:pPr>
    </w:p>
    <w:p w:rsidR="002A6E8C" w:rsidRDefault="002A6E8C" w:rsidP="00937508">
      <w:pPr>
        <w:jc w:val="right"/>
        <w:rPr>
          <w:rFonts w:ascii="Arial" w:hAnsi="Arial" w:cs="Arial"/>
          <w:b/>
          <w:color w:val="800080"/>
          <w:sz w:val="32"/>
          <w:szCs w:val="32"/>
          <w:lang w:val="es-MX"/>
        </w:rPr>
        <w:sectPr w:rsidR="002A6E8C" w:rsidSect="009A00CB">
          <w:type w:val="continuous"/>
          <w:pgSz w:w="12240" w:h="15840" w:code="1"/>
          <w:pgMar w:top="1417" w:right="1701" w:bottom="1417" w:left="1701" w:header="708" w:footer="708" w:gutter="0"/>
          <w:cols w:space="708"/>
          <w:docGrid w:linePitch="360"/>
        </w:sectPr>
      </w:pPr>
    </w:p>
    <w:p w:rsidR="002A6E8C" w:rsidRDefault="002A6E8C" w:rsidP="00937508">
      <w:pPr>
        <w:jc w:val="right"/>
        <w:rPr>
          <w:rFonts w:ascii="Arial" w:hAnsi="Arial" w:cs="Arial"/>
          <w:b/>
          <w:color w:val="800080"/>
          <w:sz w:val="32"/>
          <w:szCs w:val="32"/>
          <w:lang w:val="es-MX"/>
        </w:rPr>
      </w:pPr>
    </w:p>
    <w:p w:rsidR="002A6E8C" w:rsidRPr="006472C8" w:rsidRDefault="002A6E8C" w:rsidP="00937508">
      <w:pPr>
        <w:jc w:val="right"/>
        <w:rPr>
          <w:rFonts w:ascii="Cambria" w:hAnsi="Cambria" w:cs="Arial"/>
          <w:b/>
          <w:color w:val="800080"/>
          <w:sz w:val="32"/>
          <w:szCs w:val="32"/>
          <w:lang w:val="es-MX"/>
        </w:rPr>
      </w:pPr>
      <w:r w:rsidRPr="006472C8">
        <w:rPr>
          <w:rFonts w:ascii="Cambria" w:hAnsi="Cambria" w:cs="Arial"/>
          <w:b/>
          <w:color w:val="800080"/>
          <w:sz w:val="32"/>
          <w:szCs w:val="32"/>
          <w:lang w:val="es-MX"/>
        </w:rPr>
        <w:t>PRESENTACIÓN</w:t>
      </w:r>
    </w:p>
    <w:p w:rsidR="002A6E8C" w:rsidRDefault="002A6E8C" w:rsidP="00810D38">
      <w:pPr>
        <w:spacing w:after="0" w:line="240" w:lineRule="auto"/>
        <w:jc w:val="both"/>
        <w:rPr>
          <w:rFonts w:ascii="Arial" w:hAnsi="Arial" w:cs="Arial"/>
          <w:bCs/>
          <w:color w:val="000000"/>
        </w:rPr>
      </w:pPr>
    </w:p>
    <w:p w:rsidR="002A6E8C" w:rsidRDefault="002A6E8C" w:rsidP="00810D38">
      <w:pPr>
        <w:spacing w:after="0" w:line="240" w:lineRule="auto"/>
        <w:jc w:val="both"/>
        <w:rPr>
          <w:rFonts w:ascii="Arial" w:hAnsi="Arial" w:cs="Arial"/>
          <w:bCs/>
          <w:color w:val="000000"/>
        </w:rPr>
      </w:pPr>
    </w:p>
    <w:p w:rsidR="002A6E8C" w:rsidRDefault="002A6E8C" w:rsidP="00810D38">
      <w:pPr>
        <w:spacing w:after="0" w:line="240" w:lineRule="auto"/>
        <w:jc w:val="both"/>
        <w:rPr>
          <w:rFonts w:ascii="Arial" w:hAnsi="Arial" w:cs="Arial"/>
          <w:bCs/>
          <w:color w:val="000000"/>
        </w:rPr>
      </w:pPr>
    </w:p>
    <w:p w:rsidR="002A6E8C" w:rsidRDefault="002A6E8C" w:rsidP="00810D38">
      <w:pPr>
        <w:spacing w:after="0" w:line="240" w:lineRule="auto"/>
        <w:jc w:val="both"/>
        <w:rPr>
          <w:rFonts w:ascii="Arial" w:hAnsi="Arial" w:cs="Arial"/>
          <w:bCs/>
          <w:color w:val="000000"/>
        </w:rPr>
      </w:pPr>
      <w:r w:rsidRPr="00810D38">
        <w:rPr>
          <w:rFonts w:ascii="Arial" w:hAnsi="Arial" w:cs="Arial"/>
          <w:bCs/>
          <w:color w:val="000000"/>
        </w:rPr>
        <w:t xml:space="preserve">El Consejo Superior de </w:t>
      </w:r>
      <w:smartTag w:uri="urn:schemas-microsoft-com:office:smarttags" w:element="PersonName">
        <w:smartTagPr>
          <w:attr w:name="ProductID" w:val="la Judicatura"/>
        </w:smartTagPr>
        <w:r w:rsidRPr="00810D38">
          <w:rPr>
            <w:rFonts w:ascii="Arial" w:hAnsi="Arial" w:cs="Arial"/>
            <w:bCs/>
            <w:color w:val="000000"/>
          </w:rPr>
          <w:t>la Judicatura</w:t>
        </w:r>
      </w:smartTag>
      <w:r w:rsidRPr="00810D38">
        <w:rPr>
          <w:rFonts w:ascii="Arial" w:hAnsi="Arial" w:cs="Arial"/>
          <w:bCs/>
          <w:color w:val="000000"/>
        </w:rPr>
        <w:t xml:space="preserve">, </w:t>
      </w:r>
      <w:r>
        <w:rPr>
          <w:rFonts w:ascii="Arial" w:hAnsi="Arial" w:cs="Arial"/>
          <w:bCs/>
          <w:color w:val="000000"/>
        </w:rPr>
        <w:t xml:space="preserve">presenta el </w:t>
      </w:r>
      <w:r w:rsidRPr="00810D38">
        <w:rPr>
          <w:rFonts w:ascii="Arial" w:hAnsi="Arial" w:cs="Arial"/>
          <w:b/>
          <w:bCs/>
          <w:color w:val="000000"/>
        </w:rPr>
        <w:t>informe de avance consolidado de  indicadores del sistema de Información Nacional de Estadísticas Judiciales SINEJ</w:t>
      </w:r>
      <w:r>
        <w:rPr>
          <w:rFonts w:ascii="Arial" w:hAnsi="Arial" w:cs="Arial"/>
          <w:b/>
          <w:bCs/>
          <w:color w:val="000000"/>
        </w:rPr>
        <w:t xml:space="preserve">, </w:t>
      </w:r>
      <w:r w:rsidRPr="00F35A63">
        <w:rPr>
          <w:rFonts w:ascii="Arial" w:hAnsi="Arial" w:cs="Arial"/>
          <w:bCs/>
          <w:color w:val="000000"/>
        </w:rPr>
        <w:t>r</w:t>
      </w:r>
      <w:r>
        <w:rPr>
          <w:rFonts w:ascii="Arial" w:hAnsi="Arial" w:cs="Arial"/>
          <w:bCs/>
          <w:color w:val="000000"/>
        </w:rPr>
        <w:t xml:space="preserve">ealizado </w:t>
      </w:r>
      <w:r w:rsidRPr="00810D38">
        <w:rPr>
          <w:rFonts w:ascii="Arial" w:hAnsi="Arial" w:cs="Arial"/>
          <w:bCs/>
          <w:color w:val="000000"/>
        </w:rPr>
        <w:t>de conformidad con los compromisos adquiridos en la reunión del Comité Técnico Interinstitucional del SINEJ</w:t>
      </w:r>
      <w:r>
        <w:rPr>
          <w:rFonts w:ascii="Arial" w:hAnsi="Arial" w:cs="Arial"/>
          <w:bCs/>
          <w:color w:val="000000"/>
        </w:rPr>
        <w:t xml:space="preserve">, reactivado el pasado 29 de Noviembre de 2011. Este trabajo conto con la activa participación de los delegados del Comité y del equipo </w:t>
      </w:r>
      <w:r w:rsidRPr="00810D38">
        <w:rPr>
          <w:rFonts w:ascii="Arial" w:hAnsi="Arial" w:cs="Arial"/>
          <w:bCs/>
          <w:color w:val="000000"/>
        </w:rPr>
        <w:t>técnico de profesionales de enlace</w:t>
      </w:r>
      <w:r>
        <w:rPr>
          <w:rFonts w:ascii="Arial" w:hAnsi="Arial" w:cs="Arial"/>
          <w:bCs/>
          <w:color w:val="000000"/>
        </w:rPr>
        <w:t xml:space="preserve"> de cada entidad quienes se reunieron con el equipo técnico de </w:t>
      </w:r>
      <w:smartTag w:uri="urn:schemas-microsoft-com:office:smarttags" w:element="PersonName">
        <w:smartTagPr>
          <w:attr w:name="ProductID" w:val="la Unidad"/>
        </w:smartTagPr>
        <w:r>
          <w:rPr>
            <w:rFonts w:ascii="Arial" w:hAnsi="Arial" w:cs="Arial"/>
            <w:bCs/>
            <w:color w:val="000000"/>
          </w:rPr>
          <w:t>la Unidad</w:t>
        </w:r>
      </w:smartTag>
      <w:r>
        <w:rPr>
          <w:rFonts w:ascii="Arial" w:hAnsi="Arial" w:cs="Arial"/>
          <w:bCs/>
          <w:color w:val="000000"/>
        </w:rPr>
        <w:t xml:space="preserve"> de Desarrollo y Análisis Estadístico de esta Corporación con el acompañamiento técnico del Departamento Nacional de Estadística y el Departamento Nacional de Planeación.</w:t>
      </w:r>
    </w:p>
    <w:p w:rsidR="002A6E8C" w:rsidRDefault="002A6E8C" w:rsidP="00810D38">
      <w:pPr>
        <w:spacing w:after="0" w:line="240" w:lineRule="auto"/>
        <w:jc w:val="both"/>
        <w:rPr>
          <w:rFonts w:ascii="Arial" w:hAnsi="Arial" w:cs="Arial"/>
          <w:bCs/>
          <w:color w:val="000000"/>
        </w:rPr>
      </w:pPr>
    </w:p>
    <w:p w:rsidR="002A6E8C" w:rsidRDefault="002A6E8C" w:rsidP="006F0C7C">
      <w:pPr>
        <w:spacing w:after="0" w:line="240" w:lineRule="auto"/>
        <w:jc w:val="both"/>
        <w:rPr>
          <w:rFonts w:ascii="Arial" w:hAnsi="Arial" w:cs="Arial"/>
          <w:bCs/>
          <w:color w:val="000000"/>
        </w:rPr>
      </w:pPr>
      <w:r>
        <w:rPr>
          <w:rFonts w:ascii="Arial" w:hAnsi="Arial" w:cs="Arial"/>
          <w:bCs/>
          <w:color w:val="000000"/>
        </w:rPr>
        <w:t xml:space="preserve">En términos técnicos, hoy día el Sistema Nacional de Estadísticas Judiciales SINEJ cuenta con un planteamiento de variables e indicadores propuestos y concertados con las entidades del sector Justicia durante los años 2009 y 2010, igualmente se cuenta con un aplicativo diseñado y las metodologías para la interoperabilidad de la información gracias a un trabajo coordinado por </w:t>
      </w:r>
      <w:smartTag w:uri="urn:schemas-microsoft-com:office:smarttags" w:element="PersonName">
        <w:smartTagPr>
          <w:attr w:name="ProductID" w:val="la Sala Administrativa"/>
        </w:smartTagPr>
        <w:r>
          <w:rPr>
            <w:rFonts w:ascii="Arial" w:hAnsi="Arial" w:cs="Arial"/>
            <w:bCs/>
            <w:color w:val="000000"/>
          </w:rPr>
          <w:t>la Sala Administrativa</w:t>
        </w:r>
      </w:smartTag>
      <w:r>
        <w:rPr>
          <w:rFonts w:ascii="Arial" w:hAnsi="Arial" w:cs="Arial"/>
          <w:bCs/>
          <w:color w:val="000000"/>
        </w:rPr>
        <w:t xml:space="preserve"> del Consejo Superior de </w:t>
      </w:r>
      <w:smartTag w:uri="urn:schemas-microsoft-com:office:smarttags" w:element="PersonName">
        <w:smartTagPr>
          <w:attr w:name="ProductID" w:val="la Judicatura"/>
        </w:smartTagPr>
        <w:r>
          <w:rPr>
            <w:rFonts w:ascii="Arial" w:hAnsi="Arial" w:cs="Arial"/>
            <w:bCs/>
            <w:color w:val="000000"/>
          </w:rPr>
          <w:t>la Judicatura</w:t>
        </w:r>
      </w:smartTag>
      <w:r>
        <w:rPr>
          <w:rFonts w:ascii="Arial" w:hAnsi="Arial" w:cs="Arial"/>
          <w:bCs/>
          <w:color w:val="000000"/>
        </w:rPr>
        <w:t xml:space="preserve"> llevado a cabo con la asesoría del Departamento Administrativo Nacional de Estadísticas  DANE   y acompañado por el Departamento Nacional de Planeación.</w:t>
      </w:r>
    </w:p>
    <w:p w:rsidR="002A6E8C" w:rsidRDefault="002A6E8C" w:rsidP="006F0C7C">
      <w:pPr>
        <w:spacing w:after="0" w:line="240" w:lineRule="auto"/>
        <w:jc w:val="both"/>
        <w:rPr>
          <w:rFonts w:ascii="Arial" w:hAnsi="Arial" w:cs="Arial"/>
          <w:bCs/>
          <w:color w:val="000000"/>
        </w:rPr>
      </w:pPr>
    </w:p>
    <w:p w:rsidR="002A6E8C" w:rsidRDefault="002A6E8C" w:rsidP="006F0C7C">
      <w:pPr>
        <w:spacing w:after="0" w:line="240" w:lineRule="auto"/>
        <w:jc w:val="both"/>
        <w:rPr>
          <w:rFonts w:ascii="Arial" w:hAnsi="Arial" w:cs="Arial"/>
          <w:bCs/>
          <w:color w:val="000000"/>
        </w:rPr>
      </w:pPr>
      <w:r>
        <w:rPr>
          <w:rFonts w:ascii="Arial" w:hAnsi="Arial" w:cs="Arial"/>
          <w:bCs/>
          <w:color w:val="000000"/>
        </w:rPr>
        <w:t>Teniendo en cuenta que en la actualidad, se presentan nuevas orientaciones de política pública y normativas que deben tenerse en cuenta, se acordó</w:t>
      </w:r>
      <w:r w:rsidRPr="00F35A63">
        <w:rPr>
          <w:rFonts w:ascii="Arial" w:hAnsi="Arial" w:cs="Arial"/>
          <w:bCs/>
          <w:color w:val="000000"/>
        </w:rPr>
        <w:t xml:space="preserve"> en el Comité Técnico Interinstitucional consolidar la información de</w:t>
      </w:r>
      <w:r>
        <w:rPr>
          <w:rFonts w:ascii="Arial" w:hAnsi="Arial" w:cs="Arial"/>
          <w:bCs/>
          <w:color w:val="000000"/>
        </w:rPr>
        <w:t xml:space="preserve"> l</w:t>
      </w:r>
      <w:r w:rsidRPr="00F35A63">
        <w:rPr>
          <w:rFonts w:ascii="Arial" w:hAnsi="Arial" w:cs="Arial"/>
          <w:bCs/>
          <w:color w:val="000000"/>
        </w:rPr>
        <w:t>os indicadores de ciclo criminal existentes del nivel estratégico correspondiente</w:t>
      </w:r>
      <w:r>
        <w:rPr>
          <w:rFonts w:ascii="Arial" w:hAnsi="Arial" w:cs="Arial"/>
          <w:bCs/>
          <w:color w:val="000000"/>
        </w:rPr>
        <w:t>s al año 2010, para contar con una línea base, para dar inicio al análisis y a la pertinencia de los indicadores diseñados a la luz de la coyuntura actual e iniciar las propuestas de Ajuste que sean requeridas.</w:t>
      </w:r>
    </w:p>
    <w:p w:rsidR="002A6E8C" w:rsidRDefault="002A6E8C" w:rsidP="006F0C7C">
      <w:pPr>
        <w:spacing w:after="0" w:line="240" w:lineRule="auto"/>
        <w:jc w:val="both"/>
        <w:rPr>
          <w:rFonts w:ascii="Arial" w:hAnsi="Arial" w:cs="Arial"/>
          <w:bCs/>
          <w:color w:val="000000"/>
        </w:rPr>
      </w:pPr>
    </w:p>
    <w:p w:rsidR="002A6E8C" w:rsidRDefault="002A6E8C" w:rsidP="00FC79E5">
      <w:pPr>
        <w:pStyle w:val="Ttulo5"/>
        <w:jc w:val="both"/>
        <w:rPr>
          <w:rFonts w:ascii="Arial" w:hAnsi="Arial" w:cs="Arial"/>
          <w:bCs/>
          <w:color w:val="000000"/>
        </w:rPr>
      </w:pPr>
      <w:r w:rsidRPr="00FC79E5">
        <w:rPr>
          <w:rFonts w:ascii="Arial" w:hAnsi="Arial" w:cs="Arial"/>
          <w:bCs/>
          <w:color w:val="000000"/>
        </w:rPr>
        <w:t xml:space="preserve">Con </w:t>
      </w:r>
      <w:smartTag w:uri="urn:schemas-microsoft-com:office:smarttags" w:element="PersonName">
        <w:smartTagPr>
          <w:attr w:name="ProductID" w:val="la Información"/>
        </w:smartTagPr>
        <w:r w:rsidRPr="00FC79E5">
          <w:rPr>
            <w:rFonts w:ascii="Arial" w:hAnsi="Arial" w:cs="Arial"/>
            <w:bCs/>
            <w:color w:val="000000"/>
          </w:rPr>
          <w:t>la Información</w:t>
        </w:r>
      </w:smartTag>
      <w:r w:rsidRPr="00FC79E5">
        <w:rPr>
          <w:rFonts w:ascii="Arial" w:hAnsi="Arial" w:cs="Arial"/>
          <w:bCs/>
          <w:color w:val="000000"/>
        </w:rPr>
        <w:t xml:space="preserve"> entregada por las entidades integrantes del SINEJ, </w:t>
      </w:r>
      <w:smartTag w:uri="urn:schemas-microsoft-com:office:smarttags" w:element="PersonName">
        <w:smartTagPr>
          <w:attr w:name="ProductID" w:val="la Unidad"/>
        </w:smartTagPr>
        <w:r w:rsidRPr="00FC79E5">
          <w:rPr>
            <w:rFonts w:ascii="Arial" w:hAnsi="Arial" w:cs="Arial"/>
            <w:bCs/>
            <w:color w:val="000000"/>
          </w:rPr>
          <w:t>la Unidad</w:t>
        </w:r>
      </w:smartTag>
      <w:r w:rsidRPr="00FC79E5">
        <w:rPr>
          <w:rFonts w:ascii="Arial" w:hAnsi="Arial" w:cs="Arial"/>
          <w:bCs/>
          <w:color w:val="000000"/>
        </w:rPr>
        <w:t xml:space="preserve"> de Desarrollo y Análisis Estadístico ha realizado un primer avance de presentación de </w:t>
      </w:r>
      <w:smartTag w:uri="urn:schemas-microsoft-com:office:smarttags" w:element="PersonName">
        <w:smartTagPr>
          <w:attr w:name="ProductID" w:val="la Información"/>
        </w:smartTagPr>
        <w:r w:rsidRPr="00FC79E5">
          <w:rPr>
            <w:rFonts w:ascii="Arial" w:hAnsi="Arial" w:cs="Arial"/>
            <w:bCs/>
            <w:color w:val="000000"/>
          </w:rPr>
          <w:t>la Información</w:t>
        </w:r>
      </w:smartTag>
      <w:r w:rsidRPr="00FC79E5">
        <w:rPr>
          <w:rFonts w:ascii="Arial" w:hAnsi="Arial" w:cs="Arial"/>
          <w:bCs/>
          <w:color w:val="000000"/>
        </w:rPr>
        <w:t xml:space="preserve"> recolectada que se consolida en el presente documento, el cual cuenta con datos graficados </w:t>
      </w:r>
      <w:r>
        <w:rPr>
          <w:rFonts w:ascii="Arial" w:hAnsi="Arial" w:cs="Arial"/>
          <w:bCs/>
          <w:color w:val="000000"/>
        </w:rPr>
        <w:t>y los descriptores básicos por cada entidad, los cuales deben ser revisados por cada una y complementados con descriptores conceptuales, para que luego en reuniones del equipo técnico de profesionales de enlace se pueda llevar a cabo un análisis de la información con el acompañamiento del DANE y el DNP.</w:t>
      </w:r>
    </w:p>
    <w:p w:rsidR="002A6E8C" w:rsidRDefault="002A6E8C">
      <w:pPr>
        <w:rPr>
          <w:u w:val="single"/>
          <w:lang w:val="es-MX"/>
        </w:rPr>
      </w:pPr>
    </w:p>
    <w:p w:rsidR="002A6E8C" w:rsidRDefault="002A6E8C">
      <w:pPr>
        <w:rPr>
          <w:rFonts w:ascii="Cambria" w:hAnsi="Cambria"/>
          <w:b/>
          <w:bCs/>
          <w:sz w:val="28"/>
          <w:szCs w:val="28"/>
          <w:u w:val="single"/>
          <w:lang w:val="es-MX"/>
        </w:rPr>
      </w:pPr>
    </w:p>
    <w:p w:rsidR="002A6E8C" w:rsidRDefault="002A6E8C">
      <w:pPr>
        <w:rPr>
          <w:rFonts w:ascii="Cambria" w:hAnsi="Cambria"/>
          <w:b/>
          <w:bCs/>
          <w:sz w:val="28"/>
          <w:szCs w:val="28"/>
          <w:u w:val="single"/>
          <w:lang w:val="es-MX"/>
        </w:rPr>
      </w:pPr>
    </w:p>
    <w:p w:rsidR="002A6E8C" w:rsidRPr="00937508" w:rsidRDefault="002A6E8C" w:rsidP="00284A1B">
      <w:pPr>
        <w:pStyle w:val="Ttulo1"/>
        <w:numPr>
          <w:ilvl w:val="0"/>
          <w:numId w:val="10"/>
        </w:numPr>
        <w:ind w:right="-1"/>
        <w:rPr>
          <w:color w:val="800080"/>
          <w:u w:val="single"/>
          <w:lang w:val="es-MX"/>
        </w:rPr>
      </w:pPr>
      <w:bookmarkStart w:id="1" w:name="_Toc315681370"/>
      <w:r w:rsidRPr="00937508">
        <w:rPr>
          <w:color w:val="800080"/>
          <w:u w:val="single"/>
          <w:lang w:val="es-MX"/>
        </w:rPr>
        <w:lastRenderedPageBreak/>
        <w:t>INFORME INSTITUTO DE MEDICINA LEGAL Y CIENCIAS FORENSES</w:t>
      </w:r>
      <w:bookmarkEnd w:id="1"/>
    </w:p>
    <w:p w:rsidR="002A6E8C" w:rsidRDefault="002A6E8C" w:rsidP="00F54662">
      <w:pPr>
        <w:autoSpaceDE w:val="0"/>
        <w:autoSpaceDN w:val="0"/>
        <w:adjustRightInd w:val="0"/>
        <w:spacing w:after="0" w:line="240" w:lineRule="auto"/>
        <w:jc w:val="both"/>
        <w:rPr>
          <w:rFonts w:ascii="Arial" w:hAnsi="Arial" w:cs="Arial"/>
        </w:rPr>
      </w:pPr>
    </w:p>
    <w:p w:rsidR="002A6E8C" w:rsidRDefault="002A6E8C" w:rsidP="00F54662">
      <w:pPr>
        <w:autoSpaceDE w:val="0"/>
        <w:autoSpaceDN w:val="0"/>
        <w:adjustRightInd w:val="0"/>
        <w:spacing w:after="0" w:line="240" w:lineRule="auto"/>
        <w:jc w:val="both"/>
        <w:rPr>
          <w:rFonts w:ascii="Arial" w:hAnsi="Arial" w:cs="Arial"/>
        </w:rPr>
      </w:pPr>
      <w:r w:rsidRPr="003C46AB">
        <w:rPr>
          <w:rFonts w:ascii="Arial" w:hAnsi="Arial" w:cs="Arial"/>
        </w:rPr>
        <w:t xml:space="preserve">La misión fundamental del Instituto Nacional de Medicina Legal y Ciencias Forenses – INMLCF, de acuerdo con lo establecido en el Artículo 35 de la Ley 938 de 2004, es prestar auxilio y soporte científico y técnico a la administración de justicia en todo el territorio nacional, en lo concerniente a medicina legal y las ciencias forenses. </w:t>
      </w:r>
    </w:p>
    <w:p w:rsidR="002A6E8C" w:rsidRDefault="002A6E8C" w:rsidP="00F54662">
      <w:pPr>
        <w:autoSpaceDE w:val="0"/>
        <w:autoSpaceDN w:val="0"/>
        <w:adjustRightInd w:val="0"/>
        <w:spacing w:after="0" w:line="240" w:lineRule="auto"/>
        <w:jc w:val="both"/>
        <w:rPr>
          <w:rFonts w:ascii="Arial" w:hAnsi="Arial" w:cs="Arial"/>
        </w:rPr>
      </w:pPr>
    </w:p>
    <w:p w:rsidR="002A6E8C" w:rsidRPr="003C46AB" w:rsidRDefault="002A6E8C" w:rsidP="003C46AB">
      <w:pPr>
        <w:autoSpaceDE w:val="0"/>
        <w:autoSpaceDN w:val="0"/>
        <w:adjustRightInd w:val="0"/>
        <w:spacing w:after="0" w:line="240" w:lineRule="auto"/>
        <w:jc w:val="both"/>
        <w:rPr>
          <w:rFonts w:ascii="Arial" w:hAnsi="Arial" w:cs="Arial"/>
        </w:rPr>
      </w:pPr>
      <w:r w:rsidRPr="003C46AB">
        <w:rPr>
          <w:rFonts w:ascii="Arial" w:hAnsi="Arial" w:cs="Arial"/>
        </w:rPr>
        <w:t xml:space="preserve">En cumplimiento de lo dispuesto en la Resolución No. 4618 de septiembre de 2009, el </w:t>
      </w:r>
      <w:r>
        <w:rPr>
          <w:rFonts w:ascii="Arial" w:hAnsi="Arial" w:cs="Arial"/>
        </w:rPr>
        <w:t>INMLCF</w:t>
      </w:r>
      <w:r w:rsidRPr="003C46AB">
        <w:rPr>
          <w:rFonts w:ascii="Arial" w:hAnsi="Arial" w:cs="Arial"/>
        </w:rPr>
        <w:t xml:space="preserve"> como parte del Comité Técnico del Centro Único de Identificación, recolecta, analiza y almacena los datos tendientes a la identificación de restos humanos obtenidos en las diligencias de  exhumación, dentro del marco de la Ley 975 de 2005 y los tratados relacionados con la materia, en el módulo Centro Único Virtual de Identificación - CUVI incluido en el (Sistema de Información Red de Desaparecidos y Cadáveres- SIRDEC -y creado para este fin).</w:t>
      </w:r>
    </w:p>
    <w:p w:rsidR="002A6E8C" w:rsidRPr="003C46AB" w:rsidRDefault="002A6E8C" w:rsidP="003C46AB">
      <w:pPr>
        <w:autoSpaceDE w:val="0"/>
        <w:autoSpaceDN w:val="0"/>
        <w:adjustRightInd w:val="0"/>
        <w:spacing w:after="0" w:line="240" w:lineRule="auto"/>
        <w:jc w:val="both"/>
        <w:rPr>
          <w:rFonts w:ascii="Arial" w:hAnsi="Arial" w:cs="Arial"/>
        </w:rPr>
      </w:pPr>
    </w:p>
    <w:p w:rsidR="002A6E8C" w:rsidRPr="003C46AB" w:rsidRDefault="002A6E8C" w:rsidP="003C46AB">
      <w:pPr>
        <w:autoSpaceDE w:val="0"/>
        <w:autoSpaceDN w:val="0"/>
        <w:adjustRightInd w:val="0"/>
        <w:spacing w:after="0" w:line="240" w:lineRule="auto"/>
        <w:jc w:val="both"/>
        <w:rPr>
          <w:rFonts w:ascii="Arial" w:hAnsi="Arial" w:cs="Arial"/>
        </w:rPr>
      </w:pPr>
      <w:r w:rsidRPr="003C46AB">
        <w:rPr>
          <w:rFonts w:ascii="Arial" w:hAnsi="Arial" w:cs="Arial"/>
        </w:rPr>
        <w:t>Los criterios de inclusión contemplan la exigencia que la fecha del hecho se haya dado entre el 1 de enero y el 31 de diciembre del año de análisis, y que, además se presente como un caso que haya sido conocido por el sistema médico forense colombiano mediante petición de oficio o solicitud proveniente de autoridad competente. Por lo tanto, son excluidos del análisis los casos a los que se les practicó necropsia médico legal durante el período señalado, pero que sucedieron en fechas diferentes a las establecidas.</w:t>
      </w:r>
    </w:p>
    <w:p w:rsidR="002A6E8C" w:rsidRDefault="002A6E8C" w:rsidP="003C46AB">
      <w:pPr>
        <w:autoSpaceDE w:val="0"/>
        <w:autoSpaceDN w:val="0"/>
        <w:adjustRightInd w:val="0"/>
        <w:spacing w:after="0" w:line="240" w:lineRule="auto"/>
        <w:jc w:val="both"/>
        <w:rPr>
          <w:rFonts w:ascii="Arial" w:hAnsi="Arial" w:cs="Arial"/>
        </w:rPr>
      </w:pPr>
    </w:p>
    <w:p w:rsidR="002A6E8C" w:rsidRPr="003C46AB" w:rsidRDefault="002A6E8C" w:rsidP="003C46AB">
      <w:pPr>
        <w:autoSpaceDE w:val="0"/>
        <w:autoSpaceDN w:val="0"/>
        <w:adjustRightInd w:val="0"/>
        <w:spacing w:after="0" w:line="240" w:lineRule="auto"/>
        <w:jc w:val="both"/>
        <w:rPr>
          <w:rFonts w:ascii="Arial" w:hAnsi="Arial" w:cs="Arial"/>
        </w:rPr>
      </w:pPr>
      <w:r w:rsidRPr="003C46AB">
        <w:rPr>
          <w:rFonts w:ascii="Arial" w:hAnsi="Arial" w:cs="Arial"/>
        </w:rPr>
        <w:t xml:space="preserve">La definición de homicidio aplicada por el Instituto Nacional de Medicina Legal y Ciencias Forenses - INMLCF, desde el punto de vista médico legal es </w:t>
      </w:r>
      <w:r w:rsidRPr="003C46AB">
        <w:rPr>
          <w:rFonts w:ascii="Arial" w:hAnsi="Arial" w:cs="Arial"/>
          <w:i/>
        </w:rPr>
        <w:t>“El que matare a otro” (Artículo 103, Cap. II, Código Penal Colombiano - Ley 599 de 2000);</w:t>
      </w:r>
      <w:r w:rsidRPr="003C46AB">
        <w:rPr>
          <w:rFonts w:ascii="Arial" w:hAnsi="Arial" w:cs="Arial"/>
        </w:rPr>
        <w:t xml:space="preserve"> de forma intencional o no intencional. Es importante anotar que cuando se clasifica un caso en este ítem no se trata de tipificar un delito, ni de hacer juicios de valor o de responsabilidad ya que esto es competencia de la autoridad.</w:t>
      </w:r>
    </w:p>
    <w:p w:rsidR="002A6E8C" w:rsidRDefault="002A6E8C" w:rsidP="003C46AB">
      <w:pPr>
        <w:autoSpaceDE w:val="0"/>
        <w:autoSpaceDN w:val="0"/>
        <w:adjustRightInd w:val="0"/>
        <w:spacing w:after="0" w:line="240" w:lineRule="auto"/>
        <w:jc w:val="both"/>
        <w:rPr>
          <w:rFonts w:ascii="Arial" w:hAnsi="Arial" w:cs="Arial"/>
        </w:rPr>
      </w:pPr>
    </w:p>
    <w:p w:rsidR="002A6E8C" w:rsidRPr="003C46AB" w:rsidRDefault="002A6E8C" w:rsidP="003C46AB">
      <w:pPr>
        <w:autoSpaceDE w:val="0"/>
        <w:autoSpaceDN w:val="0"/>
        <w:adjustRightInd w:val="0"/>
        <w:spacing w:after="0" w:line="240" w:lineRule="auto"/>
        <w:jc w:val="both"/>
        <w:rPr>
          <w:rFonts w:ascii="Arial" w:hAnsi="Arial" w:cs="Arial"/>
        </w:rPr>
      </w:pPr>
      <w:r w:rsidRPr="003C46AB">
        <w:rPr>
          <w:rFonts w:ascii="Arial" w:hAnsi="Arial" w:cs="Arial"/>
        </w:rPr>
        <w:t>El INMLCF en los análisis del comportamiento del homicidio no incluye las exhumaciones o los hallazgos de fosas comunes, aún cuando después de la realización de los estudios propios del manejo de este tipo de casos se determine que la manera de muerte fue el homicidio, por ser objeto de un análisis diferenciado.</w:t>
      </w:r>
    </w:p>
    <w:p w:rsidR="002A6E8C" w:rsidRPr="003C46AB" w:rsidRDefault="002A6E8C" w:rsidP="003C46AB">
      <w:pPr>
        <w:autoSpaceDE w:val="0"/>
        <w:autoSpaceDN w:val="0"/>
        <w:adjustRightInd w:val="0"/>
        <w:spacing w:after="0" w:line="240" w:lineRule="auto"/>
        <w:jc w:val="both"/>
        <w:rPr>
          <w:rFonts w:ascii="Arial" w:hAnsi="Arial" w:cs="Arial"/>
        </w:rPr>
      </w:pPr>
    </w:p>
    <w:p w:rsidR="002A6E8C" w:rsidRPr="003C46AB" w:rsidRDefault="002A6E8C" w:rsidP="003C46AB">
      <w:pPr>
        <w:autoSpaceDE w:val="0"/>
        <w:autoSpaceDN w:val="0"/>
        <w:adjustRightInd w:val="0"/>
        <w:spacing w:after="0" w:line="240" w:lineRule="auto"/>
        <w:jc w:val="both"/>
        <w:rPr>
          <w:rFonts w:ascii="Arial" w:hAnsi="Arial" w:cs="Arial"/>
        </w:rPr>
      </w:pPr>
      <w:r w:rsidRPr="003C46AB">
        <w:rPr>
          <w:rFonts w:ascii="Arial" w:hAnsi="Arial" w:cs="Arial"/>
        </w:rPr>
        <w:t>La información relacionada con la circunstancia del hecho corresponde a una hipótesis inicial suministrada por la autoridad que remite el caso, además lo relacionado al presunto agresor es netamente presuntivo por lo tanto esta información puede ser confirmada o descartada en el curso de la investigación.</w:t>
      </w:r>
    </w:p>
    <w:p w:rsidR="002A6E8C" w:rsidRDefault="002A6E8C" w:rsidP="00F54662">
      <w:pPr>
        <w:autoSpaceDE w:val="0"/>
        <w:autoSpaceDN w:val="0"/>
        <w:adjustRightInd w:val="0"/>
        <w:spacing w:after="0" w:line="240" w:lineRule="auto"/>
        <w:jc w:val="both"/>
        <w:rPr>
          <w:rFonts w:ascii="Arial" w:hAnsi="Arial" w:cs="Arial"/>
        </w:rPr>
      </w:pPr>
    </w:p>
    <w:p w:rsidR="002A6E8C" w:rsidRPr="003C46AB" w:rsidRDefault="002A6E8C" w:rsidP="003C46AB">
      <w:pPr>
        <w:autoSpaceDE w:val="0"/>
        <w:autoSpaceDN w:val="0"/>
        <w:adjustRightInd w:val="0"/>
        <w:spacing w:after="0" w:line="240" w:lineRule="auto"/>
        <w:jc w:val="both"/>
        <w:rPr>
          <w:rFonts w:ascii="Arial" w:hAnsi="Arial" w:cs="Arial"/>
        </w:rPr>
      </w:pPr>
      <w:r w:rsidRPr="003C46AB">
        <w:rPr>
          <w:rFonts w:ascii="Arial" w:hAnsi="Arial" w:cs="Arial"/>
        </w:rPr>
        <w:t>El Instituto en lo relacionado con la violencia sexual realiza exámenes médico legales por presunto delito sexual. Este proceso constituye un eslabón en la cadena de tención que debe brindarse a las víctimas de delitos sexuales, el cual se debe articular y coordinar con todos los demás procedimientos de otras instancias que lo anteceden y que lo siguen, desde el conocimiento o la sospecha de la comisión de un delito, hasta la atención de la víctima y el juzgamiento.</w:t>
      </w:r>
      <w:r>
        <w:rPr>
          <w:rFonts w:ascii="Arial" w:hAnsi="Arial" w:cs="Arial"/>
        </w:rPr>
        <w:t xml:space="preserve"> </w:t>
      </w:r>
    </w:p>
    <w:p w:rsidR="002A6E8C" w:rsidRPr="003C46AB" w:rsidRDefault="002A6E8C" w:rsidP="00F54662">
      <w:pPr>
        <w:autoSpaceDE w:val="0"/>
        <w:autoSpaceDN w:val="0"/>
        <w:adjustRightInd w:val="0"/>
        <w:spacing w:after="0" w:line="240" w:lineRule="auto"/>
        <w:jc w:val="both"/>
        <w:rPr>
          <w:rFonts w:ascii="Arial" w:hAnsi="Arial" w:cs="Arial"/>
        </w:rPr>
      </w:pPr>
    </w:p>
    <w:p w:rsidR="002A6E8C" w:rsidRPr="003C46AB" w:rsidRDefault="002A6E8C" w:rsidP="00F54662">
      <w:pPr>
        <w:autoSpaceDE w:val="0"/>
        <w:autoSpaceDN w:val="0"/>
        <w:adjustRightInd w:val="0"/>
        <w:spacing w:after="0" w:line="240" w:lineRule="auto"/>
        <w:jc w:val="both"/>
        <w:rPr>
          <w:rFonts w:ascii="Arial" w:hAnsi="Arial" w:cs="Arial"/>
        </w:rPr>
      </w:pPr>
      <w:r w:rsidRPr="003C46AB">
        <w:rPr>
          <w:rFonts w:ascii="Arial" w:hAnsi="Arial" w:cs="Arial"/>
        </w:rPr>
        <w:t xml:space="preserve">Es fundamental señalar que para los años anteriores al 2004 nuestra entidad aún no había implementado los sistemas de información con los que cuenta actualmente, por lo que el sitio de necropsia (lesiones fatales) o el de valoración médico legal (lesiones no fatales), no coincide en todos los casos con el sitio del hecho, ya que algunos puntos de atención </w:t>
      </w:r>
      <w:r w:rsidRPr="003C46AB">
        <w:rPr>
          <w:rFonts w:ascii="Arial" w:hAnsi="Arial" w:cs="Arial"/>
        </w:rPr>
        <w:lastRenderedPageBreak/>
        <w:t>estaban ubicados en ciudades centro de referencia departamental o regional a las que eran trasladados las víctimas para su respectiva necropsia o valoración médico legal. En tal sentido, la información estadística para periodos anteriores a 2004 no es posible entregarla.</w:t>
      </w:r>
      <w:r>
        <w:rPr>
          <w:rFonts w:ascii="Arial" w:hAnsi="Arial" w:cs="Arial"/>
        </w:rPr>
        <w:t xml:space="preserve"> Se presenta la información de los indicadores para los años 2004 a 2010.</w:t>
      </w:r>
    </w:p>
    <w:p w:rsidR="002A6E8C" w:rsidRPr="005D0C51" w:rsidRDefault="002A6E8C" w:rsidP="00471C64">
      <w:pPr>
        <w:pStyle w:val="Ttulo2"/>
        <w:numPr>
          <w:ilvl w:val="1"/>
          <w:numId w:val="10"/>
        </w:numPr>
        <w:jc w:val="both"/>
        <w:rPr>
          <w:color w:val="auto"/>
          <w:lang w:eastAsia="es-ES"/>
        </w:rPr>
      </w:pPr>
      <w:bookmarkStart w:id="2" w:name="_Toc315681371"/>
      <w:r w:rsidRPr="005D0C51">
        <w:rPr>
          <w:color w:val="auto"/>
          <w:lang w:eastAsia="es-ES"/>
        </w:rPr>
        <w:t xml:space="preserve">Tasa de lesiones no fatales según etiología de la lesión por </w:t>
      </w:r>
      <w:r>
        <w:rPr>
          <w:color w:val="auto"/>
          <w:lang w:eastAsia="es-ES"/>
        </w:rPr>
        <w:t xml:space="preserve">cada </w:t>
      </w:r>
      <w:r w:rsidRPr="005D0C51">
        <w:rPr>
          <w:color w:val="auto"/>
          <w:lang w:eastAsia="es-ES"/>
        </w:rPr>
        <w:t>100.000 habitantes</w:t>
      </w:r>
      <w:bookmarkEnd w:id="2"/>
    </w:p>
    <w:p w:rsidR="002A6E8C" w:rsidRPr="00672E20" w:rsidRDefault="002A6E8C" w:rsidP="00FC255D">
      <w:pPr>
        <w:rPr>
          <w:rFonts w:ascii="Arial" w:hAnsi="Arial" w:cs="Arial"/>
          <w:lang w:val="es-MX"/>
        </w:rPr>
      </w:pPr>
      <w:r>
        <w:rPr>
          <w:rFonts w:ascii="Arial" w:hAnsi="Arial" w:cs="Arial"/>
          <w:lang w:val="es-MX"/>
        </w:rPr>
        <w:t>E</w:t>
      </w:r>
      <w:r w:rsidRPr="00672E20">
        <w:rPr>
          <w:rFonts w:ascii="Arial" w:hAnsi="Arial" w:cs="Arial"/>
          <w:lang w:val="es-MX"/>
        </w:rPr>
        <w:t xml:space="preserve">n este indicador se contemplan las siguientes variables: </w:t>
      </w:r>
    </w:p>
    <w:p w:rsidR="002A6E8C" w:rsidRPr="00672E20" w:rsidRDefault="002A6E8C" w:rsidP="00672E20">
      <w:pPr>
        <w:pStyle w:val="Prrafodelista"/>
        <w:numPr>
          <w:ilvl w:val="0"/>
          <w:numId w:val="11"/>
        </w:numPr>
        <w:rPr>
          <w:rFonts w:ascii="Arial" w:hAnsi="Arial" w:cs="Arial"/>
          <w:lang w:val="es-MX"/>
        </w:rPr>
      </w:pPr>
      <w:r w:rsidRPr="00672E20">
        <w:rPr>
          <w:rFonts w:ascii="Arial" w:hAnsi="Arial" w:cs="Arial"/>
          <w:lang w:val="es-MX"/>
        </w:rPr>
        <w:t>Total de lesiones no fatales según etiología de la lesión (e).</w:t>
      </w:r>
      <w:r w:rsidRPr="00672E20">
        <w:rPr>
          <w:rFonts w:ascii="Arial" w:hAnsi="Arial" w:cs="Arial"/>
          <w:lang w:val="es-MX"/>
        </w:rPr>
        <w:tab/>
      </w:r>
    </w:p>
    <w:p w:rsidR="002A6E8C" w:rsidRPr="00672E20" w:rsidRDefault="002A6E8C" w:rsidP="00672E20">
      <w:pPr>
        <w:pStyle w:val="Prrafodelista"/>
        <w:rPr>
          <w:rFonts w:ascii="Arial" w:hAnsi="Arial" w:cs="Arial"/>
          <w:lang w:val="es-MX"/>
        </w:rPr>
      </w:pPr>
      <w:r>
        <w:rPr>
          <w:rFonts w:ascii="Arial" w:hAnsi="Arial" w:cs="Arial"/>
          <w:lang w:val="es-MX"/>
        </w:rPr>
        <w:t>La e</w:t>
      </w:r>
      <w:r w:rsidRPr="00672E20">
        <w:rPr>
          <w:rFonts w:ascii="Arial" w:hAnsi="Arial" w:cs="Arial"/>
          <w:lang w:val="es-MX"/>
        </w:rPr>
        <w:t xml:space="preserve">tiología de la </w:t>
      </w:r>
      <w:r>
        <w:rPr>
          <w:rFonts w:ascii="Arial" w:hAnsi="Arial" w:cs="Arial"/>
          <w:lang w:val="es-MX"/>
        </w:rPr>
        <w:t>l</w:t>
      </w:r>
      <w:r w:rsidRPr="00672E20">
        <w:rPr>
          <w:rFonts w:ascii="Arial" w:hAnsi="Arial" w:cs="Arial"/>
          <w:lang w:val="es-MX"/>
        </w:rPr>
        <w:t xml:space="preserve">esión </w:t>
      </w:r>
      <w:r>
        <w:rPr>
          <w:rFonts w:ascii="Arial" w:hAnsi="Arial" w:cs="Arial"/>
          <w:lang w:val="es-MX"/>
        </w:rPr>
        <w:t xml:space="preserve">está </w:t>
      </w:r>
      <w:r w:rsidRPr="00672E20">
        <w:rPr>
          <w:rFonts w:ascii="Arial" w:hAnsi="Arial" w:cs="Arial"/>
          <w:lang w:val="es-MX"/>
        </w:rPr>
        <w:t xml:space="preserve">compuesta por las categorías: </w:t>
      </w:r>
    </w:p>
    <w:p w:rsidR="002A6E8C" w:rsidRPr="00284A1B" w:rsidRDefault="002A6E8C" w:rsidP="00FC255D">
      <w:pPr>
        <w:pStyle w:val="Prrafodelista"/>
        <w:numPr>
          <w:ilvl w:val="1"/>
          <w:numId w:val="11"/>
        </w:numPr>
        <w:rPr>
          <w:rFonts w:ascii="Arial" w:hAnsi="Arial" w:cs="Arial"/>
          <w:i/>
          <w:sz w:val="20"/>
          <w:szCs w:val="20"/>
          <w:lang w:val="es-MX"/>
        </w:rPr>
      </w:pPr>
      <w:r w:rsidRPr="00284A1B">
        <w:rPr>
          <w:rFonts w:ascii="Arial" w:hAnsi="Arial" w:cs="Arial"/>
          <w:i/>
          <w:sz w:val="20"/>
          <w:szCs w:val="20"/>
          <w:lang w:val="es-MX"/>
        </w:rPr>
        <w:t>Accidentes de Transito</w:t>
      </w:r>
    </w:p>
    <w:p w:rsidR="002A6E8C" w:rsidRPr="00284A1B" w:rsidRDefault="002A6E8C" w:rsidP="00FC255D">
      <w:pPr>
        <w:pStyle w:val="Prrafodelista"/>
        <w:numPr>
          <w:ilvl w:val="1"/>
          <w:numId w:val="11"/>
        </w:numPr>
        <w:rPr>
          <w:rFonts w:ascii="Arial" w:hAnsi="Arial" w:cs="Arial"/>
          <w:i/>
          <w:sz w:val="20"/>
          <w:szCs w:val="20"/>
          <w:lang w:val="es-MX"/>
        </w:rPr>
      </w:pPr>
      <w:r w:rsidRPr="00284A1B">
        <w:rPr>
          <w:rFonts w:ascii="Arial" w:hAnsi="Arial" w:cs="Arial"/>
          <w:i/>
          <w:sz w:val="20"/>
          <w:szCs w:val="20"/>
          <w:lang w:val="es-MX"/>
        </w:rPr>
        <w:t>Lecciones accidentales</w:t>
      </w:r>
    </w:p>
    <w:p w:rsidR="002A6E8C" w:rsidRPr="00284A1B" w:rsidRDefault="002A6E8C" w:rsidP="00FC255D">
      <w:pPr>
        <w:pStyle w:val="Prrafodelista"/>
        <w:numPr>
          <w:ilvl w:val="1"/>
          <w:numId w:val="11"/>
        </w:numPr>
        <w:rPr>
          <w:rFonts w:ascii="Arial" w:hAnsi="Arial" w:cs="Arial"/>
          <w:i/>
          <w:sz w:val="20"/>
          <w:szCs w:val="20"/>
          <w:lang w:val="es-MX"/>
        </w:rPr>
      </w:pPr>
      <w:r w:rsidRPr="00284A1B">
        <w:rPr>
          <w:rFonts w:ascii="Arial" w:hAnsi="Arial" w:cs="Arial"/>
          <w:i/>
          <w:sz w:val="20"/>
          <w:szCs w:val="20"/>
          <w:lang w:val="es-MX"/>
        </w:rPr>
        <w:t>Sexológicos</w:t>
      </w:r>
      <w:r w:rsidRPr="00284A1B">
        <w:rPr>
          <w:rStyle w:val="Refdenotaalpie"/>
          <w:rFonts w:ascii="Arial" w:hAnsi="Arial" w:cs="Arial"/>
          <w:i/>
          <w:sz w:val="20"/>
          <w:szCs w:val="20"/>
          <w:lang w:val="es-MX"/>
        </w:rPr>
        <w:footnoteReference w:id="1"/>
      </w:r>
    </w:p>
    <w:p w:rsidR="002A6E8C" w:rsidRPr="00284A1B" w:rsidRDefault="002A6E8C" w:rsidP="00FC255D">
      <w:pPr>
        <w:pStyle w:val="Prrafodelista"/>
        <w:numPr>
          <w:ilvl w:val="1"/>
          <w:numId w:val="11"/>
        </w:numPr>
        <w:rPr>
          <w:rFonts w:ascii="Arial" w:hAnsi="Arial" w:cs="Arial"/>
          <w:i/>
          <w:sz w:val="20"/>
          <w:szCs w:val="20"/>
          <w:lang w:val="es-MX"/>
        </w:rPr>
      </w:pPr>
      <w:r w:rsidRPr="00284A1B">
        <w:rPr>
          <w:rFonts w:ascii="Arial" w:hAnsi="Arial" w:cs="Arial"/>
          <w:i/>
          <w:sz w:val="20"/>
          <w:szCs w:val="20"/>
          <w:lang w:val="es-MX"/>
        </w:rPr>
        <w:t>Violencia Interpersonal</w:t>
      </w:r>
    </w:p>
    <w:p w:rsidR="002A6E8C" w:rsidRPr="00284A1B" w:rsidRDefault="002A6E8C" w:rsidP="00FC255D">
      <w:pPr>
        <w:pStyle w:val="Prrafodelista"/>
        <w:numPr>
          <w:ilvl w:val="1"/>
          <w:numId w:val="11"/>
        </w:numPr>
        <w:rPr>
          <w:rFonts w:ascii="Arial" w:hAnsi="Arial" w:cs="Arial"/>
          <w:i/>
          <w:sz w:val="20"/>
          <w:szCs w:val="20"/>
          <w:lang w:val="es-MX"/>
        </w:rPr>
      </w:pPr>
      <w:r w:rsidRPr="00284A1B">
        <w:rPr>
          <w:rFonts w:ascii="Arial" w:hAnsi="Arial" w:cs="Arial"/>
          <w:i/>
          <w:sz w:val="20"/>
          <w:szCs w:val="20"/>
          <w:lang w:val="es-MX"/>
        </w:rPr>
        <w:t>Violencia Intrafamiliar</w:t>
      </w:r>
    </w:p>
    <w:p w:rsidR="002A6E8C" w:rsidRDefault="002A6E8C" w:rsidP="00FC255D">
      <w:pPr>
        <w:pStyle w:val="Prrafodelista"/>
        <w:numPr>
          <w:ilvl w:val="0"/>
          <w:numId w:val="11"/>
        </w:numPr>
        <w:rPr>
          <w:rFonts w:ascii="Arial" w:hAnsi="Arial" w:cs="Arial"/>
          <w:lang w:val="es-MX"/>
        </w:rPr>
      </w:pPr>
      <w:r w:rsidRPr="00672E20">
        <w:rPr>
          <w:rFonts w:ascii="Arial" w:hAnsi="Arial" w:cs="Arial"/>
          <w:lang w:val="es-MX"/>
        </w:rPr>
        <w:t>Total de población (dato proporcionado por DANE)</w:t>
      </w:r>
    </w:p>
    <w:p w:rsidR="002A6E8C" w:rsidRDefault="002A6E8C" w:rsidP="0064416F">
      <w:pPr>
        <w:spacing w:after="120"/>
        <w:rPr>
          <w:rFonts w:ascii="Arial" w:hAnsi="Arial" w:cs="Arial"/>
          <w:lang w:val="es-MX"/>
        </w:rPr>
      </w:pPr>
      <w:r>
        <w:rPr>
          <w:rFonts w:ascii="Arial" w:hAnsi="Arial" w:cs="Arial"/>
          <w:lang w:val="es-MX"/>
        </w:rPr>
        <w:t>Los datos de total de la población son:</w:t>
      </w:r>
    </w:p>
    <w:tbl>
      <w:tblPr>
        <w:tblW w:w="5260" w:type="dxa"/>
        <w:jc w:val="center"/>
        <w:tblCellMar>
          <w:left w:w="70" w:type="dxa"/>
          <w:right w:w="70" w:type="dxa"/>
        </w:tblCellMar>
        <w:tblLook w:val="00A0" w:firstRow="1" w:lastRow="0" w:firstColumn="1" w:lastColumn="0" w:noHBand="0" w:noVBand="0"/>
      </w:tblPr>
      <w:tblGrid>
        <w:gridCol w:w="820"/>
        <w:gridCol w:w="1700"/>
        <w:gridCol w:w="240"/>
        <w:gridCol w:w="820"/>
        <w:gridCol w:w="1680"/>
      </w:tblGrid>
      <w:tr w:rsidR="002A6E8C" w:rsidRPr="00475313" w:rsidTr="009C0A35">
        <w:trPr>
          <w:trHeight w:val="255"/>
          <w:jc w:val="center"/>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center"/>
              <w:rPr>
                <w:rFonts w:ascii="Arial" w:hAnsi="Arial" w:cs="Arial"/>
                <w:b/>
                <w:bCs/>
                <w:sz w:val="16"/>
                <w:szCs w:val="16"/>
                <w:lang w:eastAsia="es-ES"/>
              </w:rPr>
            </w:pPr>
            <w:r w:rsidRPr="00C865BB">
              <w:rPr>
                <w:rFonts w:ascii="Arial" w:hAnsi="Arial" w:cs="Arial"/>
                <w:b/>
                <w:bCs/>
                <w:sz w:val="16"/>
                <w:szCs w:val="16"/>
                <w:lang w:eastAsia="es-ES"/>
              </w:rPr>
              <w:t xml:space="preserve">Año </w:t>
            </w:r>
          </w:p>
        </w:tc>
        <w:tc>
          <w:tcPr>
            <w:tcW w:w="1700" w:type="dxa"/>
            <w:tcBorders>
              <w:top w:val="single" w:sz="4" w:space="0" w:color="auto"/>
              <w:left w:val="nil"/>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center"/>
              <w:rPr>
                <w:rFonts w:ascii="Arial" w:hAnsi="Arial" w:cs="Arial"/>
                <w:b/>
                <w:bCs/>
                <w:sz w:val="16"/>
                <w:szCs w:val="16"/>
                <w:lang w:eastAsia="es-ES"/>
              </w:rPr>
            </w:pPr>
            <w:r w:rsidRPr="00C865BB">
              <w:rPr>
                <w:rFonts w:ascii="Arial" w:hAnsi="Arial" w:cs="Arial"/>
                <w:b/>
                <w:bCs/>
                <w:sz w:val="16"/>
                <w:szCs w:val="16"/>
                <w:lang w:eastAsia="es-ES"/>
              </w:rPr>
              <w:t>Total Población</w:t>
            </w:r>
          </w:p>
        </w:tc>
        <w:tc>
          <w:tcPr>
            <w:tcW w:w="240" w:type="dxa"/>
            <w:tcBorders>
              <w:top w:val="nil"/>
              <w:left w:val="nil"/>
              <w:bottom w:val="nil"/>
              <w:right w:val="nil"/>
            </w:tcBorders>
            <w:shd w:val="clear" w:color="000000" w:fill="FFFFFF"/>
            <w:noWrap/>
            <w:vAlign w:val="bottom"/>
          </w:tcPr>
          <w:p w:rsidR="002A6E8C" w:rsidRPr="00C865BB" w:rsidRDefault="002A6E8C" w:rsidP="009C0A35">
            <w:pPr>
              <w:spacing w:after="0" w:line="240" w:lineRule="auto"/>
              <w:rPr>
                <w:rFonts w:ascii="Arial" w:hAnsi="Arial" w:cs="Arial"/>
                <w:sz w:val="16"/>
                <w:szCs w:val="16"/>
                <w:lang w:eastAsia="es-ES"/>
              </w:rPr>
            </w:pPr>
            <w:r w:rsidRPr="00C865BB">
              <w:rPr>
                <w:rFonts w:ascii="Arial" w:hAnsi="Arial" w:cs="Arial"/>
                <w:sz w:val="16"/>
                <w:szCs w:val="16"/>
                <w:lang w:eastAsia="es-ES"/>
              </w:rPr>
              <w:t> </w:t>
            </w:r>
          </w:p>
        </w:tc>
        <w:tc>
          <w:tcPr>
            <w:tcW w:w="8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center"/>
              <w:rPr>
                <w:rFonts w:ascii="Arial" w:hAnsi="Arial" w:cs="Arial"/>
                <w:b/>
                <w:bCs/>
                <w:sz w:val="16"/>
                <w:szCs w:val="16"/>
                <w:lang w:eastAsia="es-ES"/>
              </w:rPr>
            </w:pPr>
            <w:r w:rsidRPr="00C865BB">
              <w:rPr>
                <w:rFonts w:ascii="Arial" w:hAnsi="Arial" w:cs="Arial"/>
                <w:b/>
                <w:bCs/>
                <w:sz w:val="16"/>
                <w:szCs w:val="16"/>
                <w:lang w:eastAsia="es-ES"/>
              </w:rPr>
              <w:t xml:space="preserve">Año </w:t>
            </w:r>
          </w:p>
        </w:tc>
        <w:tc>
          <w:tcPr>
            <w:tcW w:w="1680" w:type="dxa"/>
            <w:tcBorders>
              <w:top w:val="single" w:sz="4" w:space="0" w:color="auto"/>
              <w:left w:val="nil"/>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center"/>
              <w:rPr>
                <w:rFonts w:ascii="Arial" w:hAnsi="Arial" w:cs="Arial"/>
                <w:b/>
                <w:bCs/>
                <w:sz w:val="16"/>
                <w:szCs w:val="16"/>
                <w:lang w:eastAsia="es-ES"/>
              </w:rPr>
            </w:pPr>
            <w:r w:rsidRPr="00C865BB">
              <w:rPr>
                <w:rFonts w:ascii="Arial" w:hAnsi="Arial" w:cs="Arial"/>
                <w:b/>
                <w:bCs/>
                <w:sz w:val="16"/>
                <w:szCs w:val="16"/>
                <w:lang w:eastAsia="es-ES"/>
              </w:rPr>
              <w:t>Total Población</w:t>
            </w:r>
          </w:p>
        </w:tc>
      </w:tr>
      <w:tr w:rsidR="002A6E8C" w:rsidRPr="00475313" w:rsidTr="009C0A35">
        <w:trPr>
          <w:trHeight w:val="255"/>
          <w:jc w:val="center"/>
        </w:trPr>
        <w:tc>
          <w:tcPr>
            <w:tcW w:w="820" w:type="dxa"/>
            <w:tcBorders>
              <w:top w:val="nil"/>
              <w:left w:val="single" w:sz="4" w:space="0" w:color="auto"/>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center"/>
              <w:rPr>
                <w:rFonts w:ascii="Arial" w:hAnsi="Arial" w:cs="Arial"/>
                <w:sz w:val="16"/>
                <w:szCs w:val="16"/>
                <w:lang w:eastAsia="es-ES"/>
              </w:rPr>
            </w:pPr>
            <w:r w:rsidRPr="00C865BB">
              <w:rPr>
                <w:rFonts w:ascii="Arial" w:hAnsi="Arial" w:cs="Arial"/>
                <w:sz w:val="16"/>
                <w:szCs w:val="16"/>
                <w:lang w:eastAsia="es-ES"/>
              </w:rPr>
              <w:t>2004</w:t>
            </w:r>
          </w:p>
        </w:tc>
        <w:tc>
          <w:tcPr>
            <w:tcW w:w="1700" w:type="dxa"/>
            <w:tcBorders>
              <w:top w:val="nil"/>
              <w:left w:val="nil"/>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right"/>
              <w:rPr>
                <w:rFonts w:ascii="Arial" w:hAnsi="Arial" w:cs="Arial"/>
                <w:sz w:val="16"/>
                <w:szCs w:val="16"/>
                <w:lang w:eastAsia="es-ES"/>
              </w:rPr>
            </w:pPr>
            <w:r w:rsidRPr="00C865BB">
              <w:rPr>
                <w:rFonts w:ascii="Arial" w:hAnsi="Arial" w:cs="Arial"/>
                <w:sz w:val="16"/>
                <w:szCs w:val="16"/>
                <w:lang w:eastAsia="es-ES"/>
              </w:rPr>
              <w:t>41.224.536</w:t>
            </w:r>
          </w:p>
        </w:tc>
        <w:tc>
          <w:tcPr>
            <w:tcW w:w="240" w:type="dxa"/>
            <w:tcBorders>
              <w:top w:val="nil"/>
              <w:left w:val="nil"/>
              <w:bottom w:val="nil"/>
              <w:right w:val="nil"/>
            </w:tcBorders>
            <w:shd w:val="clear" w:color="000000" w:fill="FFFFFF"/>
            <w:noWrap/>
            <w:vAlign w:val="bottom"/>
          </w:tcPr>
          <w:p w:rsidR="002A6E8C" w:rsidRPr="00C865BB" w:rsidRDefault="002A6E8C" w:rsidP="009C0A35">
            <w:pPr>
              <w:spacing w:after="0" w:line="240" w:lineRule="auto"/>
              <w:rPr>
                <w:rFonts w:ascii="Arial" w:hAnsi="Arial" w:cs="Arial"/>
                <w:sz w:val="16"/>
                <w:szCs w:val="16"/>
                <w:lang w:eastAsia="es-ES"/>
              </w:rPr>
            </w:pPr>
            <w:r w:rsidRPr="00C865BB">
              <w:rPr>
                <w:rFonts w:ascii="Arial" w:hAnsi="Arial" w:cs="Arial"/>
                <w:sz w:val="16"/>
                <w:szCs w:val="16"/>
                <w:lang w:eastAsia="es-ES"/>
              </w:rPr>
              <w:t> </w:t>
            </w:r>
          </w:p>
        </w:tc>
        <w:tc>
          <w:tcPr>
            <w:tcW w:w="820" w:type="dxa"/>
            <w:tcBorders>
              <w:top w:val="nil"/>
              <w:left w:val="single" w:sz="4" w:space="0" w:color="auto"/>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center"/>
              <w:rPr>
                <w:rFonts w:ascii="Arial" w:hAnsi="Arial" w:cs="Arial"/>
                <w:sz w:val="16"/>
                <w:szCs w:val="16"/>
                <w:lang w:eastAsia="es-ES"/>
              </w:rPr>
            </w:pPr>
            <w:r w:rsidRPr="00C865BB">
              <w:rPr>
                <w:rFonts w:ascii="Arial" w:hAnsi="Arial" w:cs="Arial"/>
                <w:sz w:val="16"/>
                <w:szCs w:val="16"/>
                <w:lang w:eastAsia="es-ES"/>
              </w:rPr>
              <w:t>2008</w:t>
            </w:r>
          </w:p>
        </w:tc>
        <w:tc>
          <w:tcPr>
            <w:tcW w:w="1680" w:type="dxa"/>
            <w:tcBorders>
              <w:top w:val="nil"/>
              <w:left w:val="nil"/>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right"/>
              <w:rPr>
                <w:rFonts w:ascii="Arial" w:hAnsi="Arial" w:cs="Arial"/>
                <w:sz w:val="16"/>
                <w:szCs w:val="16"/>
                <w:lang w:eastAsia="es-ES"/>
              </w:rPr>
            </w:pPr>
            <w:r w:rsidRPr="00C865BB">
              <w:rPr>
                <w:rFonts w:ascii="Arial" w:hAnsi="Arial" w:cs="Arial"/>
                <w:sz w:val="16"/>
                <w:szCs w:val="16"/>
                <w:lang w:eastAsia="es-ES"/>
              </w:rPr>
              <w:t>43.237.585</w:t>
            </w:r>
          </w:p>
        </w:tc>
      </w:tr>
      <w:tr w:rsidR="002A6E8C" w:rsidRPr="00475313" w:rsidTr="009C0A35">
        <w:trPr>
          <w:trHeight w:val="255"/>
          <w:jc w:val="center"/>
        </w:trPr>
        <w:tc>
          <w:tcPr>
            <w:tcW w:w="820" w:type="dxa"/>
            <w:tcBorders>
              <w:top w:val="nil"/>
              <w:left w:val="single" w:sz="4" w:space="0" w:color="auto"/>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center"/>
              <w:rPr>
                <w:rFonts w:ascii="Arial" w:hAnsi="Arial" w:cs="Arial"/>
                <w:sz w:val="16"/>
                <w:szCs w:val="16"/>
                <w:lang w:eastAsia="es-ES"/>
              </w:rPr>
            </w:pPr>
            <w:r w:rsidRPr="00C865BB">
              <w:rPr>
                <w:rFonts w:ascii="Arial" w:hAnsi="Arial" w:cs="Arial"/>
                <w:sz w:val="16"/>
                <w:szCs w:val="16"/>
                <w:lang w:eastAsia="es-ES"/>
              </w:rPr>
              <w:t>2005</w:t>
            </w:r>
          </w:p>
        </w:tc>
        <w:tc>
          <w:tcPr>
            <w:tcW w:w="1700" w:type="dxa"/>
            <w:tcBorders>
              <w:top w:val="nil"/>
              <w:left w:val="nil"/>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right"/>
              <w:rPr>
                <w:rFonts w:ascii="Arial" w:hAnsi="Arial" w:cs="Arial"/>
                <w:sz w:val="16"/>
                <w:szCs w:val="16"/>
                <w:lang w:eastAsia="es-ES"/>
              </w:rPr>
            </w:pPr>
            <w:r w:rsidRPr="00C865BB">
              <w:rPr>
                <w:rFonts w:ascii="Arial" w:hAnsi="Arial" w:cs="Arial"/>
                <w:sz w:val="16"/>
                <w:szCs w:val="16"/>
                <w:lang w:eastAsia="es-ES"/>
              </w:rPr>
              <w:t>41.728.164</w:t>
            </w:r>
          </w:p>
        </w:tc>
        <w:tc>
          <w:tcPr>
            <w:tcW w:w="240" w:type="dxa"/>
            <w:tcBorders>
              <w:top w:val="nil"/>
              <w:left w:val="nil"/>
              <w:bottom w:val="nil"/>
              <w:right w:val="nil"/>
            </w:tcBorders>
            <w:shd w:val="clear" w:color="000000" w:fill="FFFFFF"/>
            <w:noWrap/>
            <w:vAlign w:val="bottom"/>
          </w:tcPr>
          <w:p w:rsidR="002A6E8C" w:rsidRPr="00C865BB" w:rsidRDefault="002A6E8C" w:rsidP="009C0A35">
            <w:pPr>
              <w:spacing w:after="0" w:line="240" w:lineRule="auto"/>
              <w:rPr>
                <w:rFonts w:ascii="Arial" w:hAnsi="Arial" w:cs="Arial"/>
                <w:sz w:val="16"/>
                <w:szCs w:val="16"/>
                <w:lang w:eastAsia="es-ES"/>
              </w:rPr>
            </w:pPr>
            <w:r w:rsidRPr="00C865BB">
              <w:rPr>
                <w:rFonts w:ascii="Arial" w:hAnsi="Arial" w:cs="Arial"/>
                <w:sz w:val="16"/>
                <w:szCs w:val="16"/>
                <w:lang w:eastAsia="es-ES"/>
              </w:rPr>
              <w:t> </w:t>
            </w:r>
          </w:p>
        </w:tc>
        <w:tc>
          <w:tcPr>
            <w:tcW w:w="820" w:type="dxa"/>
            <w:tcBorders>
              <w:top w:val="nil"/>
              <w:left w:val="single" w:sz="4" w:space="0" w:color="auto"/>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center"/>
              <w:rPr>
                <w:rFonts w:ascii="Arial" w:hAnsi="Arial" w:cs="Arial"/>
                <w:sz w:val="16"/>
                <w:szCs w:val="16"/>
                <w:lang w:eastAsia="es-ES"/>
              </w:rPr>
            </w:pPr>
            <w:r w:rsidRPr="00C865BB">
              <w:rPr>
                <w:rFonts w:ascii="Arial" w:hAnsi="Arial" w:cs="Arial"/>
                <w:sz w:val="16"/>
                <w:szCs w:val="16"/>
                <w:lang w:eastAsia="es-ES"/>
              </w:rPr>
              <w:t>2009</w:t>
            </w:r>
          </w:p>
        </w:tc>
        <w:tc>
          <w:tcPr>
            <w:tcW w:w="1680" w:type="dxa"/>
            <w:tcBorders>
              <w:top w:val="nil"/>
              <w:left w:val="nil"/>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right"/>
              <w:rPr>
                <w:rFonts w:ascii="Arial" w:hAnsi="Arial" w:cs="Arial"/>
                <w:sz w:val="16"/>
                <w:szCs w:val="16"/>
                <w:lang w:eastAsia="es-ES"/>
              </w:rPr>
            </w:pPr>
            <w:r w:rsidRPr="00C865BB">
              <w:rPr>
                <w:rFonts w:ascii="Arial" w:hAnsi="Arial" w:cs="Arial"/>
                <w:sz w:val="16"/>
                <w:szCs w:val="16"/>
                <w:lang w:eastAsia="es-ES"/>
              </w:rPr>
              <w:t>43.747.211</w:t>
            </w:r>
          </w:p>
        </w:tc>
      </w:tr>
      <w:tr w:rsidR="002A6E8C" w:rsidRPr="00475313" w:rsidTr="009C0A35">
        <w:trPr>
          <w:trHeight w:val="255"/>
          <w:jc w:val="center"/>
        </w:trPr>
        <w:tc>
          <w:tcPr>
            <w:tcW w:w="820" w:type="dxa"/>
            <w:tcBorders>
              <w:top w:val="nil"/>
              <w:left w:val="single" w:sz="4" w:space="0" w:color="auto"/>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center"/>
              <w:rPr>
                <w:rFonts w:ascii="Arial" w:hAnsi="Arial" w:cs="Arial"/>
                <w:sz w:val="16"/>
                <w:szCs w:val="16"/>
                <w:lang w:eastAsia="es-ES"/>
              </w:rPr>
            </w:pPr>
            <w:r w:rsidRPr="00C865BB">
              <w:rPr>
                <w:rFonts w:ascii="Arial" w:hAnsi="Arial" w:cs="Arial"/>
                <w:sz w:val="16"/>
                <w:szCs w:val="16"/>
                <w:lang w:eastAsia="es-ES"/>
              </w:rPr>
              <w:t>2006</w:t>
            </w:r>
          </w:p>
        </w:tc>
        <w:tc>
          <w:tcPr>
            <w:tcW w:w="1700" w:type="dxa"/>
            <w:tcBorders>
              <w:top w:val="nil"/>
              <w:left w:val="nil"/>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right"/>
              <w:rPr>
                <w:rFonts w:ascii="Arial" w:hAnsi="Arial" w:cs="Arial"/>
                <w:sz w:val="16"/>
                <w:szCs w:val="16"/>
                <w:lang w:eastAsia="es-ES"/>
              </w:rPr>
            </w:pPr>
            <w:r w:rsidRPr="00C865BB">
              <w:rPr>
                <w:rFonts w:ascii="Arial" w:hAnsi="Arial" w:cs="Arial"/>
                <w:sz w:val="16"/>
                <w:szCs w:val="16"/>
                <w:lang w:eastAsia="es-ES"/>
              </w:rPr>
              <w:t>42.227.864</w:t>
            </w:r>
          </w:p>
        </w:tc>
        <w:tc>
          <w:tcPr>
            <w:tcW w:w="240" w:type="dxa"/>
            <w:tcBorders>
              <w:top w:val="nil"/>
              <w:left w:val="nil"/>
              <w:bottom w:val="nil"/>
              <w:right w:val="nil"/>
            </w:tcBorders>
            <w:shd w:val="clear" w:color="000000" w:fill="FFFFFF"/>
            <w:noWrap/>
            <w:vAlign w:val="bottom"/>
          </w:tcPr>
          <w:p w:rsidR="002A6E8C" w:rsidRPr="00C865BB" w:rsidRDefault="002A6E8C" w:rsidP="009C0A35">
            <w:pPr>
              <w:spacing w:after="0" w:line="240" w:lineRule="auto"/>
              <w:rPr>
                <w:rFonts w:ascii="Arial" w:hAnsi="Arial" w:cs="Arial"/>
                <w:sz w:val="16"/>
                <w:szCs w:val="16"/>
                <w:lang w:eastAsia="es-ES"/>
              </w:rPr>
            </w:pPr>
            <w:r w:rsidRPr="00C865BB">
              <w:rPr>
                <w:rFonts w:ascii="Arial" w:hAnsi="Arial" w:cs="Arial"/>
                <w:sz w:val="16"/>
                <w:szCs w:val="16"/>
                <w:lang w:eastAsia="es-ES"/>
              </w:rPr>
              <w:t> </w:t>
            </w:r>
          </w:p>
        </w:tc>
        <w:tc>
          <w:tcPr>
            <w:tcW w:w="820" w:type="dxa"/>
            <w:tcBorders>
              <w:top w:val="nil"/>
              <w:left w:val="single" w:sz="4" w:space="0" w:color="auto"/>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center"/>
              <w:rPr>
                <w:rFonts w:ascii="Arial" w:hAnsi="Arial" w:cs="Arial"/>
                <w:sz w:val="16"/>
                <w:szCs w:val="16"/>
                <w:lang w:eastAsia="es-ES"/>
              </w:rPr>
            </w:pPr>
            <w:r w:rsidRPr="00C865BB">
              <w:rPr>
                <w:rFonts w:ascii="Arial" w:hAnsi="Arial" w:cs="Arial"/>
                <w:sz w:val="16"/>
                <w:szCs w:val="16"/>
                <w:lang w:eastAsia="es-ES"/>
              </w:rPr>
              <w:t>2010</w:t>
            </w:r>
          </w:p>
        </w:tc>
        <w:tc>
          <w:tcPr>
            <w:tcW w:w="1680" w:type="dxa"/>
            <w:tcBorders>
              <w:top w:val="nil"/>
              <w:left w:val="nil"/>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right"/>
              <w:rPr>
                <w:rFonts w:ascii="Arial" w:hAnsi="Arial" w:cs="Arial"/>
                <w:sz w:val="16"/>
                <w:szCs w:val="16"/>
                <w:lang w:eastAsia="es-ES"/>
              </w:rPr>
            </w:pPr>
            <w:r w:rsidRPr="00C865BB">
              <w:rPr>
                <w:rFonts w:ascii="Arial" w:hAnsi="Arial" w:cs="Arial"/>
                <w:sz w:val="16"/>
                <w:szCs w:val="16"/>
                <w:lang w:eastAsia="es-ES"/>
              </w:rPr>
              <w:t>44.260.006</w:t>
            </w:r>
          </w:p>
        </w:tc>
      </w:tr>
      <w:tr w:rsidR="002A6E8C" w:rsidRPr="00475313" w:rsidTr="009C0A35">
        <w:trPr>
          <w:trHeight w:val="255"/>
          <w:jc w:val="center"/>
        </w:trPr>
        <w:tc>
          <w:tcPr>
            <w:tcW w:w="820" w:type="dxa"/>
            <w:tcBorders>
              <w:top w:val="nil"/>
              <w:left w:val="single" w:sz="4" w:space="0" w:color="auto"/>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center"/>
              <w:rPr>
                <w:rFonts w:ascii="Arial" w:hAnsi="Arial" w:cs="Arial"/>
                <w:sz w:val="16"/>
                <w:szCs w:val="16"/>
                <w:lang w:eastAsia="es-ES"/>
              </w:rPr>
            </w:pPr>
            <w:r w:rsidRPr="00C865BB">
              <w:rPr>
                <w:rFonts w:ascii="Arial" w:hAnsi="Arial" w:cs="Arial"/>
                <w:sz w:val="16"/>
                <w:szCs w:val="16"/>
                <w:lang w:eastAsia="es-ES"/>
              </w:rPr>
              <w:t>2007</w:t>
            </w:r>
          </w:p>
        </w:tc>
        <w:tc>
          <w:tcPr>
            <w:tcW w:w="1700" w:type="dxa"/>
            <w:tcBorders>
              <w:top w:val="nil"/>
              <w:left w:val="nil"/>
              <w:bottom w:val="single" w:sz="4" w:space="0" w:color="auto"/>
              <w:right w:val="single" w:sz="4" w:space="0" w:color="auto"/>
            </w:tcBorders>
            <w:shd w:val="clear" w:color="000000" w:fill="FFFFFF"/>
            <w:noWrap/>
            <w:vAlign w:val="bottom"/>
          </w:tcPr>
          <w:p w:rsidR="002A6E8C" w:rsidRPr="00C865BB" w:rsidRDefault="002A6E8C" w:rsidP="009C0A35">
            <w:pPr>
              <w:spacing w:after="0" w:line="240" w:lineRule="auto"/>
              <w:jc w:val="right"/>
              <w:rPr>
                <w:rFonts w:ascii="Arial" w:hAnsi="Arial" w:cs="Arial"/>
                <w:sz w:val="16"/>
                <w:szCs w:val="16"/>
                <w:lang w:eastAsia="es-ES"/>
              </w:rPr>
            </w:pPr>
            <w:r w:rsidRPr="00C865BB">
              <w:rPr>
                <w:rFonts w:ascii="Arial" w:hAnsi="Arial" w:cs="Arial"/>
                <w:sz w:val="16"/>
                <w:szCs w:val="16"/>
                <w:lang w:eastAsia="es-ES"/>
              </w:rPr>
              <w:t>42.730.944</w:t>
            </w:r>
          </w:p>
        </w:tc>
        <w:tc>
          <w:tcPr>
            <w:tcW w:w="240" w:type="dxa"/>
            <w:tcBorders>
              <w:top w:val="nil"/>
              <w:left w:val="nil"/>
              <w:bottom w:val="nil"/>
              <w:right w:val="nil"/>
            </w:tcBorders>
            <w:shd w:val="clear" w:color="000000" w:fill="FFFFFF"/>
            <w:noWrap/>
            <w:vAlign w:val="bottom"/>
          </w:tcPr>
          <w:p w:rsidR="002A6E8C" w:rsidRPr="00C865BB" w:rsidRDefault="002A6E8C" w:rsidP="009C0A35">
            <w:pPr>
              <w:spacing w:after="0" w:line="240" w:lineRule="auto"/>
              <w:rPr>
                <w:rFonts w:ascii="Arial" w:hAnsi="Arial" w:cs="Arial"/>
                <w:sz w:val="16"/>
                <w:szCs w:val="16"/>
                <w:lang w:eastAsia="es-ES"/>
              </w:rPr>
            </w:pPr>
            <w:r w:rsidRPr="00C865BB">
              <w:rPr>
                <w:rFonts w:ascii="Arial" w:hAnsi="Arial" w:cs="Arial"/>
                <w:sz w:val="16"/>
                <w:szCs w:val="16"/>
                <w:lang w:eastAsia="es-ES"/>
              </w:rPr>
              <w:t> </w:t>
            </w:r>
          </w:p>
        </w:tc>
        <w:tc>
          <w:tcPr>
            <w:tcW w:w="820" w:type="dxa"/>
            <w:tcBorders>
              <w:top w:val="nil"/>
              <w:left w:val="nil"/>
              <w:bottom w:val="nil"/>
              <w:right w:val="nil"/>
            </w:tcBorders>
            <w:shd w:val="clear" w:color="000000" w:fill="FFFFFF"/>
            <w:noWrap/>
            <w:vAlign w:val="bottom"/>
          </w:tcPr>
          <w:p w:rsidR="002A6E8C" w:rsidRPr="00C865BB" w:rsidRDefault="002A6E8C" w:rsidP="009C0A35">
            <w:pPr>
              <w:spacing w:after="0" w:line="240" w:lineRule="auto"/>
              <w:rPr>
                <w:rFonts w:ascii="Arial" w:hAnsi="Arial" w:cs="Arial"/>
                <w:sz w:val="16"/>
                <w:szCs w:val="16"/>
                <w:lang w:eastAsia="es-ES"/>
              </w:rPr>
            </w:pPr>
            <w:r w:rsidRPr="00C865BB">
              <w:rPr>
                <w:rFonts w:ascii="Arial" w:hAnsi="Arial" w:cs="Arial"/>
                <w:sz w:val="16"/>
                <w:szCs w:val="16"/>
                <w:lang w:eastAsia="es-ES"/>
              </w:rPr>
              <w:t> </w:t>
            </w:r>
          </w:p>
        </w:tc>
        <w:tc>
          <w:tcPr>
            <w:tcW w:w="1680" w:type="dxa"/>
            <w:tcBorders>
              <w:top w:val="nil"/>
              <w:left w:val="nil"/>
              <w:bottom w:val="nil"/>
              <w:right w:val="nil"/>
            </w:tcBorders>
            <w:shd w:val="clear" w:color="000000" w:fill="FFFFFF"/>
            <w:noWrap/>
            <w:vAlign w:val="bottom"/>
          </w:tcPr>
          <w:p w:rsidR="002A6E8C" w:rsidRPr="00C865BB" w:rsidRDefault="002A6E8C" w:rsidP="009C0A35">
            <w:pPr>
              <w:spacing w:after="0" w:line="240" w:lineRule="auto"/>
              <w:rPr>
                <w:rFonts w:ascii="Arial" w:hAnsi="Arial" w:cs="Arial"/>
                <w:sz w:val="16"/>
                <w:szCs w:val="16"/>
                <w:lang w:eastAsia="es-ES"/>
              </w:rPr>
            </w:pPr>
            <w:r w:rsidRPr="00C865BB">
              <w:rPr>
                <w:rFonts w:ascii="Arial" w:hAnsi="Arial" w:cs="Arial"/>
                <w:sz w:val="16"/>
                <w:szCs w:val="16"/>
                <w:lang w:eastAsia="es-ES"/>
              </w:rPr>
              <w:t> </w:t>
            </w:r>
          </w:p>
        </w:tc>
      </w:tr>
    </w:tbl>
    <w:p w:rsidR="002A6E8C" w:rsidRPr="00672E20" w:rsidRDefault="002A6E8C" w:rsidP="0064416F">
      <w:pPr>
        <w:spacing w:before="240" w:after="120"/>
        <w:jc w:val="center"/>
        <w:rPr>
          <w:rFonts w:ascii="Arial" w:hAnsi="Arial" w:cs="Arial"/>
          <w:sz w:val="16"/>
          <w:szCs w:val="16"/>
          <w:lang w:val="es-MX"/>
        </w:rPr>
      </w:pPr>
      <w:r w:rsidRPr="00672E20">
        <w:rPr>
          <w:rFonts w:ascii="Arial" w:hAnsi="Arial" w:cs="Arial"/>
          <w:sz w:val="16"/>
          <w:szCs w:val="16"/>
          <w:lang w:val="es-MX"/>
        </w:rPr>
        <w:t>Fuente: Página Web DANE</w:t>
      </w:r>
    </w:p>
    <w:p w:rsidR="002A6E8C" w:rsidRPr="003A34CA" w:rsidRDefault="002A6E8C" w:rsidP="009A00CB">
      <w:pPr>
        <w:spacing w:after="120"/>
        <w:jc w:val="both"/>
        <w:rPr>
          <w:rFonts w:ascii="Arial" w:hAnsi="Arial" w:cs="Arial"/>
          <w:b/>
          <w:bCs/>
          <w:sz w:val="20"/>
          <w:szCs w:val="20"/>
          <w:lang w:val="es-MX"/>
        </w:rPr>
      </w:pPr>
      <w:r w:rsidRPr="003A34CA">
        <w:rPr>
          <w:rFonts w:ascii="Arial" w:hAnsi="Arial" w:cs="Arial"/>
          <w:b/>
          <w:bCs/>
          <w:sz w:val="20"/>
          <w:szCs w:val="20"/>
          <w:lang w:val="es-MX"/>
        </w:rPr>
        <w:t>Gráfico 1. Tasa de lesiones no fatales según etiología de la lesión por cada 100.000 habitantes - Año 2010</w:t>
      </w:r>
    </w:p>
    <w:p w:rsidR="002A6E8C" w:rsidRPr="009A00CB" w:rsidRDefault="002A6E8C" w:rsidP="009C0A35">
      <w:pPr>
        <w:spacing w:after="0" w:line="240" w:lineRule="auto"/>
        <w:rPr>
          <w:rFonts w:ascii="Arial" w:hAnsi="Arial" w:cs="Arial"/>
          <w:b/>
          <w:bCs/>
          <w:sz w:val="16"/>
          <w:szCs w:val="16"/>
        </w:rPr>
      </w:pPr>
    </w:p>
    <w:p w:rsidR="002A6E8C" w:rsidRDefault="008C2FF4" w:rsidP="00275985">
      <w:pPr>
        <w:spacing w:after="120" w:line="240" w:lineRule="auto"/>
        <w:jc w:val="center"/>
        <w:rPr>
          <w:rFonts w:ascii="Arial" w:hAnsi="Arial" w:cs="Arial"/>
        </w:rPr>
      </w:pPr>
      <w:r>
        <w:rPr>
          <w:noProof/>
        </w:rPr>
        <w:drawing>
          <wp:inline distT="0" distB="0" distL="0" distR="0">
            <wp:extent cx="4305300" cy="2343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2343150"/>
                    </a:xfrm>
                    <a:prstGeom prst="rect">
                      <a:avLst/>
                    </a:prstGeom>
                    <a:noFill/>
                    <a:ln>
                      <a:noFill/>
                    </a:ln>
                  </pic:spPr>
                </pic:pic>
              </a:graphicData>
            </a:graphic>
          </wp:inline>
        </w:drawing>
      </w:r>
    </w:p>
    <w:p w:rsidR="002A6E8C" w:rsidRDefault="002A6E8C" w:rsidP="00FC255D">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FC255D">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F64D2B">
      <w:pPr>
        <w:jc w:val="both"/>
        <w:rPr>
          <w:rFonts w:ascii="Arial" w:hAnsi="Arial" w:cs="Arial"/>
          <w:lang w:val="es-MX"/>
        </w:rPr>
      </w:pPr>
      <w:r w:rsidRPr="00B37587">
        <w:rPr>
          <w:rFonts w:ascii="Arial" w:hAnsi="Arial" w:cs="Arial"/>
          <w:lang w:val="es-MX"/>
        </w:rPr>
        <w:lastRenderedPageBreak/>
        <w:t xml:space="preserve">La tasa de lesiones no fatales que presenta el mayor número de afectados son las </w:t>
      </w:r>
      <w:r>
        <w:rPr>
          <w:rFonts w:ascii="Arial" w:hAnsi="Arial" w:cs="Arial"/>
          <w:lang w:val="es-MX"/>
        </w:rPr>
        <w:t xml:space="preserve">relacionadas con </w:t>
      </w:r>
      <w:r w:rsidRPr="00B37587">
        <w:rPr>
          <w:rFonts w:ascii="Arial" w:hAnsi="Arial" w:cs="Arial"/>
          <w:lang w:val="es-MX"/>
        </w:rPr>
        <w:t>las lesiones por violencia interpersonal seguidas de la</w:t>
      </w:r>
      <w:r>
        <w:rPr>
          <w:rFonts w:ascii="Arial" w:hAnsi="Arial" w:cs="Arial"/>
          <w:lang w:val="es-MX"/>
        </w:rPr>
        <w:t>s de violencia intrafamiliar. En otras palabras, 328 de cada 100.000 habitantes en el 2010 tuvieron algún tipo lesión por violencia interpersonal. Mientras que las lesiones accidentales presentaron en 2010 tan solo 23 casos entre 100.000 habitantes.</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Gráfico 2. Tasa de lesiones no fatales según etiología de la lesión por cada 100.000 habitantes  - Periodo 2004 – 2010</w:t>
      </w:r>
    </w:p>
    <w:p w:rsidR="002A6E8C" w:rsidRDefault="008C2FF4" w:rsidP="00672E20">
      <w:pPr>
        <w:rPr>
          <w:rFonts w:ascii="Arial" w:hAnsi="Arial" w:cs="Arial"/>
          <w:bCs/>
        </w:rPr>
      </w:pPr>
      <w:r>
        <w:rPr>
          <w:noProof/>
        </w:rPr>
        <w:drawing>
          <wp:inline distT="0" distB="0" distL="0" distR="0">
            <wp:extent cx="5600700" cy="6067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6067425"/>
                    </a:xfrm>
                    <a:prstGeom prst="rect">
                      <a:avLst/>
                    </a:prstGeom>
                    <a:noFill/>
                    <a:ln>
                      <a:noFill/>
                    </a:ln>
                  </pic:spPr>
                </pic:pic>
              </a:graphicData>
            </a:graphic>
          </wp:inline>
        </w:drawing>
      </w:r>
    </w:p>
    <w:p w:rsidR="002A6E8C" w:rsidRDefault="002A6E8C" w:rsidP="009C0A35">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9C0A35">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9C0A35">
      <w:pPr>
        <w:rPr>
          <w:lang w:val="es-MX"/>
        </w:rPr>
      </w:pPr>
    </w:p>
    <w:p w:rsidR="002A6E8C" w:rsidRDefault="002A6E8C" w:rsidP="005B2D3A">
      <w:pPr>
        <w:jc w:val="both"/>
        <w:rPr>
          <w:rFonts w:ascii="Arial" w:hAnsi="Arial" w:cs="Arial"/>
          <w:lang w:val="es-MX"/>
        </w:rPr>
      </w:pPr>
      <w:r w:rsidRPr="00085403">
        <w:rPr>
          <w:rFonts w:ascii="Arial" w:hAnsi="Arial" w:cs="Arial"/>
          <w:lang w:val="es-MX"/>
        </w:rPr>
        <w:lastRenderedPageBreak/>
        <w:t>La informac</w:t>
      </w:r>
      <w:r>
        <w:rPr>
          <w:rFonts w:ascii="Arial" w:hAnsi="Arial" w:cs="Arial"/>
          <w:lang w:val="es-MX"/>
        </w:rPr>
        <w:t>ión representada en el grafico 2</w:t>
      </w:r>
      <w:r w:rsidRPr="00085403">
        <w:rPr>
          <w:rFonts w:ascii="Arial" w:hAnsi="Arial" w:cs="Arial"/>
          <w:lang w:val="es-MX"/>
        </w:rPr>
        <w:t xml:space="preserve">, </w:t>
      </w:r>
      <w:r>
        <w:rPr>
          <w:rFonts w:ascii="Arial" w:hAnsi="Arial" w:cs="Arial"/>
          <w:lang w:val="es-MX"/>
        </w:rPr>
        <w:t>muestra la evolución de la tasa de lesiones según la etiología de la lesión para el periodo 2004 – 2010, donde se observa que las tasas para las lesiones interpersonales siempre son las más altas, seguidas de las lesiones intrafamiliares y accidentes de tránsito.</w:t>
      </w:r>
    </w:p>
    <w:p w:rsidR="002A6E8C" w:rsidRDefault="002A6E8C" w:rsidP="005B2D3A">
      <w:pPr>
        <w:jc w:val="both"/>
        <w:rPr>
          <w:rFonts w:ascii="Arial" w:hAnsi="Arial" w:cs="Arial"/>
          <w:lang w:val="es-MX"/>
        </w:rPr>
      </w:pPr>
      <w:r>
        <w:rPr>
          <w:rFonts w:ascii="Arial" w:hAnsi="Arial" w:cs="Arial"/>
          <w:lang w:val="es-MX"/>
        </w:rPr>
        <w:t xml:space="preserve">Ahora,  viendo la información desde otro punto de vista como lo es el crecimiento anual viendo este como la comparación del año 2010 versus el 2004, podemos decir que la etiología que presenta un mayor crecimiento anual en el periodo mencionado en las tasas de lesiones no fatales es la  de lesiones accidentales, siendo este crecimiento del 183.4%, le siguen las lesiones por violencia interpersonal (56.4%) y las de violencia intrafamiliar (39.4%). </w:t>
      </w:r>
    </w:p>
    <w:p w:rsidR="002A6E8C" w:rsidRDefault="002A6E8C" w:rsidP="00CA2512">
      <w:pPr>
        <w:jc w:val="both"/>
        <w:rPr>
          <w:rFonts w:ascii="Arial" w:hAnsi="Arial" w:cs="Arial"/>
          <w:lang w:val="es-MX"/>
        </w:rPr>
      </w:pPr>
      <w:r>
        <w:rPr>
          <w:rFonts w:ascii="Arial" w:hAnsi="Arial" w:cs="Arial"/>
          <w:lang w:val="es-MX"/>
        </w:rPr>
        <w:t>Al igual que la tasa de accidentes de tránsito es la menor de las estudiadas, en cuanto al crecimiento anual en los últimos 6 años analizados es tan sólo del 2% comparada con las demás mencionadas.</w:t>
      </w:r>
    </w:p>
    <w:p w:rsidR="002A6E8C" w:rsidRDefault="002A6E8C" w:rsidP="00CA2512">
      <w:pPr>
        <w:jc w:val="both"/>
        <w:rPr>
          <w:rFonts w:ascii="Arial" w:hAnsi="Arial" w:cs="Arial"/>
          <w:lang w:val="es-MX"/>
        </w:rPr>
      </w:pPr>
      <w:r>
        <w:rPr>
          <w:rFonts w:ascii="Arial" w:hAnsi="Arial" w:cs="Arial"/>
          <w:lang w:val="es-MX"/>
        </w:rPr>
        <w:t>A continuación se presentará en más detalle, las tasas de lesiones no fatales según la etiología de la lesión para el periodo 2004 – 2010. (gráfico izquierdo) y el respectivo crecimiento anual para cada una de ellas (gráfico derecho).</w:t>
      </w:r>
    </w:p>
    <w:p w:rsidR="002A6E8C" w:rsidRDefault="002A6E8C" w:rsidP="00CA2512">
      <w:pPr>
        <w:jc w:val="both"/>
        <w:rPr>
          <w:rFonts w:ascii="Arial" w:hAnsi="Arial" w:cs="Arial"/>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Gráficos 3. Evolución de la Tasa de lesiones no fatales según cada una de las etiologías de la lesión</w:t>
      </w:r>
    </w:p>
    <w:p w:rsidR="002A6E8C" w:rsidRDefault="002A6E8C" w:rsidP="009A00CB">
      <w:pPr>
        <w:rPr>
          <w:rFonts w:ascii="Arial" w:hAnsi="Arial" w:cs="Arial"/>
          <w:bCs/>
          <w:i/>
        </w:rPr>
      </w:pPr>
      <w:r w:rsidRPr="00CA2512">
        <w:rPr>
          <w:rFonts w:ascii="Arial" w:hAnsi="Arial" w:cs="Arial"/>
          <w:i/>
          <w:lang w:val="es-MX"/>
        </w:rPr>
        <w:t xml:space="preserve">3.1. </w:t>
      </w:r>
      <w:r w:rsidRPr="00CA2512">
        <w:rPr>
          <w:rFonts w:ascii="Arial" w:hAnsi="Arial" w:cs="Arial"/>
          <w:bCs/>
          <w:i/>
        </w:rPr>
        <w:t xml:space="preserve">Tasa de lesiones no fatales según Accidentes de </w:t>
      </w:r>
      <w:r>
        <w:rPr>
          <w:rFonts w:ascii="Arial" w:hAnsi="Arial" w:cs="Arial"/>
          <w:bCs/>
          <w:i/>
        </w:rPr>
        <w:t>T</w:t>
      </w:r>
      <w:r w:rsidRPr="00CA2512">
        <w:rPr>
          <w:rFonts w:ascii="Arial" w:hAnsi="Arial" w:cs="Arial"/>
          <w:bCs/>
          <w:i/>
        </w:rPr>
        <w:t>ránsito</w:t>
      </w:r>
    </w:p>
    <w:p w:rsidR="002A6E8C" w:rsidRDefault="002A6E8C" w:rsidP="009A00CB">
      <w:pPr>
        <w:rPr>
          <w:noProof/>
          <w:lang w:val="en-US" w:eastAsia="en-US"/>
        </w:rPr>
        <w:sectPr w:rsidR="002A6E8C" w:rsidSect="006472C8">
          <w:pgSz w:w="12240" w:h="15840" w:code="1"/>
          <w:pgMar w:top="1417" w:right="1701" w:bottom="1417" w:left="1701" w:header="708" w:footer="708" w:gutter="0"/>
          <w:cols w:space="708"/>
          <w:docGrid w:linePitch="360"/>
        </w:sectPr>
      </w:pPr>
    </w:p>
    <w:p w:rsidR="002A6E8C" w:rsidRDefault="008C2FF4" w:rsidP="009A00CB">
      <w:pPr>
        <w:rPr>
          <w:noProof/>
          <w:lang w:val="en-US" w:eastAsia="en-US"/>
        </w:rPr>
      </w:pPr>
      <w:r>
        <w:rPr>
          <w:noProof/>
        </w:rPr>
        <w:lastRenderedPageBreak/>
        <w:drawing>
          <wp:inline distT="0" distB="0" distL="0" distR="0">
            <wp:extent cx="2695575" cy="1600200"/>
            <wp:effectExtent l="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600200"/>
                    </a:xfrm>
                    <a:prstGeom prst="rect">
                      <a:avLst/>
                    </a:prstGeom>
                    <a:noFill/>
                    <a:ln>
                      <a:noFill/>
                    </a:ln>
                  </pic:spPr>
                </pic:pic>
              </a:graphicData>
            </a:graphic>
          </wp:inline>
        </w:drawing>
      </w:r>
    </w:p>
    <w:p w:rsidR="002A6E8C" w:rsidRDefault="008C2FF4" w:rsidP="009A00CB">
      <w:pPr>
        <w:jc w:val="both"/>
        <w:rPr>
          <w:noProof/>
          <w:lang w:val="en-US" w:eastAsia="en-US"/>
        </w:rPr>
      </w:pPr>
      <w:r>
        <w:rPr>
          <w:noProof/>
        </w:rPr>
        <w:lastRenderedPageBreak/>
        <w:drawing>
          <wp:inline distT="0" distB="0" distL="0" distR="0">
            <wp:extent cx="2628900" cy="160020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600200"/>
                    </a:xfrm>
                    <a:prstGeom prst="rect">
                      <a:avLst/>
                    </a:prstGeom>
                    <a:noFill/>
                    <a:ln>
                      <a:noFill/>
                    </a:ln>
                  </pic:spPr>
                </pic:pic>
              </a:graphicData>
            </a:graphic>
          </wp:inline>
        </w:drawing>
      </w:r>
    </w:p>
    <w:p w:rsidR="002A6E8C" w:rsidRDefault="002A6E8C" w:rsidP="009A00CB">
      <w:pPr>
        <w:spacing w:after="0" w:line="240" w:lineRule="auto"/>
        <w:jc w:val="center"/>
        <w:rPr>
          <w:rFonts w:ascii="Arial" w:hAnsi="Arial" w:cs="Arial"/>
          <w:sz w:val="16"/>
          <w:szCs w:val="16"/>
          <w:lang w:val="es-MX"/>
        </w:rPr>
        <w:sectPr w:rsidR="002A6E8C" w:rsidSect="009A00CB">
          <w:type w:val="continuous"/>
          <w:pgSz w:w="12240" w:h="15840" w:code="1"/>
          <w:pgMar w:top="1417" w:right="1701" w:bottom="1417" w:left="1701" w:header="708" w:footer="708" w:gutter="0"/>
          <w:cols w:num="2" w:space="708"/>
          <w:docGrid w:linePitch="360"/>
        </w:sectPr>
      </w:pPr>
    </w:p>
    <w:p w:rsidR="002A6E8C" w:rsidRDefault="002A6E8C" w:rsidP="009A00CB">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3147B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3147B1">
      <w:pPr>
        <w:jc w:val="center"/>
        <w:rPr>
          <w:rFonts w:ascii="Arial" w:hAnsi="Arial" w:cs="Arial"/>
          <w:sz w:val="16"/>
          <w:szCs w:val="16"/>
          <w:lang w:val="es-MX"/>
        </w:rPr>
      </w:pPr>
    </w:p>
    <w:p w:rsidR="002A6E8C" w:rsidRDefault="002A6E8C" w:rsidP="003147B1">
      <w:pPr>
        <w:jc w:val="center"/>
        <w:rPr>
          <w:rFonts w:ascii="Arial" w:hAnsi="Arial" w:cs="Arial"/>
          <w:sz w:val="16"/>
          <w:szCs w:val="16"/>
          <w:lang w:val="es-MX"/>
        </w:rPr>
      </w:pPr>
    </w:p>
    <w:p w:rsidR="002A6E8C" w:rsidRDefault="002A6E8C" w:rsidP="003147B1">
      <w:pPr>
        <w:jc w:val="center"/>
        <w:rPr>
          <w:rFonts w:ascii="Arial" w:hAnsi="Arial" w:cs="Arial"/>
          <w:sz w:val="16"/>
          <w:szCs w:val="16"/>
          <w:lang w:val="es-MX"/>
        </w:rPr>
      </w:pPr>
    </w:p>
    <w:p w:rsidR="002A6E8C" w:rsidRDefault="002A6E8C" w:rsidP="003147B1">
      <w:pPr>
        <w:jc w:val="center"/>
        <w:rPr>
          <w:rFonts w:ascii="Arial" w:hAnsi="Arial" w:cs="Arial"/>
          <w:sz w:val="16"/>
          <w:szCs w:val="16"/>
          <w:lang w:val="es-MX"/>
        </w:rPr>
      </w:pPr>
    </w:p>
    <w:p w:rsidR="002A6E8C" w:rsidRDefault="002A6E8C" w:rsidP="003147B1">
      <w:pPr>
        <w:jc w:val="center"/>
        <w:rPr>
          <w:rFonts w:ascii="Arial" w:hAnsi="Arial" w:cs="Arial"/>
          <w:sz w:val="16"/>
          <w:szCs w:val="16"/>
          <w:lang w:val="es-MX"/>
        </w:rPr>
      </w:pPr>
    </w:p>
    <w:p w:rsidR="002A6E8C" w:rsidRDefault="002A6E8C" w:rsidP="003147B1">
      <w:pPr>
        <w:jc w:val="center"/>
        <w:rPr>
          <w:rFonts w:ascii="Arial" w:hAnsi="Arial" w:cs="Arial"/>
          <w:sz w:val="16"/>
          <w:szCs w:val="16"/>
          <w:lang w:val="es-MX"/>
        </w:rPr>
      </w:pPr>
    </w:p>
    <w:p w:rsidR="002A6E8C" w:rsidRDefault="002A6E8C" w:rsidP="003147B1">
      <w:pPr>
        <w:jc w:val="center"/>
        <w:rPr>
          <w:rFonts w:ascii="Arial" w:hAnsi="Arial" w:cs="Arial"/>
          <w:sz w:val="16"/>
          <w:szCs w:val="16"/>
          <w:lang w:val="es-MX"/>
        </w:rPr>
      </w:pPr>
    </w:p>
    <w:p w:rsidR="002A6E8C" w:rsidRDefault="002A6E8C" w:rsidP="0064416F">
      <w:pPr>
        <w:rPr>
          <w:rFonts w:ascii="Arial" w:hAnsi="Arial" w:cs="Arial"/>
          <w:i/>
          <w:lang w:val="es-MX"/>
        </w:rPr>
        <w:sectPr w:rsidR="002A6E8C" w:rsidSect="009A00CB">
          <w:type w:val="continuous"/>
          <w:pgSz w:w="12240" w:h="15840" w:code="1"/>
          <w:pgMar w:top="1417" w:right="1701" w:bottom="1417" w:left="1701" w:header="708" w:footer="708" w:gutter="0"/>
          <w:cols w:space="708"/>
          <w:docGrid w:linePitch="360"/>
        </w:sectPr>
      </w:pPr>
      <w:r w:rsidRPr="00324717">
        <w:rPr>
          <w:rFonts w:ascii="Arial" w:hAnsi="Arial" w:cs="Arial"/>
          <w:i/>
          <w:lang w:val="es-MX"/>
        </w:rPr>
        <w:lastRenderedPageBreak/>
        <w:t xml:space="preserve">3.2. Tasa de lesiones no fatales según Lesiones Accidentales </w:t>
      </w:r>
    </w:p>
    <w:p w:rsidR="002A6E8C" w:rsidRDefault="008C2FF4" w:rsidP="0064416F">
      <w:r>
        <w:rPr>
          <w:noProof/>
        </w:rPr>
        <w:lastRenderedPageBreak/>
        <w:drawing>
          <wp:inline distT="0" distB="0" distL="0" distR="0">
            <wp:extent cx="2600325" cy="1619250"/>
            <wp:effectExtent l="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325" cy="1619250"/>
                    </a:xfrm>
                    <a:prstGeom prst="rect">
                      <a:avLst/>
                    </a:prstGeom>
                    <a:noFill/>
                    <a:ln>
                      <a:noFill/>
                    </a:ln>
                  </pic:spPr>
                </pic:pic>
              </a:graphicData>
            </a:graphic>
          </wp:inline>
        </w:drawing>
      </w:r>
    </w:p>
    <w:p w:rsidR="002A6E8C" w:rsidRDefault="008C2FF4" w:rsidP="00010D2B">
      <w:pPr>
        <w:jc w:val="center"/>
        <w:rPr>
          <w:rFonts w:ascii="Arial" w:hAnsi="Arial" w:cs="Arial"/>
          <w:sz w:val="16"/>
          <w:szCs w:val="16"/>
          <w:lang w:val="es-MX"/>
        </w:rPr>
      </w:pPr>
      <w:r>
        <w:rPr>
          <w:noProof/>
        </w:rPr>
        <w:lastRenderedPageBreak/>
        <w:drawing>
          <wp:inline distT="0" distB="0" distL="0" distR="0">
            <wp:extent cx="2686050" cy="1609725"/>
            <wp:effectExtent l="0" t="0" r="0" b="952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1609725"/>
                    </a:xfrm>
                    <a:prstGeom prst="rect">
                      <a:avLst/>
                    </a:prstGeom>
                    <a:noFill/>
                    <a:ln>
                      <a:noFill/>
                    </a:ln>
                  </pic:spPr>
                </pic:pic>
              </a:graphicData>
            </a:graphic>
          </wp:inline>
        </w:drawing>
      </w:r>
    </w:p>
    <w:p w:rsidR="002A6E8C" w:rsidRDefault="002A6E8C" w:rsidP="0064416F">
      <w:pPr>
        <w:spacing w:after="0" w:line="240" w:lineRule="auto"/>
        <w:jc w:val="center"/>
        <w:rPr>
          <w:rFonts w:ascii="Arial" w:hAnsi="Arial" w:cs="Arial"/>
          <w:sz w:val="16"/>
          <w:szCs w:val="16"/>
          <w:lang w:val="es-MX"/>
        </w:rPr>
        <w:sectPr w:rsidR="002A6E8C" w:rsidSect="009A00CB">
          <w:type w:val="continuous"/>
          <w:pgSz w:w="12240" w:h="15840" w:code="1"/>
          <w:pgMar w:top="1417" w:right="1701" w:bottom="1417" w:left="1701" w:header="708" w:footer="708" w:gutter="0"/>
          <w:cols w:num="2" w:space="708"/>
          <w:docGrid w:linePitch="360"/>
        </w:sectPr>
      </w:pPr>
    </w:p>
    <w:p w:rsidR="002A6E8C" w:rsidRDefault="002A6E8C" w:rsidP="0064416F">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F46A40">
      <w:pPr>
        <w:rPr>
          <w:rFonts w:ascii="Arial" w:hAnsi="Arial" w:cs="Arial"/>
          <w:i/>
          <w:lang w:val="es-MX"/>
        </w:rPr>
      </w:pPr>
    </w:p>
    <w:p w:rsidR="002A6E8C" w:rsidRDefault="002A6E8C" w:rsidP="009A00CB">
      <w:pPr>
        <w:rPr>
          <w:rFonts w:ascii="Arial" w:hAnsi="Arial" w:cs="Arial"/>
          <w:i/>
          <w:lang w:val="es-MX"/>
        </w:rPr>
      </w:pPr>
      <w:r w:rsidRPr="00324717">
        <w:rPr>
          <w:rFonts w:ascii="Arial" w:hAnsi="Arial" w:cs="Arial"/>
          <w:i/>
          <w:lang w:val="es-MX"/>
        </w:rPr>
        <w:t xml:space="preserve">3.3. Tasa de lesiones no fatales según Lesiones de tipo Sexológico </w:t>
      </w:r>
    </w:p>
    <w:p w:rsidR="002A6E8C" w:rsidRPr="00254703" w:rsidRDefault="002A6E8C" w:rsidP="009A00CB">
      <w:pPr>
        <w:rPr>
          <w:noProof/>
          <w:lang w:val="es-ES" w:eastAsia="en-US"/>
        </w:rPr>
        <w:sectPr w:rsidR="002A6E8C" w:rsidRPr="00254703" w:rsidSect="0064416F">
          <w:type w:val="continuous"/>
          <w:pgSz w:w="12240" w:h="15840" w:code="1"/>
          <w:pgMar w:top="1417" w:right="1701" w:bottom="1417" w:left="1701" w:header="708" w:footer="708" w:gutter="0"/>
          <w:cols w:space="708"/>
          <w:docGrid w:linePitch="360"/>
        </w:sectPr>
      </w:pPr>
    </w:p>
    <w:p w:rsidR="002A6E8C" w:rsidRDefault="008C2FF4" w:rsidP="009A00CB">
      <w:pPr>
        <w:rPr>
          <w:noProof/>
          <w:lang w:val="en-US" w:eastAsia="en-US"/>
        </w:rPr>
      </w:pPr>
      <w:r>
        <w:rPr>
          <w:noProof/>
        </w:rPr>
        <w:lastRenderedPageBreak/>
        <w:drawing>
          <wp:inline distT="0" distB="0" distL="0" distR="0">
            <wp:extent cx="2657475" cy="1609725"/>
            <wp:effectExtent l="0" t="0" r="9525" b="9525"/>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1609725"/>
                    </a:xfrm>
                    <a:prstGeom prst="rect">
                      <a:avLst/>
                    </a:prstGeom>
                    <a:noFill/>
                    <a:ln>
                      <a:noFill/>
                    </a:ln>
                  </pic:spPr>
                </pic:pic>
              </a:graphicData>
            </a:graphic>
          </wp:inline>
        </w:drawing>
      </w:r>
    </w:p>
    <w:p w:rsidR="002A6E8C" w:rsidRDefault="008C2FF4" w:rsidP="003147B1">
      <w:pPr>
        <w:jc w:val="center"/>
        <w:rPr>
          <w:noProof/>
          <w:lang w:eastAsia="es-ES"/>
        </w:rPr>
      </w:pPr>
      <w:r>
        <w:rPr>
          <w:noProof/>
        </w:rPr>
        <w:lastRenderedPageBreak/>
        <w:drawing>
          <wp:inline distT="0" distB="0" distL="0" distR="0">
            <wp:extent cx="2628900" cy="1609725"/>
            <wp:effectExtent l="0" t="0" r="0" b="952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60972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sectPr w:rsidR="002A6E8C" w:rsidSect="009A00CB">
          <w:type w:val="continuous"/>
          <w:pgSz w:w="12240" w:h="15840" w:code="1"/>
          <w:pgMar w:top="1417" w:right="1701" w:bottom="1417" w:left="1701" w:header="708" w:footer="708" w:gutter="0"/>
          <w:cols w:num="2" w:space="708"/>
          <w:docGrid w:linePitch="360"/>
        </w:sectPr>
      </w:pP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3147B1">
      <w:pPr>
        <w:jc w:val="center"/>
        <w:rPr>
          <w:rFonts w:ascii="Arial" w:hAnsi="Arial" w:cs="Arial"/>
          <w:b/>
          <w:i/>
          <w:sz w:val="24"/>
          <w:szCs w:val="24"/>
          <w:lang w:val="es-MX"/>
        </w:rPr>
      </w:pPr>
    </w:p>
    <w:p w:rsidR="002A6E8C" w:rsidRPr="00324717" w:rsidRDefault="002A6E8C" w:rsidP="00F46A40">
      <w:pPr>
        <w:rPr>
          <w:rFonts w:ascii="Arial" w:hAnsi="Arial" w:cs="Arial"/>
          <w:i/>
          <w:lang w:val="es-MX"/>
        </w:rPr>
      </w:pPr>
      <w:r w:rsidRPr="00324717">
        <w:rPr>
          <w:rFonts w:ascii="Arial" w:hAnsi="Arial" w:cs="Arial"/>
          <w:i/>
          <w:lang w:val="es-MX"/>
        </w:rPr>
        <w:t xml:space="preserve">3.4. Tasa de lesiones no fatales según Lesiones por Violencia Interpersonal </w:t>
      </w:r>
    </w:p>
    <w:p w:rsidR="002A6E8C" w:rsidRDefault="002A6E8C" w:rsidP="003147B1">
      <w:pPr>
        <w:jc w:val="center"/>
        <w:rPr>
          <w:noProof/>
          <w:lang w:eastAsia="es-ES"/>
        </w:rPr>
        <w:sectPr w:rsidR="002A6E8C" w:rsidSect="0064416F">
          <w:type w:val="continuous"/>
          <w:pgSz w:w="12240" w:h="15840" w:code="1"/>
          <w:pgMar w:top="1417" w:right="1701" w:bottom="1417" w:left="1701" w:header="708" w:footer="708" w:gutter="0"/>
          <w:cols w:space="708"/>
          <w:docGrid w:linePitch="360"/>
        </w:sectPr>
      </w:pPr>
    </w:p>
    <w:p w:rsidR="002A6E8C" w:rsidRDefault="008C2FF4" w:rsidP="003147B1">
      <w:pPr>
        <w:jc w:val="center"/>
        <w:rPr>
          <w:noProof/>
          <w:lang w:eastAsia="es-ES"/>
        </w:rPr>
      </w:pPr>
      <w:r>
        <w:rPr>
          <w:noProof/>
        </w:rPr>
        <w:lastRenderedPageBreak/>
        <w:drawing>
          <wp:inline distT="0" distB="0" distL="0" distR="0">
            <wp:extent cx="2619375" cy="1600200"/>
            <wp:effectExtent l="0" t="0" r="9525"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600200"/>
                    </a:xfrm>
                    <a:prstGeom prst="rect">
                      <a:avLst/>
                    </a:prstGeom>
                    <a:noFill/>
                    <a:ln>
                      <a:noFill/>
                    </a:ln>
                  </pic:spPr>
                </pic:pic>
              </a:graphicData>
            </a:graphic>
          </wp:inline>
        </w:drawing>
      </w:r>
    </w:p>
    <w:p w:rsidR="002A6E8C" w:rsidRDefault="008C2FF4" w:rsidP="003147B1">
      <w:pPr>
        <w:jc w:val="center"/>
        <w:rPr>
          <w:noProof/>
          <w:lang w:eastAsia="es-ES"/>
        </w:rPr>
      </w:pPr>
      <w:r>
        <w:rPr>
          <w:noProof/>
        </w:rPr>
        <w:lastRenderedPageBreak/>
        <w:drawing>
          <wp:inline distT="0" distB="0" distL="0" distR="0">
            <wp:extent cx="2590800" cy="1600200"/>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1600200"/>
                    </a:xfrm>
                    <a:prstGeom prst="rect">
                      <a:avLst/>
                    </a:prstGeom>
                    <a:noFill/>
                    <a:ln>
                      <a:noFill/>
                    </a:ln>
                  </pic:spPr>
                </pic:pic>
              </a:graphicData>
            </a:graphic>
          </wp:inline>
        </w:drawing>
      </w:r>
    </w:p>
    <w:p w:rsidR="002A6E8C" w:rsidRDefault="002A6E8C" w:rsidP="003147B1">
      <w:pPr>
        <w:jc w:val="center"/>
        <w:rPr>
          <w:noProof/>
          <w:lang w:eastAsia="es-ES"/>
        </w:rPr>
        <w:sectPr w:rsidR="002A6E8C" w:rsidSect="0064416F">
          <w:type w:val="continuous"/>
          <w:pgSz w:w="12240" w:h="15840" w:code="1"/>
          <w:pgMar w:top="1417" w:right="1701" w:bottom="1417" w:left="1701" w:header="708" w:footer="708" w:gutter="0"/>
          <w:cols w:num="2" w:space="708"/>
          <w:docGrid w:linePitch="360"/>
        </w:sectPr>
      </w:pP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3147B1">
      <w:pPr>
        <w:jc w:val="center"/>
        <w:rPr>
          <w:rFonts w:ascii="Arial" w:hAnsi="Arial" w:cs="Arial"/>
          <w:b/>
          <w:i/>
          <w:sz w:val="24"/>
          <w:szCs w:val="24"/>
          <w:lang w:val="es-MX"/>
        </w:rPr>
      </w:pPr>
    </w:p>
    <w:p w:rsidR="002A6E8C" w:rsidRDefault="002A6E8C" w:rsidP="003147B1">
      <w:pPr>
        <w:jc w:val="center"/>
        <w:rPr>
          <w:rFonts w:ascii="Arial" w:hAnsi="Arial" w:cs="Arial"/>
          <w:b/>
          <w:i/>
          <w:sz w:val="24"/>
          <w:szCs w:val="24"/>
          <w:lang w:val="es-MX"/>
        </w:rPr>
      </w:pPr>
    </w:p>
    <w:p w:rsidR="002A6E8C" w:rsidRPr="00324717" w:rsidRDefault="002A6E8C" w:rsidP="00F46A40">
      <w:pPr>
        <w:rPr>
          <w:rFonts w:ascii="Arial" w:hAnsi="Arial" w:cs="Arial"/>
          <w:i/>
          <w:lang w:val="es-MX"/>
        </w:rPr>
      </w:pPr>
      <w:r w:rsidRPr="00324717">
        <w:rPr>
          <w:rFonts w:ascii="Arial" w:hAnsi="Arial" w:cs="Arial"/>
          <w:i/>
          <w:lang w:val="es-MX"/>
        </w:rPr>
        <w:lastRenderedPageBreak/>
        <w:t xml:space="preserve">3.5. Tasa de lesiones no fatales según Lesiones por Violencia Intrafamiliar </w:t>
      </w:r>
    </w:p>
    <w:p w:rsidR="002A6E8C" w:rsidRDefault="002A6E8C" w:rsidP="003147B1">
      <w:pPr>
        <w:jc w:val="center"/>
        <w:rPr>
          <w:noProof/>
          <w:lang w:val="es-MX" w:eastAsia="es-ES"/>
        </w:rPr>
        <w:sectPr w:rsidR="002A6E8C" w:rsidSect="0064416F">
          <w:type w:val="continuous"/>
          <w:pgSz w:w="12240" w:h="15840" w:code="1"/>
          <w:pgMar w:top="1417" w:right="1701" w:bottom="1417" w:left="1701" w:header="708" w:footer="708" w:gutter="0"/>
          <w:cols w:space="708"/>
          <w:docGrid w:linePitch="360"/>
        </w:sectPr>
      </w:pPr>
    </w:p>
    <w:p w:rsidR="002A6E8C" w:rsidRDefault="008C2FF4" w:rsidP="00E67E07">
      <w:pPr>
        <w:jc w:val="center"/>
        <w:rPr>
          <w:noProof/>
          <w:lang w:val="es-MX" w:eastAsia="es-ES"/>
        </w:rPr>
      </w:pPr>
      <w:r>
        <w:rPr>
          <w:noProof/>
        </w:rPr>
        <w:lastRenderedPageBreak/>
        <w:drawing>
          <wp:inline distT="0" distB="0" distL="0" distR="0">
            <wp:extent cx="2628900" cy="1533525"/>
            <wp:effectExtent l="0" t="0" r="0" b="9525"/>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1533525"/>
                    </a:xfrm>
                    <a:prstGeom prst="rect">
                      <a:avLst/>
                    </a:prstGeom>
                    <a:noFill/>
                    <a:ln>
                      <a:noFill/>
                    </a:ln>
                  </pic:spPr>
                </pic:pic>
              </a:graphicData>
            </a:graphic>
          </wp:inline>
        </w:drawing>
      </w:r>
    </w:p>
    <w:p w:rsidR="002A6E8C" w:rsidRDefault="008C2FF4" w:rsidP="003147B1">
      <w:pPr>
        <w:jc w:val="center"/>
        <w:rPr>
          <w:noProof/>
          <w:lang w:val="es-MX" w:eastAsia="es-ES"/>
        </w:rPr>
      </w:pPr>
      <w:r>
        <w:rPr>
          <w:noProof/>
        </w:rPr>
        <w:lastRenderedPageBreak/>
        <w:drawing>
          <wp:inline distT="0" distB="0" distL="0" distR="0">
            <wp:extent cx="2543175" cy="1533525"/>
            <wp:effectExtent l="0" t="0" r="9525" b="9525"/>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533525"/>
                    </a:xfrm>
                    <a:prstGeom prst="rect">
                      <a:avLst/>
                    </a:prstGeom>
                    <a:noFill/>
                    <a:ln>
                      <a:noFill/>
                    </a:ln>
                  </pic:spPr>
                </pic:pic>
              </a:graphicData>
            </a:graphic>
          </wp:inline>
        </w:drawing>
      </w:r>
    </w:p>
    <w:p w:rsidR="002A6E8C" w:rsidRDefault="002A6E8C" w:rsidP="003147B1">
      <w:pPr>
        <w:jc w:val="center"/>
        <w:rPr>
          <w:noProof/>
          <w:lang w:val="es-MX" w:eastAsia="es-ES"/>
        </w:rPr>
        <w:sectPr w:rsidR="002A6E8C" w:rsidSect="0064416F">
          <w:type w:val="continuous"/>
          <w:pgSz w:w="12240" w:h="15840" w:code="1"/>
          <w:pgMar w:top="1417" w:right="1701" w:bottom="1417" w:left="1701" w:header="708" w:footer="708" w:gutter="0"/>
          <w:cols w:num="2" w:space="708"/>
          <w:docGrid w:linePitch="360"/>
        </w:sectPr>
      </w:pP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D85136">
      <w:pPr>
        <w:spacing w:after="0" w:line="240" w:lineRule="auto"/>
        <w:jc w:val="both"/>
        <w:rPr>
          <w:rFonts w:ascii="Arial" w:hAnsi="Arial" w:cs="Arial"/>
          <w:lang w:eastAsia="es-ES"/>
        </w:rPr>
      </w:pPr>
    </w:p>
    <w:p w:rsidR="002A6E8C" w:rsidRDefault="002A6E8C" w:rsidP="00D85136">
      <w:pPr>
        <w:spacing w:after="0" w:line="240" w:lineRule="auto"/>
        <w:jc w:val="both"/>
        <w:rPr>
          <w:rFonts w:ascii="Arial" w:hAnsi="Arial" w:cs="Arial"/>
          <w:lang w:eastAsia="es-ES"/>
        </w:rPr>
      </w:pPr>
      <w:r>
        <w:rPr>
          <w:rFonts w:ascii="Arial" w:hAnsi="Arial" w:cs="Arial"/>
          <w:lang w:eastAsia="es-ES"/>
        </w:rPr>
        <w:t>Se graficaron también las distribuciones del n</w:t>
      </w:r>
      <w:r w:rsidRPr="00996E99">
        <w:rPr>
          <w:rFonts w:ascii="Arial" w:hAnsi="Arial" w:cs="Arial"/>
          <w:lang w:eastAsia="es-ES"/>
        </w:rPr>
        <w:t>úmero de lesiones no fatales según etiología de l</w:t>
      </w:r>
      <w:r>
        <w:rPr>
          <w:rFonts w:ascii="Arial" w:hAnsi="Arial" w:cs="Arial"/>
          <w:lang w:eastAsia="es-ES"/>
        </w:rPr>
        <w:t xml:space="preserve">a lesión por 100.000 habitantes. </w:t>
      </w:r>
    </w:p>
    <w:p w:rsidR="002A6E8C" w:rsidRDefault="002A6E8C" w:rsidP="00D85136">
      <w:pPr>
        <w:spacing w:after="0" w:line="240" w:lineRule="auto"/>
        <w:jc w:val="both"/>
        <w:rPr>
          <w:rFonts w:ascii="Arial" w:hAnsi="Arial" w:cs="Arial"/>
          <w:lang w:eastAsia="es-ES"/>
        </w:rPr>
      </w:pPr>
    </w:p>
    <w:p w:rsidR="002A6E8C" w:rsidRDefault="002A6E8C" w:rsidP="00937508">
      <w:pPr>
        <w:spacing w:after="0" w:line="240" w:lineRule="auto"/>
        <w:rPr>
          <w:rFonts w:ascii="Arial" w:hAnsi="Arial" w:cs="Arial"/>
          <w:i/>
          <w:lang w:val="es-MX"/>
        </w:rPr>
      </w:pPr>
      <w:r w:rsidRPr="00324717">
        <w:rPr>
          <w:rFonts w:ascii="Arial" w:hAnsi="Arial" w:cs="Arial"/>
          <w:i/>
          <w:lang w:val="es-MX"/>
        </w:rPr>
        <w:t>Evolución del Total de Lesiones no Fatales por Accidentes de Tránsito</w:t>
      </w:r>
    </w:p>
    <w:p w:rsidR="002A6E8C" w:rsidRDefault="002A6E8C" w:rsidP="00937508">
      <w:pPr>
        <w:spacing w:after="0" w:line="240" w:lineRule="auto"/>
        <w:rPr>
          <w:rFonts w:ascii="Arial" w:hAnsi="Arial" w:cs="Arial"/>
          <w:i/>
          <w:lang w:val="es-MX"/>
        </w:rPr>
      </w:pPr>
    </w:p>
    <w:p w:rsidR="002A6E8C" w:rsidRDefault="008C2FF4" w:rsidP="00937508">
      <w:pPr>
        <w:spacing w:after="0" w:line="240" w:lineRule="auto"/>
        <w:jc w:val="center"/>
        <w:rPr>
          <w:rFonts w:ascii="Arial" w:hAnsi="Arial" w:cs="Arial"/>
          <w:i/>
          <w:lang w:val="es-MX"/>
        </w:rPr>
      </w:pPr>
      <w:r>
        <w:rPr>
          <w:noProof/>
        </w:rPr>
        <w:drawing>
          <wp:inline distT="0" distB="0" distL="0" distR="0">
            <wp:extent cx="4029075" cy="1933575"/>
            <wp:effectExtent l="0" t="0" r="9525" b="9525"/>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9075" cy="1933575"/>
                    </a:xfrm>
                    <a:prstGeom prst="rect">
                      <a:avLst/>
                    </a:prstGeom>
                    <a:noFill/>
                    <a:ln>
                      <a:noFill/>
                    </a:ln>
                  </pic:spPr>
                </pic:pic>
              </a:graphicData>
            </a:graphic>
          </wp:inline>
        </w:drawing>
      </w:r>
    </w:p>
    <w:p w:rsidR="002A6E8C" w:rsidRDefault="002A6E8C" w:rsidP="00937508">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937508">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937508">
      <w:pPr>
        <w:spacing w:after="0" w:line="240" w:lineRule="auto"/>
        <w:rPr>
          <w:rFonts w:ascii="Arial" w:hAnsi="Arial" w:cs="Arial"/>
          <w:i/>
          <w:lang w:val="es-MX"/>
        </w:rPr>
      </w:pPr>
    </w:p>
    <w:p w:rsidR="002A6E8C" w:rsidRPr="00324717" w:rsidRDefault="002A6E8C" w:rsidP="00937508">
      <w:pPr>
        <w:spacing w:after="0" w:line="240" w:lineRule="auto"/>
        <w:rPr>
          <w:rFonts w:ascii="Arial" w:hAnsi="Arial" w:cs="Arial"/>
          <w:i/>
          <w:lang w:val="es-MX"/>
        </w:rPr>
      </w:pPr>
      <w:r w:rsidRPr="00324717">
        <w:rPr>
          <w:rFonts w:ascii="Arial" w:hAnsi="Arial" w:cs="Arial"/>
          <w:i/>
          <w:lang w:val="es-MX"/>
        </w:rPr>
        <w:t>Evolución del Total de Lesiones no Fatales por Lesiones Accidentales</w:t>
      </w:r>
    </w:p>
    <w:p w:rsidR="002A6E8C" w:rsidRPr="000B39F1" w:rsidRDefault="008C2FF4" w:rsidP="00937508">
      <w:pPr>
        <w:spacing w:after="0" w:line="240" w:lineRule="auto"/>
        <w:jc w:val="center"/>
        <w:rPr>
          <w:rFonts w:ascii="Arial" w:hAnsi="Arial" w:cs="Arial"/>
          <w:sz w:val="24"/>
          <w:szCs w:val="24"/>
          <w:lang w:val="es-MX"/>
        </w:rPr>
      </w:pPr>
      <w:r>
        <w:rPr>
          <w:noProof/>
          <w:szCs w:val="24"/>
        </w:rPr>
        <w:drawing>
          <wp:inline distT="0" distB="0" distL="0" distR="0">
            <wp:extent cx="4029075" cy="1876425"/>
            <wp:effectExtent l="0" t="0" r="9525" b="9525"/>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075" cy="187642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6859FD">
      <w:pPr>
        <w:rPr>
          <w:rFonts w:ascii="Arial" w:hAnsi="Arial" w:cs="Arial"/>
          <w:i/>
          <w:lang w:val="es-MX"/>
        </w:rPr>
      </w:pPr>
    </w:p>
    <w:p w:rsidR="002A6E8C" w:rsidRPr="00324717" w:rsidRDefault="002A6E8C" w:rsidP="006859FD">
      <w:pPr>
        <w:rPr>
          <w:rFonts w:ascii="Arial" w:hAnsi="Arial" w:cs="Arial"/>
          <w:i/>
          <w:lang w:val="es-MX"/>
        </w:rPr>
      </w:pPr>
      <w:r w:rsidRPr="00324717">
        <w:rPr>
          <w:rFonts w:ascii="Arial" w:hAnsi="Arial" w:cs="Arial"/>
          <w:i/>
          <w:lang w:val="es-MX"/>
        </w:rPr>
        <w:lastRenderedPageBreak/>
        <w:t>Evolución del Total de Lesiones no Fatales según etiologías de tipo Sexológico</w:t>
      </w:r>
    </w:p>
    <w:p w:rsidR="002A6E8C" w:rsidRPr="000B39F1" w:rsidRDefault="008C2FF4" w:rsidP="00CF3479">
      <w:pPr>
        <w:spacing w:after="120"/>
        <w:jc w:val="center"/>
        <w:rPr>
          <w:rFonts w:ascii="Arial" w:hAnsi="Arial" w:cs="Arial"/>
          <w:sz w:val="24"/>
          <w:szCs w:val="24"/>
          <w:lang w:val="es-MX"/>
        </w:rPr>
      </w:pPr>
      <w:r>
        <w:rPr>
          <w:noProof/>
          <w:szCs w:val="24"/>
        </w:rPr>
        <w:drawing>
          <wp:inline distT="0" distB="0" distL="0" distR="0">
            <wp:extent cx="3886200" cy="2152650"/>
            <wp:effectExtent l="0" t="0" r="0" b="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200" cy="21526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F46A40">
      <w:pPr>
        <w:rPr>
          <w:rFonts w:ascii="Arial" w:hAnsi="Arial" w:cs="Arial"/>
          <w:i/>
          <w:lang w:val="es-MX"/>
        </w:rPr>
      </w:pPr>
      <w:r w:rsidRPr="00324717">
        <w:rPr>
          <w:rFonts w:ascii="Arial" w:hAnsi="Arial" w:cs="Arial"/>
          <w:i/>
          <w:lang w:val="es-MX"/>
        </w:rPr>
        <w:t xml:space="preserve">Evolución del Total de Lesiones no Fatales por Violencia Interpersonal </w:t>
      </w:r>
    </w:p>
    <w:p w:rsidR="002A6E8C" w:rsidRPr="00324717" w:rsidRDefault="008C2FF4" w:rsidP="00CF3479">
      <w:pPr>
        <w:spacing w:after="120"/>
        <w:jc w:val="center"/>
        <w:rPr>
          <w:rFonts w:ascii="Arial" w:hAnsi="Arial" w:cs="Arial"/>
          <w:i/>
          <w:lang w:val="es-MX"/>
        </w:rPr>
      </w:pPr>
      <w:r>
        <w:rPr>
          <w:noProof/>
        </w:rPr>
        <w:drawing>
          <wp:inline distT="0" distB="0" distL="0" distR="0">
            <wp:extent cx="3781425" cy="2124075"/>
            <wp:effectExtent l="0" t="0" r="9525" b="9525"/>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1425" cy="21240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0B39F1">
      <w:pPr>
        <w:rPr>
          <w:rFonts w:ascii="Arial" w:hAnsi="Arial" w:cs="Arial"/>
          <w:i/>
          <w:lang w:val="es-MX"/>
        </w:rPr>
      </w:pPr>
      <w:r w:rsidRPr="00324717">
        <w:rPr>
          <w:rFonts w:ascii="Arial" w:hAnsi="Arial" w:cs="Arial"/>
          <w:i/>
          <w:lang w:val="es-MX"/>
        </w:rPr>
        <w:lastRenderedPageBreak/>
        <w:t>Evolución del Total de Lesiones no Fatales por Violencia Intrafamiliar</w:t>
      </w:r>
    </w:p>
    <w:p w:rsidR="002A6E8C" w:rsidRDefault="008C2FF4" w:rsidP="00CF3479">
      <w:pPr>
        <w:spacing w:after="120"/>
        <w:jc w:val="center"/>
        <w:rPr>
          <w:rFonts w:ascii="Arial" w:hAnsi="Arial" w:cs="Arial"/>
          <w:sz w:val="24"/>
          <w:szCs w:val="24"/>
          <w:lang w:val="es-MX"/>
        </w:rPr>
      </w:pPr>
      <w:r>
        <w:rPr>
          <w:noProof/>
          <w:szCs w:val="24"/>
        </w:rPr>
        <w:drawing>
          <wp:inline distT="0" distB="0" distL="0" distR="0">
            <wp:extent cx="4029075" cy="2238375"/>
            <wp:effectExtent l="0" t="0" r="9525" b="9525"/>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9075" cy="22383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Pr="005D0C51" w:rsidRDefault="002A6E8C" w:rsidP="00471C64">
      <w:pPr>
        <w:pStyle w:val="Ttulo2"/>
        <w:numPr>
          <w:ilvl w:val="1"/>
          <w:numId w:val="10"/>
        </w:numPr>
        <w:jc w:val="both"/>
        <w:rPr>
          <w:color w:val="auto"/>
          <w:lang w:eastAsia="es-ES"/>
        </w:rPr>
      </w:pPr>
      <w:bookmarkStart w:id="3" w:name="_Toc315681372"/>
      <w:r w:rsidRPr="005D0C51">
        <w:rPr>
          <w:color w:val="auto"/>
          <w:lang w:eastAsia="es-ES"/>
        </w:rPr>
        <w:t>Participación de los homicidios en el total de muertes violentas</w:t>
      </w:r>
      <w:bookmarkEnd w:id="3"/>
    </w:p>
    <w:p w:rsidR="002A6E8C" w:rsidRDefault="002A6E8C" w:rsidP="00D85136">
      <w:pPr>
        <w:jc w:val="both"/>
        <w:rPr>
          <w:rFonts w:ascii="Arial" w:hAnsi="Arial" w:cs="Arial"/>
          <w:lang w:val="es-MX"/>
        </w:rPr>
      </w:pPr>
    </w:p>
    <w:p w:rsidR="002A6E8C" w:rsidRDefault="002A6E8C" w:rsidP="00D85136">
      <w:pPr>
        <w:jc w:val="both"/>
        <w:rPr>
          <w:rFonts w:ascii="Arial" w:hAnsi="Arial" w:cs="Arial"/>
          <w:lang w:val="es-MX"/>
        </w:rPr>
      </w:pPr>
      <w:r w:rsidRPr="00946333">
        <w:rPr>
          <w:rFonts w:ascii="Arial" w:hAnsi="Arial" w:cs="Arial"/>
          <w:lang w:val="es-MX"/>
        </w:rPr>
        <w:t>De acuerdo a la definición de homicidio tomada por el INML</w:t>
      </w:r>
      <w:r>
        <w:rPr>
          <w:rStyle w:val="Refdenotaalpie"/>
          <w:rFonts w:ascii="Arial" w:hAnsi="Arial" w:cs="Arial"/>
          <w:lang w:val="es-MX"/>
        </w:rPr>
        <w:footnoteReference w:id="2"/>
      </w:r>
      <w:r w:rsidRPr="00946333">
        <w:rPr>
          <w:rFonts w:ascii="Arial" w:hAnsi="Arial" w:cs="Arial"/>
          <w:lang w:val="es-MX"/>
        </w:rPr>
        <w:t xml:space="preserve">,  </w:t>
      </w:r>
      <w:r>
        <w:rPr>
          <w:rFonts w:ascii="Arial" w:hAnsi="Arial" w:cs="Arial"/>
          <w:lang w:val="es-MX"/>
        </w:rPr>
        <w:t>para este  indicador se tiene en cuenta el total de homicidios en el año según el total de muertes violentas. En el grafico 1, evidencia la distribución de este indicador desde 2004 hasta 2010.</w:t>
      </w:r>
    </w:p>
    <w:p w:rsidR="002A6E8C" w:rsidRPr="00F67175" w:rsidRDefault="002A6E8C" w:rsidP="00F67175">
      <w:pPr>
        <w:spacing w:after="0" w:line="240" w:lineRule="auto"/>
        <w:jc w:val="center"/>
        <w:rPr>
          <w:rFonts w:ascii="Arial" w:hAnsi="Arial" w:cs="Arial"/>
          <w:sz w:val="16"/>
          <w:szCs w:val="16"/>
          <w:lang w:val="es-MX"/>
        </w:rPr>
      </w:pPr>
    </w:p>
    <w:p w:rsidR="002A6E8C" w:rsidRPr="00F67175" w:rsidRDefault="002A6E8C" w:rsidP="00F67175">
      <w:pPr>
        <w:spacing w:after="0" w:line="240" w:lineRule="auto"/>
        <w:jc w:val="center"/>
        <w:rPr>
          <w:rFonts w:ascii="Arial" w:hAnsi="Arial" w:cs="Arial"/>
          <w:sz w:val="16"/>
          <w:szCs w:val="16"/>
          <w:lang w:val="es-MX"/>
        </w:rPr>
      </w:pPr>
    </w:p>
    <w:p w:rsidR="002A6E8C" w:rsidRDefault="002A6E8C" w:rsidP="003A34CA">
      <w:pPr>
        <w:jc w:val="both"/>
        <w:rPr>
          <w:rFonts w:ascii="Arial" w:hAnsi="Arial" w:cs="Arial"/>
          <w:b/>
          <w:bCs/>
          <w:sz w:val="20"/>
          <w:szCs w:val="20"/>
          <w:lang w:val="es-MX"/>
        </w:rPr>
      </w:pPr>
      <w:r w:rsidRPr="003A34CA">
        <w:rPr>
          <w:rFonts w:ascii="Arial" w:hAnsi="Arial" w:cs="Arial"/>
          <w:b/>
          <w:bCs/>
          <w:sz w:val="20"/>
          <w:szCs w:val="20"/>
          <w:lang w:val="es-MX"/>
        </w:rPr>
        <w:t>Grafico 1. Participación de los homicidios en el total de muertes violentas</w:t>
      </w:r>
    </w:p>
    <w:p w:rsidR="002A6E8C" w:rsidRPr="003A34CA" w:rsidRDefault="008C2FF4" w:rsidP="00254703">
      <w:pPr>
        <w:spacing w:after="120"/>
        <w:jc w:val="center"/>
        <w:rPr>
          <w:rFonts w:ascii="Arial" w:hAnsi="Arial" w:cs="Arial"/>
          <w:b/>
          <w:bCs/>
          <w:sz w:val="20"/>
          <w:szCs w:val="20"/>
          <w:lang w:val="es-MX"/>
        </w:rPr>
      </w:pPr>
      <w:r>
        <w:rPr>
          <w:noProof/>
          <w:szCs w:val="20"/>
        </w:rPr>
        <w:drawing>
          <wp:inline distT="0" distB="0" distL="0" distR="0">
            <wp:extent cx="4572000" cy="2343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3431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D85136">
      <w:pPr>
        <w:jc w:val="both"/>
        <w:rPr>
          <w:rFonts w:ascii="Arial" w:hAnsi="Arial" w:cs="Arial"/>
          <w:lang w:val="es-MX"/>
        </w:rPr>
      </w:pPr>
      <w:r w:rsidRPr="00724F7B">
        <w:rPr>
          <w:rFonts w:ascii="Arial" w:hAnsi="Arial" w:cs="Arial"/>
          <w:lang w:val="es-MX"/>
        </w:rPr>
        <w:lastRenderedPageBreak/>
        <w:t>En la tabla 1, se presentan los valores absolutos por año y el crecimiento anual de las variables tenidas en cuenta para la generación del porcentaje de participación</w:t>
      </w:r>
      <w:r>
        <w:rPr>
          <w:rFonts w:ascii="Arial" w:hAnsi="Arial" w:cs="Arial"/>
          <w:lang w:val="es-MX"/>
        </w:rPr>
        <w:t xml:space="preserve"> </w:t>
      </w:r>
      <w:r w:rsidRPr="00724F7B">
        <w:rPr>
          <w:rFonts w:ascii="Arial" w:hAnsi="Arial" w:cs="Arial"/>
          <w:lang w:val="es-MX"/>
        </w:rPr>
        <w:t>comentado anteriormente.</w:t>
      </w:r>
      <w:r>
        <w:rPr>
          <w:rFonts w:ascii="Arial" w:hAnsi="Arial" w:cs="Arial"/>
          <w:lang w:val="es-MX"/>
        </w:rPr>
        <w:t xml:space="preserve">  También se presenta gráficamente la evolución del total de homicidios durante los años 2004 a 2010 y la evolución del total de muertes violentas en el mismo periodo.</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Tabla 1. Valores absolutos y Porcentaje de Crecimiento Anual de las variables del indicador.</w:t>
      </w:r>
    </w:p>
    <w:tbl>
      <w:tblPr>
        <w:tblW w:w="8120" w:type="dxa"/>
        <w:jc w:val="center"/>
        <w:tblCellMar>
          <w:left w:w="70" w:type="dxa"/>
          <w:right w:w="70" w:type="dxa"/>
        </w:tblCellMar>
        <w:tblLook w:val="00A0" w:firstRow="1" w:lastRow="0" w:firstColumn="1" w:lastColumn="0" w:noHBand="0" w:noVBand="0"/>
      </w:tblPr>
      <w:tblGrid>
        <w:gridCol w:w="1200"/>
        <w:gridCol w:w="1200"/>
        <w:gridCol w:w="1200"/>
        <w:gridCol w:w="1440"/>
        <w:gridCol w:w="1580"/>
        <w:gridCol w:w="1500"/>
      </w:tblGrid>
      <w:tr w:rsidR="002A6E8C" w:rsidRPr="00475313" w:rsidTr="00724F7B">
        <w:trPr>
          <w:trHeight w:val="1095"/>
          <w:jc w:val="center"/>
        </w:trPr>
        <w:tc>
          <w:tcPr>
            <w:tcW w:w="12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2A6E8C" w:rsidRPr="00724F7B" w:rsidRDefault="002A6E8C" w:rsidP="00724F7B">
            <w:pPr>
              <w:spacing w:after="0" w:line="240" w:lineRule="auto"/>
              <w:jc w:val="center"/>
              <w:rPr>
                <w:rFonts w:ascii="Arial" w:hAnsi="Arial" w:cs="Arial"/>
                <w:b/>
                <w:bCs/>
                <w:sz w:val="18"/>
                <w:szCs w:val="18"/>
                <w:lang w:eastAsia="es-ES"/>
              </w:rPr>
            </w:pPr>
            <w:r w:rsidRPr="00724F7B">
              <w:rPr>
                <w:rFonts w:ascii="Arial" w:hAnsi="Arial" w:cs="Arial"/>
                <w:b/>
                <w:bCs/>
                <w:sz w:val="18"/>
                <w:szCs w:val="18"/>
                <w:lang w:eastAsia="es-ES"/>
              </w:rPr>
              <w:t>Año</w:t>
            </w:r>
          </w:p>
        </w:tc>
        <w:tc>
          <w:tcPr>
            <w:tcW w:w="1200" w:type="dxa"/>
            <w:tcBorders>
              <w:top w:val="single" w:sz="4" w:space="0" w:color="auto"/>
              <w:left w:val="nil"/>
              <w:bottom w:val="single" w:sz="4" w:space="0" w:color="auto"/>
              <w:right w:val="single" w:sz="4" w:space="0" w:color="auto"/>
            </w:tcBorders>
            <w:shd w:val="clear" w:color="000000" w:fill="D8D8D8"/>
            <w:vAlign w:val="center"/>
          </w:tcPr>
          <w:p w:rsidR="002A6E8C" w:rsidRPr="00724F7B" w:rsidRDefault="002A6E8C" w:rsidP="00724F7B">
            <w:pPr>
              <w:spacing w:after="0" w:line="240" w:lineRule="auto"/>
              <w:jc w:val="center"/>
              <w:rPr>
                <w:rFonts w:ascii="Arial" w:hAnsi="Arial" w:cs="Arial"/>
                <w:b/>
                <w:bCs/>
                <w:sz w:val="18"/>
                <w:szCs w:val="18"/>
                <w:lang w:eastAsia="es-ES"/>
              </w:rPr>
            </w:pPr>
            <w:r w:rsidRPr="00724F7B">
              <w:rPr>
                <w:rFonts w:ascii="Arial" w:hAnsi="Arial" w:cs="Arial"/>
                <w:b/>
                <w:bCs/>
                <w:sz w:val="18"/>
                <w:szCs w:val="18"/>
                <w:lang w:eastAsia="es-ES"/>
              </w:rPr>
              <w:t>Total de homicidios</w:t>
            </w:r>
          </w:p>
        </w:tc>
        <w:tc>
          <w:tcPr>
            <w:tcW w:w="1200" w:type="dxa"/>
            <w:tcBorders>
              <w:top w:val="single" w:sz="4" w:space="0" w:color="auto"/>
              <w:left w:val="nil"/>
              <w:bottom w:val="single" w:sz="4" w:space="0" w:color="auto"/>
              <w:right w:val="single" w:sz="4" w:space="0" w:color="auto"/>
            </w:tcBorders>
            <w:shd w:val="clear" w:color="000000" w:fill="D8D8D8"/>
            <w:vAlign w:val="center"/>
          </w:tcPr>
          <w:p w:rsidR="002A6E8C" w:rsidRPr="00724F7B" w:rsidRDefault="002A6E8C" w:rsidP="00724F7B">
            <w:pPr>
              <w:spacing w:after="0" w:line="240" w:lineRule="auto"/>
              <w:jc w:val="center"/>
              <w:rPr>
                <w:rFonts w:ascii="Arial" w:hAnsi="Arial" w:cs="Arial"/>
                <w:b/>
                <w:bCs/>
                <w:sz w:val="18"/>
                <w:szCs w:val="18"/>
                <w:lang w:eastAsia="es-ES"/>
              </w:rPr>
            </w:pPr>
            <w:r w:rsidRPr="00724F7B">
              <w:rPr>
                <w:rFonts w:ascii="Arial" w:hAnsi="Arial" w:cs="Arial"/>
                <w:b/>
                <w:bCs/>
                <w:sz w:val="18"/>
                <w:szCs w:val="18"/>
                <w:lang w:eastAsia="es-ES"/>
              </w:rPr>
              <w:t>Total de muertes violentas</w:t>
            </w:r>
          </w:p>
        </w:tc>
        <w:tc>
          <w:tcPr>
            <w:tcW w:w="1440" w:type="dxa"/>
            <w:tcBorders>
              <w:top w:val="single" w:sz="4" w:space="0" w:color="auto"/>
              <w:left w:val="nil"/>
              <w:bottom w:val="single" w:sz="4" w:space="0" w:color="auto"/>
              <w:right w:val="single" w:sz="4" w:space="0" w:color="auto"/>
            </w:tcBorders>
            <w:shd w:val="clear" w:color="000000" w:fill="D8D8D8"/>
            <w:vAlign w:val="center"/>
          </w:tcPr>
          <w:p w:rsidR="002A6E8C" w:rsidRPr="00724F7B" w:rsidRDefault="002A6E8C" w:rsidP="00724F7B">
            <w:pPr>
              <w:spacing w:after="0" w:line="240" w:lineRule="auto"/>
              <w:jc w:val="center"/>
              <w:rPr>
                <w:rFonts w:ascii="Arial" w:hAnsi="Arial" w:cs="Arial"/>
                <w:b/>
                <w:bCs/>
                <w:sz w:val="18"/>
                <w:szCs w:val="18"/>
                <w:lang w:eastAsia="es-ES"/>
              </w:rPr>
            </w:pPr>
            <w:r w:rsidRPr="00724F7B">
              <w:rPr>
                <w:rFonts w:ascii="Arial" w:hAnsi="Arial" w:cs="Arial"/>
                <w:b/>
                <w:bCs/>
                <w:sz w:val="18"/>
                <w:szCs w:val="18"/>
                <w:lang w:eastAsia="es-ES"/>
              </w:rPr>
              <w:t>Porcentaje de Participación</w:t>
            </w:r>
          </w:p>
        </w:tc>
        <w:tc>
          <w:tcPr>
            <w:tcW w:w="1580" w:type="dxa"/>
            <w:tcBorders>
              <w:top w:val="single" w:sz="4" w:space="0" w:color="auto"/>
              <w:left w:val="nil"/>
              <w:bottom w:val="single" w:sz="4" w:space="0" w:color="auto"/>
              <w:right w:val="single" w:sz="4" w:space="0" w:color="auto"/>
            </w:tcBorders>
            <w:shd w:val="clear" w:color="000000" w:fill="D8D8D8"/>
            <w:vAlign w:val="center"/>
          </w:tcPr>
          <w:p w:rsidR="002A6E8C" w:rsidRPr="00724F7B" w:rsidRDefault="002A6E8C" w:rsidP="00724F7B">
            <w:pPr>
              <w:spacing w:after="0" w:line="240" w:lineRule="auto"/>
              <w:jc w:val="center"/>
              <w:rPr>
                <w:rFonts w:ascii="Arial" w:hAnsi="Arial" w:cs="Arial"/>
                <w:b/>
                <w:bCs/>
                <w:sz w:val="18"/>
                <w:szCs w:val="18"/>
                <w:lang w:eastAsia="es-ES"/>
              </w:rPr>
            </w:pPr>
            <w:r w:rsidRPr="00724F7B">
              <w:rPr>
                <w:rFonts w:ascii="Arial" w:hAnsi="Arial" w:cs="Arial"/>
                <w:b/>
                <w:bCs/>
                <w:sz w:val="18"/>
                <w:szCs w:val="18"/>
                <w:lang w:eastAsia="es-ES"/>
              </w:rPr>
              <w:t>Crecimiento Anual del Total de Homicidios</w:t>
            </w:r>
          </w:p>
        </w:tc>
        <w:tc>
          <w:tcPr>
            <w:tcW w:w="1500" w:type="dxa"/>
            <w:tcBorders>
              <w:top w:val="single" w:sz="4" w:space="0" w:color="auto"/>
              <w:left w:val="nil"/>
              <w:bottom w:val="single" w:sz="4" w:space="0" w:color="auto"/>
              <w:right w:val="single" w:sz="4" w:space="0" w:color="auto"/>
            </w:tcBorders>
            <w:shd w:val="clear" w:color="000000" w:fill="D8D8D8"/>
            <w:vAlign w:val="center"/>
          </w:tcPr>
          <w:p w:rsidR="002A6E8C" w:rsidRPr="00724F7B" w:rsidRDefault="002A6E8C" w:rsidP="00724F7B">
            <w:pPr>
              <w:spacing w:after="0" w:line="240" w:lineRule="auto"/>
              <w:jc w:val="center"/>
              <w:rPr>
                <w:rFonts w:ascii="Arial" w:hAnsi="Arial" w:cs="Arial"/>
                <w:b/>
                <w:bCs/>
                <w:sz w:val="18"/>
                <w:szCs w:val="18"/>
                <w:lang w:eastAsia="es-ES"/>
              </w:rPr>
            </w:pPr>
            <w:r w:rsidRPr="00724F7B">
              <w:rPr>
                <w:rFonts w:ascii="Arial" w:hAnsi="Arial" w:cs="Arial"/>
                <w:b/>
                <w:bCs/>
                <w:sz w:val="18"/>
                <w:szCs w:val="18"/>
                <w:lang w:eastAsia="es-ES"/>
              </w:rPr>
              <w:t>Crecimiento Anual del Total de Muertes Violentas</w:t>
            </w:r>
          </w:p>
        </w:tc>
      </w:tr>
      <w:tr w:rsidR="002A6E8C" w:rsidRPr="00475313" w:rsidTr="00724F7B">
        <w:trPr>
          <w:trHeight w:val="255"/>
          <w:jc w:val="center"/>
        </w:trPr>
        <w:tc>
          <w:tcPr>
            <w:tcW w:w="1200" w:type="dxa"/>
            <w:tcBorders>
              <w:top w:val="nil"/>
              <w:left w:val="single" w:sz="4" w:space="0" w:color="auto"/>
              <w:bottom w:val="single" w:sz="4" w:space="0" w:color="auto"/>
              <w:right w:val="single" w:sz="4" w:space="0" w:color="auto"/>
            </w:tcBorders>
            <w:noWrap/>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2004</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17.556</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29.724</w:t>
            </w:r>
          </w:p>
        </w:tc>
        <w:tc>
          <w:tcPr>
            <w:tcW w:w="144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59,1</w:t>
            </w:r>
          </w:p>
        </w:tc>
        <w:tc>
          <w:tcPr>
            <w:tcW w:w="158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 </w:t>
            </w:r>
          </w:p>
        </w:tc>
        <w:tc>
          <w:tcPr>
            <w:tcW w:w="1500" w:type="dxa"/>
            <w:tcBorders>
              <w:top w:val="nil"/>
              <w:left w:val="nil"/>
              <w:bottom w:val="single" w:sz="4" w:space="0" w:color="auto"/>
              <w:right w:val="single" w:sz="4" w:space="0" w:color="auto"/>
            </w:tcBorders>
            <w:noWrap/>
            <w:vAlign w:val="bottom"/>
          </w:tcPr>
          <w:p w:rsidR="002A6E8C" w:rsidRPr="00724F7B" w:rsidRDefault="002A6E8C" w:rsidP="00724F7B">
            <w:pPr>
              <w:spacing w:after="0" w:line="240" w:lineRule="auto"/>
              <w:rPr>
                <w:rFonts w:ascii="Arial" w:hAnsi="Arial" w:cs="Arial"/>
                <w:sz w:val="18"/>
                <w:szCs w:val="18"/>
                <w:lang w:eastAsia="es-ES"/>
              </w:rPr>
            </w:pPr>
            <w:r w:rsidRPr="00724F7B">
              <w:rPr>
                <w:rFonts w:ascii="Arial" w:hAnsi="Arial" w:cs="Arial"/>
                <w:sz w:val="18"/>
                <w:szCs w:val="18"/>
                <w:lang w:eastAsia="es-ES"/>
              </w:rPr>
              <w:t> </w:t>
            </w:r>
          </w:p>
        </w:tc>
      </w:tr>
      <w:tr w:rsidR="002A6E8C" w:rsidRPr="00475313" w:rsidTr="00724F7B">
        <w:trPr>
          <w:trHeight w:val="255"/>
          <w:jc w:val="center"/>
        </w:trPr>
        <w:tc>
          <w:tcPr>
            <w:tcW w:w="1200" w:type="dxa"/>
            <w:tcBorders>
              <w:top w:val="nil"/>
              <w:left w:val="single" w:sz="4" w:space="0" w:color="auto"/>
              <w:bottom w:val="single" w:sz="4" w:space="0" w:color="auto"/>
              <w:right w:val="single" w:sz="4" w:space="0" w:color="auto"/>
            </w:tcBorders>
            <w:noWrap/>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2005</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17.331</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28.461</w:t>
            </w:r>
          </w:p>
        </w:tc>
        <w:tc>
          <w:tcPr>
            <w:tcW w:w="144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60,9</w:t>
            </w:r>
          </w:p>
        </w:tc>
        <w:tc>
          <w:tcPr>
            <w:tcW w:w="158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-1,3</w:t>
            </w:r>
          </w:p>
        </w:tc>
        <w:tc>
          <w:tcPr>
            <w:tcW w:w="15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-4,2</w:t>
            </w:r>
          </w:p>
        </w:tc>
      </w:tr>
      <w:tr w:rsidR="002A6E8C" w:rsidRPr="00475313" w:rsidTr="00724F7B">
        <w:trPr>
          <w:trHeight w:val="255"/>
          <w:jc w:val="center"/>
        </w:trPr>
        <w:tc>
          <w:tcPr>
            <w:tcW w:w="1200" w:type="dxa"/>
            <w:tcBorders>
              <w:top w:val="nil"/>
              <w:left w:val="single" w:sz="4" w:space="0" w:color="auto"/>
              <w:bottom w:val="single" w:sz="4" w:space="0" w:color="auto"/>
              <w:right w:val="single" w:sz="4" w:space="0" w:color="auto"/>
            </w:tcBorders>
            <w:noWrap/>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2006</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16.274</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27.574</w:t>
            </w:r>
          </w:p>
        </w:tc>
        <w:tc>
          <w:tcPr>
            <w:tcW w:w="144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59,0</w:t>
            </w:r>
          </w:p>
        </w:tc>
        <w:tc>
          <w:tcPr>
            <w:tcW w:w="158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-6,1</w:t>
            </w:r>
          </w:p>
        </w:tc>
        <w:tc>
          <w:tcPr>
            <w:tcW w:w="15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-3,1</w:t>
            </w:r>
          </w:p>
        </w:tc>
      </w:tr>
      <w:tr w:rsidR="002A6E8C" w:rsidRPr="00475313" w:rsidTr="00724F7B">
        <w:trPr>
          <w:trHeight w:val="255"/>
          <w:jc w:val="center"/>
        </w:trPr>
        <w:tc>
          <w:tcPr>
            <w:tcW w:w="1200" w:type="dxa"/>
            <w:tcBorders>
              <w:top w:val="nil"/>
              <w:left w:val="single" w:sz="4" w:space="0" w:color="auto"/>
              <w:bottom w:val="single" w:sz="4" w:space="0" w:color="auto"/>
              <w:right w:val="single" w:sz="4" w:space="0" w:color="auto"/>
            </w:tcBorders>
            <w:noWrap/>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2007</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16.318</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27.920</w:t>
            </w:r>
          </w:p>
        </w:tc>
        <w:tc>
          <w:tcPr>
            <w:tcW w:w="144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58,4</w:t>
            </w:r>
          </w:p>
        </w:tc>
        <w:tc>
          <w:tcPr>
            <w:tcW w:w="158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0,3</w:t>
            </w:r>
          </w:p>
        </w:tc>
        <w:tc>
          <w:tcPr>
            <w:tcW w:w="15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1,3</w:t>
            </w:r>
          </w:p>
        </w:tc>
      </w:tr>
      <w:tr w:rsidR="002A6E8C" w:rsidRPr="00475313" w:rsidTr="00724F7B">
        <w:trPr>
          <w:trHeight w:val="255"/>
          <w:jc w:val="center"/>
        </w:trPr>
        <w:tc>
          <w:tcPr>
            <w:tcW w:w="1200" w:type="dxa"/>
            <w:tcBorders>
              <w:top w:val="nil"/>
              <w:left w:val="single" w:sz="4" w:space="0" w:color="auto"/>
              <w:bottom w:val="single" w:sz="4" w:space="0" w:color="auto"/>
              <w:right w:val="single" w:sz="4" w:space="0" w:color="auto"/>
            </w:tcBorders>
            <w:noWrap/>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2008</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15.250</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26.958</w:t>
            </w:r>
          </w:p>
        </w:tc>
        <w:tc>
          <w:tcPr>
            <w:tcW w:w="144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56,6</w:t>
            </w:r>
          </w:p>
        </w:tc>
        <w:tc>
          <w:tcPr>
            <w:tcW w:w="158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-6,5</w:t>
            </w:r>
          </w:p>
        </w:tc>
        <w:tc>
          <w:tcPr>
            <w:tcW w:w="15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-3,4</w:t>
            </w:r>
          </w:p>
        </w:tc>
      </w:tr>
      <w:tr w:rsidR="002A6E8C" w:rsidRPr="00475313" w:rsidTr="00724F7B">
        <w:trPr>
          <w:trHeight w:val="255"/>
          <w:jc w:val="center"/>
        </w:trPr>
        <w:tc>
          <w:tcPr>
            <w:tcW w:w="1200" w:type="dxa"/>
            <w:tcBorders>
              <w:top w:val="nil"/>
              <w:left w:val="single" w:sz="4" w:space="0" w:color="auto"/>
              <w:bottom w:val="single" w:sz="4" w:space="0" w:color="auto"/>
              <w:right w:val="single" w:sz="4" w:space="0" w:color="auto"/>
            </w:tcBorders>
            <w:noWrap/>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2009</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17.717</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29.433</w:t>
            </w:r>
          </w:p>
        </w:tc>
        <w:tc>
          <w:tcPr>
            <w:tcW w:w="144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60,2</w:t>
            </w:r>
          </w:p>
        </w:tc>
        <w:tc>
          <w:tcPr>
            <w:tcW w:w="158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16,2</w:t>
            </w:r>
          </w:p>
        </w:tc>
        <w:tc>
          <w:tcPr>
            <w:tcW w:w="15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9,2</w:t>
            </w:r>
          </w:p>
        </w:tc>
      </w:tr>
      <w:tr w:rsidR="002A6E8C" w:rsidRPr="00475313" w:rsidTr="00724F7B">
        <w:trPr>
          <w:trHeight w:val="255"/>
          <w:jc w:val="center"/>
        </w:trPr>
        <w:tc>
          <w:tcPr>
            <w:tcW w:w="1200" w:type="dxa"/>
            <w:tcBorders>
              <w:top w:val="nil"/>
              <w:left w:val="single" w:sz="4" w:space="0" w:color="auto"/>
              <w:bottom w:val="single" w:sz="4" w:space="0" w:color="auto"/>
              <w:right w:val="single" w:sz="4" w:space="0" w:color="auto"/>
            </w:tcBorders>
            <w:noWrap/>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2010</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17.459</w:t>
            </w:r>
          </w:p>
        </w:tc>
        <w:tc>
          <w:tcPr>
            <w:tcW w:w="12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29.922</w:t>
            </w:r>
          </w:p>
        </w:tc>
        <w:tc>
          <w:tcPr>
            <w:tcW w:w="144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58,3</w:t>
            </w:r>
          </w:p>
        </w:tc>
        <w:tc>
          <w:tcPr>
            <w:tcW w:w="158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-1,5</w:t>
            </w:r>
          </w:p>
        </w:tc>
        <w:tc>
          <w:tcPr>
            <w:tcW w:w="1500" w:type="dxa"/>
            <w:tcBorders>
              <w:top w:val="nil"/>
              <w:left w:val="nil"/>
              <w:bottom w:val="single" w:sz="4" w:space="0" w:color="auto"/>
              <w:right w:val="single" w:sz="4" w:space="0" w:color="auto"/>
            </w:tcBorders>
            <w:vAlign w:val="center"/>
          </w:tcPr>
          <w:p w:rsidR="002A6E8C" w:rsidRPr="00724F7B" w:rsidRDefault="002A6E8C" w:rsidP="00724F7B">
            <w:pPr>
              <w:spacing w:after="0" w:line="240" w:lineRule="auto"/>
              <w:jc w:val="center"/>
              <w:rPr>
                <w:rFonts w:ascii="Arial" w:hAnsi="Arial" w:cs="Arial"/>
                <w:sz w:val="18"/>
                <w:szCs w:val="18"/>
                <w:lang w:eastAsia="es-ES"/>
              </w:rPr>
            </w:pPr>
            <w:r w:rsidRPr="00724F7B">
              <w:rPr>
                <w:rFonts w:ascii="Arial" w:hAnsi="Arial" w:cs="Arial"/>
                <w:sz w:val="18"/>
                <w:szCs w:val="18"/>
                <w:lang w:eastAsia="es-ES"/>
              </w:rPr>
              <w:t>1,7</w:t>
            </w:r>
          </w:p>
        </w:tc>
      </w:tr>
    </w:tbl>
    <w:p w:rsidR="002A6E8C" w:rsidRPr="00724F7B" w:rsidRDefault="002A6E8C" w:rsidP="00724F7B">
      <w:pPr>
        <w:rPr>
          <w:lang w:eastAsia="es-ES"/>
        </w:rPr>
      </w:pPr>
    </w:p>
    <w:p w:rsidR="002A6E8C" w:rsidRPr="000803B9" w:rsidRDefault="002A6E8C" w:rsidP="003A34CA">
      <w:pPr>
        <w:jc w:val="both"/>
        <w:rPr>
          <w:rFonts w:ascii="Arial" w:hAnsi="Arial" w:cs="Arial"/>
          <w:bCs/>
          <w:sz w:val="20"/>
          <w:szCs w:val="20"/>
          <w:lang w:val="es-MX"/>
        </w:rPr>
      </w:pPr>
      <w:r w:rsidRPr="000803B9">
        <w:rPr>
          <w:rFonts w:ascii="Arial" w:hAnsi="Arial" w:cs="Arial"/>
          <w:bCs/>
          <w:sz w:val="20"/>
          <w:szCs w:val="20"/>
          <w:lang w:val="es-MX"/>
        </w:rPr>
        <w:t xml:space="preserve">En el último año el total de homicidios decreció en 1,5 puntos porcentuales respecto del año inmediatamente anterior, respecto del 2004 decreció en tan sólo 0,6 %, mientras que el comportamiento para el total de muertes violentas tuvo un incremento en 1,7 puntos respecto del 2009.  </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 xml:space="preserve">Gráfico 2.  Evolución del total de homicidios (Izq.) y total de muertes violentas (Der.) en el periodo 2004 – 2010. </w:t>
      </w:r>
    </w:p>
    <w:p w:rsidR="002A6E8C" w:rsidRPr="003A34CA" w:rsidRDefault="002A6E8C" w:rsidP="003A34CA">
      <w:pPr>
        <w:jc w:val="both"/>
        <w:rPr>
          <w:rFonts w:ascii="Arial" w:hAnsi="Arial" w:cs="Arial"/>
          <w:b/>
          <w:bCs/>
          <w:sz w:val="20"/>
          <w:szCs w:val="20"/>
          <w:lang w:val="es-MX"/>
        </w:rPr>
        <w:sectPr w:rsidR="002A6E8C" w:rsidRPr="003A34CA" w:rsidSect="0064416F">
          <w:type w:val="continuous"/>
          <w:pgSz w:w="12240" w:h="15840" w:code="1"/>
          <w:pgMar w:top="1417" w:right="1701" w:bottom="1417" w:left="1701" w:header="708" w:footer="708" w:gutter="0"/>
          <w:cols w:space="708"/>
          <w:docGrid w:linePitch="360"/>
        </w:sectPr>
      </w:pPr>
    </w:p>
    <w:p w:rsidR="002A6E8C" w:rsidRDefault="008C2FF4" w:rsidP="006859FD">
      <w:pPr>
        <w:rPr>
          <w:noProof/>
          <w:lang w:eastAsia="es-ES"/>
        </w:rPr>
      </w:pPr>
      <w:r>
        <w:rPr>
          <w:noProof/>
        </w:rPr>
        <w:lastRenderedPageBreak/>
        <w:drawing>
          <wp:inline distT="0" distB="0" distL="0" distR="0">
            <wp:extent cx="2676525" cy="1647825"/>
            <wp:effectExtent l="0" t="0" r="9525" b="9525"/>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525" cy="1647825"/>
                    </a:xfrm>
                    <a:prstGeom prst="rect">
                      <a:avLst/>
                    </a:prstGeom>
                    <a:noFill/>
                    <a:ln>
                      <a:noFill/>
                    </a:ln>
                  </pic:spPr>
                </pic:pic>
              </a:graphicData>
            </a:graphic>
          </wp:inline>
        </w:drawing>
      </w:r>
    </w:p>
    <w:p w:rsidR="002A6E8C" w:rsidRDefault="008C2FF4" w:rsidP="006859FD">
      <w:pPr>
        <w:rPr>
          <w:noProof/>
          <w:lang w:eastAsia="es-ES"/>
        </w:rPr>
      </w:pPr>
      <w:r>
        <w:rPr>
          <w:noProof/>
        </w:rPr>
        <w:lastRenderedPageBreak/>
        <w:drawing>
          <wp:inline distT="0" distB="0" distL="0" distR="0">
            <wp:extent cx="2743200" cy="1647825"/>
            <wp:effectExtent l="0" t="0" r="0" b="9525"/>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64782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sectPr w:rsidR="002A6E8C" w:rsidSect="0064416F">
          <w:type w:val="continuous"/>
          <w:pgSz w:w="12240" w:h="15840" w:code="1"/>
          <w:pgMar w:top="1417" w:right="1416" w:bottom="1417" w:left="1701" w:header="708" w:footer="708" w:gutter="0"/>
          <w:cols w:num="2" w:space="282"/>
          <w:docGrid w:linePitch="360"/>
        </w:sectPr>
      </w:pP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6859FD">
      <w:pPr>
        <w:rPr>
          <w:noProof/>
          <w:lang w:val="es-MX" w:eastAsia="es-ES"/>
        </w:rPr>
      </w:pPr>
    </w:p>
    <w:p w:rsidR="002A6E8C" w:rsidRDefault="002A6E8C" w:rsidP="00014654">
      <w:pPr>
        <w:jc w:val="both"/>
        <w:rPr>
          <w:rFonts w:ascii="Arial" w:hAnsi="Arial" w:cs="Arial"/>
          <w:noProof/>
          <w:lang w:val="es-MX" w:eastAsia="es-ES"/>
        </w:rPr>
      </w:pPr>
      <w:r w:rsidRPr="00014654">
        <w:rPr>
          <w:rFonts w:ascii="Arial" w:hAnsi="Arial" w:cs="Arial"/>
          <w:noProof/>
          <w:lang w:val="es-MX" w:eastAsia="es-ES"/>
        </w:rPr>
        <w:t xml:space="preserve">La variación anual para el total de homicidios entre 2004 y 2010 tuvo una disminución en 0.6 puntos porcentuales, mientras que el total de muertes violentas aumento en 0.7%. </w:t>
      </w:r>
      <w:r>
        <w:rPr>
          <w:rFonts w:ascii="Arial" w:hAnsi="Arial" w:cs="Arial"/>
          <w:noProof/>
          <w:lang w:val="es-MX" w:eastAsia="es-ES"/>
        </w:rPr>
        <w:t xml:space="preserve">Para </w:t>
      </w:r>
      <w:r w:rsidRPr="00014654">
        <w:rPr>
          <w:rFonts w:ascii="Arial" w:hAnsi="Arial" w:cs="Arial"/>
          <w:noProof/>
          <w:lang w:val="es-MX" w:eastAsia="es-ES"/>
        </w:rPr>
        <w:t>el porcentaje de participación de los homicidios en el total de muertes violentas tuvo unabaja en  1.2 puntos porcentuales.</w:t>
      </w:r>
    </w:p>
    <w:p w:rsidR="002A6E8C" w:rsidRPr="00014654" w:rsidRDefault="002A6E8C" w:rsidP="00014654">
      <w:pPr>
        <w:jc w:val="both"/>
        <w:rPr>
          <w:rFonts w:ascii="Arial" w:hAnsi="Arial" w:cs="Arial"/>
          <w:noProof/>
          <w:lang w:val="es-MX" w:eastAsia="es-ES"/>
        </w:rPr>
      </w:pPr>
    </w:p>
    <w:p w:rsidR="002A6E8C" w:rsidRDefault="002A6E8C" w:rsidP="00471C64">
      <w:pPr>
        <w:pStyle w:val="Ttulo2"/>
        <w:numPr>
          <w:ilvl w:val="1"/>
          <w:numId w:val="10"/>
        </w:numPr>
        <w:jc w:val="both"/>
        <w:rPr>
          <w:color w:val="auto"/>
          <w:lang w:eastAsia="es-ES"/>
        </w:rPr>
      </w:pPr>
      <w:bookmarkStart w:id="4" w:name="_Toc315681373"/>
      <w:r w:rsidRPr="005D0C51">
        <w:rPr>
          <w:color w:val="auto"/>
          <w:lang w:eastAsia="es-ES"/>
        </w:rPr>
        <w:lastRenderedPageBreak/>
        <w:t>Participación de muertes por violencia indeterminada en el total de muertes violentas</w:t>
      </w:r>
      <w:bookmarkEnd w:id="4"/>
    </w:p>
    <w:p w:rsidR="002A6E8C" w:rsidRDefault="002A6E8C" w:rsidP="00D344B5">
      <w:pPr>
        <w:rPr>
          <w:lang w:eastAsia="es-ES"/>
        </w:rPr>
      </w:pPr>
    </w:p>
    <w:p w:rsidR="002A6E8C" w:rsidRPr="003A34CA" w:rsidRDefault="002A6E8C" w:rsidP="003A34CA">
      <w:pPr>
        <w:jc w:val="both"/>
        <w:rPr>
          <w:rFonts w:ascii="Arial" w:hAnsi="Arial" w:cs="Arial"/>
          <w:b/>
          <w:bCs/>
          <w:sz w:val="20"/>
          <w:szCs w:val="20"/>
          <w:lang w:val="es-MX"/>
        </w:rPr>
        <w:sectPr w:rsidR="002A6E8C" w:rsidRPr="003A34CA" w:rsidSect="0064416F">
          <w:type w:val="continuous"/>
          <w:pgSz w:w="12240" w:h="15840" w:code="1"/>
          <w:pgMar w:top="1417" w:right="1701" w:bottom="1417" w:left="1701" w:header="708" w:footer="708" w:gutter="0"/>
          <w:cols w:space="708"/>
          <w:docGrid w:linePitch="360"/>
        </w:sectPr>
      </w:pPr>
      <w:r w:rsidRPr="003A34CA">
        <w:rPr>
          <w:rFonts w:ascii="Arial" w:hAnsi="Arial" w:cs="Arial"/>
          <w:b/>
          <w:bCs/>
          <w:sz w:val="20"/>
          <w:szCs w:val="20"/>
          <w:lang w:val="es-MX"/>
        </w:rPr>
        <w:t>Tabla1. Resumen de estadísticas para la participación de muertes por violencia indeterminada en el total de muertes violentas para el periodo 2004 – 2010</w:t>
      </w:r>
    </w:p>
    <w:tbl>
      <w:tblPr>
        <w:tblW w:w="9440" w:type="dxa"/>
        <w:tblInd w:w="65" w:type="dxa"/>
        <w:tblCellMar>
          <w:left w:w="70" w:type="dxa"/>
          <w:right w:w="70" w:type="dxa"/>
        </w:tblCellMar>
        <w:tblLook w:val="00A0" w:firstRow="1" w:lastRow="0" w:firstColumn="1" w:lastColumn="0" w:noHBand="0" w:noVBand="0"/>
      </w:tblPr>
      <w:tblGrid>
        <w:gridCol w:w="880"/>
        <w:gridCol w:w="1520"/>
        <w:gridCol w:w="1200"/>
        <w:gridCol w:w="2140"/>
        <w:gridCol w:w="2020"/>
        <w:gridCol w:w="1680"/>
      </w:tblGrid>
      <w:tr w:rsidR="002A6E8C" w:rsidRPr="00475313" w:rsidTr="00D344B5">
        <w:trPr>
          <w:trHeight w:val="1200"/>
        </w:trPr>
        <w:tc>
          <w:tcPr>
            <w:tcW w:w="88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A6E8C" w:rsidRPr="00D344B5" w:rsidRDefault="002A6E8C" w:rsidP="00D344B5">
            <w:pPr>
              <w:spacing w:after="0" w:line="240" w:lineRule="auto"/>
              <w:jc w:val="center"/>
              <w:rPr>
                <w:rFonts w:ascii="Arial" w:hAnsi="Arial" w:cs="Arial"/>
                <w:b/>
                <w:bCs/>
                <w:sz w:val="18"/>
                <w:szCs w:val="18"/>
                <w:lang w:eastAsia="es-ES"/>
              </w:rPr>
            </w:pPr>
            <w:r w:rsidRPr="00D344B5">
              <w:rPr>
                <w:rFonts w:ascii="Arial" w:hAnsi="Arial" w:cs="Arial"/>
                <w:b/>
                <w:bCs/>
                <w:sz w:val="18"/>
                <w:szCs w:val="18"/>
                <w:lang w:eastAsia="es-ES"/>
              </w:rPr>
              <w:lastRenderedPageBreak/>
              <w:t>Año</w:t>
            </w:r>
          </w:p>
        </w:tc>
        <w:tc>
          <w:tcPr>
            <w:tcW w:w="1520" w:type="dxa"/>
            <w:tcBorders>
              <w:top w:val="single" w:sz="4" w:space="0" w:color="auto"/>
              <w:left w:val="nil"/>
              <w:bottom w:val="single" w:sz="4" w:space="0" w:color="auto"/>
              <w:right w:val="single" w:sz="4" w:space="0" w:color="auto"/>
            </w:tcBorders>
            <w:shd w:val="clear" w:color="000000" w:fill="BFBFBF"/>
            <w:vAlign w:val="center"/>
          </w:tcPr>
          <w:p w:rsidR="002A6E8C" w:rsidRPr="00D344B5" w:rsidRDefault="002A6E8C" w:rsidP="00D344B5">
            <w:pPr>
              <w:spacing w:after="0" w:line="240" w:lineRule="auto"/>
              <w:jc w:val="center"/>
              <w:rPr>
                <w:rFonts w:ascii="Arial" w:hAnsi="Arial" w:cs="Arial"/>
                <w:b/>
                <w:bCs/>
                <w:sz w:val="18"/>
                <w:szCs w:val="18"/>
                <w:lang w:eastAsia="es-ES"/>
              </w:rPr>
            </w:pPr>
            <w:r w:rsidRPr="00D344B5">
              <w:rPr>
                <w:rFonts w:ascii="Arial" w:hAnsi="Arial" w:cs="Arial"/>
                <w:b/>
                <w:bCs/>
                <w:sz w:val="18"/>
                <w:szCs w:val="18"/>
                <w:lang w:eastAsia="es-ES"/>
              </w:rPr>
              <w:t>Total de Muertes por Violencia Indeterminada</w:t>
            </w:r>
          </w:p>
        </w:tc>
        <w:tc>
          <w:tcPr>
            <w:tcW w:w="1200" w:type="dxa"/>
            <w:tcBorders>
              <w:top w:val="single" w:sz="4" w:space="0" w:color="auto"/>
              <w:left w:val="nil"/>
              <w:bottom w:val="single" w:sz="4" w:space="0" w:color="auto"/>
              <w:right w:val="single" w:sz="4" w:space="0" w:color="auto"/>
            </w:tcBorders>
            <w:shd w:val="clear" w:color="000000" w:fill="BFBFBF"/>
            <w:vAlign w:val="center"/>
          </w:tcPr>
          <w:p w:rsidR="002A6E8C" w:rsidRPr="00D344B5" w:rsidRDefault="002A6E8C" w:rsidP="00D344B5">
            <w:pPr>
              <w:spacing w:after="0" w:line="240" w:lineRule="auto"/>
              <w:jc w:val="center"/>
              <w:rPr>
                <w:rFonts w:ascii="Arial" w:hAnsi="Arial" w:cs="Arial"/>
                <w:b/>
                <w:bCs/>
                <w:sz w:val="18"/>
                <w:szCs w:val="18"/>
                <w:lang w:eastAsia="es-ES"/>
              </w:rPr>
            </w:pPr>
            <w:r w:rsidRPr="00D344B5">
              <w:rPr>
                <w:rFonts w:ascii="Arial" w:hAnsi="Arial" w:cs="Arial"/>
                <w:b/>
                <w:bCs/>
                <w:sz w:val="18"/>
                <w:szCs w:val="18"/>
                <w:lang w:eastAsia="es-ES"/>
              </w:rPr>
              <w:t>Total de Muertes Violentas</w:t>
            </w:r>
          </w:p>
        </w:tc>
        <w:tc>
          <w:tcPr>
            <w:tcW w:w="2140" w:type="dxa"/>
            <w:tcBorders>
              <w:top w:val="single" w:sz="4" w:space="0" w:color="auto"/>
              <w:left w:val="nil"/>
              <w:bottom w:val="single" w:sz="4" w:space="0" w:color="auto"/>
              <w:right w:val="single" w:sz="4" w:space="0" w:color="auto"/>
            </w:tcBorders>
            <w:shd w:val="clear" w:color="000000" w:fill="BFBFBF"/>
            <w:vAlign w:val="center"/>
          </w:tcPr>
          <w:p w:rsidR="002A6E8C" w:rsidRPr="00D344B5" w:rsidRDefault="002A6E8C" w:rsidP="00D344B5">
            <w:pPr>
              <w:spacing w:after="0" w:line="240" w:lineRule="auto"/>
              <w:jc w:val="center"/>
              <w:rPr>
                <w:rFonts w:ascii="Arial" w:hAnsi="Arial" w:cs="Arial"/>
                <w:b/>
                <w:bCs/>
                <w:sz w:val="18"/>
                <w:szCs w:val="18"/>
                <w:lang w:eastAsia="es-ES"/>
              </w:rPr>
            </w:pPr>
            <w:r w:rsidRPr="00D344B5">
              <w:rPr>
                <w:rFonts w:ascii="Arial" w:hAnsi="Arial" w:cs="Arial"/>
                <w:b/>
                <w:bCs/>
                <w:sz w:val="18"/>
                <w:szCs w:val="18"/>
                <w:lang w:eastAsia="es-ES"/>
              </w:rPr>
              <w:t>Participación de Muertes por Violencia Indeterminada en el Total de Muertes Violentas</w:t>
            </w:r>
          </w:p>
        </w:tc>
        <w:tc>
          <w:tcPr>
            <w:tcW w:w="2020" w:type="dxa"/>
            <w:tcBorders>
              <w:top w:val="single" w:sz="4" w:space="0" w:color="auto"/>
              <w:left w:val="nil"/>
              <w:bottom w:val="single" w:sz="4" w:space="0" w:color="auto"/>
              <w:right w:val="single" w:sz="4" w:space="0" w:color="auto"/>
            </w:tcBorders>
            <w:shd w:val="clear" w:color="000000" w:fill="BFBFBF"/>
            <w:vAlign w:val="center"/>
          </w:tcPr>
          <w:p w:rsidR="002A6E8C" w:rsidRPr="00D344B5" w:rsidRDefault="002A6E8C" w:rsidP="00D344B5">
            <w:pPr>
              <w:spacing w:after="0" w:line="240" w:lineRule="auto"/>
              <w:jc w:val="center"/>
              <w:rPr>
                <w:rFonts w:ascii="Arial" w:hAnsi="Arial" w:cs="Arial"/>
                <w:b/>
                <w:bCs/>
                <w:sz w:val="18"/>
                <w:szCs w:val="18"/>
                <w:lang w:eastAsia="es-ES"/>
              </w:rPr>
            </w:pPr>
            <w:r w:rsidRPr="00D344B5">
              <w:rPr>
                <w:rFonts w:ascii="Arial" w:hAnsi="Arial" w:cs="Arial"/>
                <w:b/>
                <w:bCs/>
                <w:sz w:val="18"/>
                <w:szCs w:val="18"/>
                <w:lang w:eastAsia="es-ES"/>
              </w:rPr>
              <w:t>Crecimiento Anual del Total de Muertes por Violencia Indeterminada</w:t>
            </w:r>
          </w:p>
        </w:tc>
        <w:tc>
          <w:tcPr>
            <w:tcW w:w="1680" w:type="dxa"/>
            <w:tcBorders>
              <w:top w:val="single" w:sz="4" w:space="0" w:color="auto"/>
              <w:left w:val="nil"/>
              <w:bottom w:val="single" w:sz="4" w:space="0" w:color="auto"/>
              <w:right w:val="single" w:sz="4" w:space="0" w:color="auto"/>
            </w:tcBorders>
            <w:shd w:val="clear" w:color="000000" w:fill="BFBFBF"/>
            <w:vAlign w:val="center"/>
          </w:tcPr>
          <w:p w:rsidR="002A6E8C" w:rsidRPr="00D344B5" w:rsidRDefault="002A6E8C" w:rsidP="00D344B5">
            <w:pPr>
              <w:spacing w:after="0" w:line="240" w:lineRule="auto"/>
              <w:jc w:val="center"/>
              <w:rPr>
                <w:rFonts w:ascii="Arial" w:hAnsi="Arial" w:cs="Arial"/>
                <w:b/>
                <w:bCs/>
                <w:sz w:val="18"/>
                <w:szCs w:val="18"/>
                <w:lang w:eastAsia="es-ES"/>
              </w:rPr>
            </w:pPr>
            <w:r w:rsidRPr="00D344B5">
              <w:rPr>
                <w:rFonts w:ascii="Arial" w:hAnsi="Arial" w:cs="Arial"/>
                <w:b/>
                <w:bCs/>
                <w:sz w:val="18"/>
                <w:szCs w:val="18"/>
                <w:lang w:eastAsia="es-ES"/>
              </w:rPr>
              <w:t>Crecimiento Anual del Total de Muertes Violentas</w:t>
            </w:r>
          </w:p>
        </w:tc>
      </w:tr>
      <w:tr w:rsidR="002A6E8C" w:rsidRPr="00475313" w:rsidTr="00D344B5">
        <w:trPr>
          <w:trHeight w:val="255"/>
        </w:trPr>
        <w:tc>
          <w:tcPr>
            <w:tcW w:w="880" w:type="dxa"/>
            <w:tcBorders>
              <w:top w:val="nil"/>
              <w:left w:val="single" w:sz="4" w:space="0" w:color="auto"/>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2004</w:t>
            </w:r>
          </w:p>
        </w:tc>
        <w:tc>
          <w:tcPr>
            <w:tcW w:w="15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387</w:t>
            </w:r>
          </w:p>
        </w:tc>
        <w:tc>
          <w:tcPr>
            <w:tcW w:w="120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29.724</w:t>
            </w:r>
          </w:p>
        </w:tc>
        <w:tc>
          <w:tcPr>
            <w:tcW w:w="214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1,3</w:t>
            </w:r>
          </w:p>
        </w:tc>
        <w:tc>
          <w:tcPr>
            <w:tcW w:w="20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 </w:t>
            </w:r>
          </w:p>
        </w:tc>
        <w:tc>
          <w:tcPr>
            <w:tcW w:w="168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 </w:t>
            </w:r>
          </w:p>
        </w:tc>
      </w:tr>
      <w:tr w:rsidR="002A6E8C" w:rsidRPr="00475313" w:rsidTr="00D344B5">
        <w:trPr>
          <w:trHeight w:val="255"/>
        </w:trPr>
        <w:tc>
          <w:tcPr>
            <w:tcW w:w="880" w:type="dxa"/>
            <w:tcBorders>
              <w:top w:val="nil"/>
              <w:left w:val="single" w:sz="4" w:space="0" w:color="auto"/>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2005</w:t>
            </w:r>
          </w:p>
        </w:tc>
        <w:tc>
          <w:tcPr>
            <w:tcW w:w="15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692</w:t>
            </w:r>
          </w:p>
        </w:tc>
        <w:tc>
          <w:tcPr>
            <w:tcW w:w="120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28.461</w:t>
            </w:r>
          </w:p>
        </w:tc>
        <w:tc>
          <w:tcPr>
            <w:tcW w:w="214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2,4</w:t>
            </w:r>
          </w:p>
        </w:tc>
        <w:tc>
          <w:tcPr>
            <w:tcW w:w="20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78,8</w:t>
            </w:r>
          </w:p>
        </w:tc>
        <w:tc>
          <w:tcPr>
            <w:tcW w:w="168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-4,2</w:t>
            </w:r>
          </w:p>
        </w:tc>
      </w:tr>
      <w:tr w:rsidR="002A6E8C" w:rsidRPr="00475313" w:rsidTr="00D344B5">
        <w:trPr>
          <w:trHeight w:val="255"/>
        </w:trPr>
        <w:tc>
          <w:tcPr>
            <w:tcW w:w="880" w:type="dxa"/>
            <w:tcBorders>
              <w:top w:val="nil"/>
              <w:left w:val="single" w:sz="4" w:space="0" w:color="auto"/>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2006</w:t>
            </w:r>
          </w:p>
        </w:tc>
        <w:tc>
          <w:tcPr>
            <w:tcW w:w="15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936</w:t>
            </w:r>
          </w:p>
        </w:tc>
        <w:tc>
          <w:tcPr>
            <w:tcW w:w="120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27.574</w:t>
            </w:r>
          </w:p>
        </w:tc>
        <w:tc>
          <w:tcPr>
            <w:tcW w:w="214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3,4</w:t>
            </w:r>
          </w:p>
        </w:tc>
        <w:tc>
          <w:tcPr>
            <w:tcW w:w="20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35,3</w:t>
            </w:r>
          </w:p>
        </w:tc>
        <w:tc>
          <w:tcPr>
            <w:tcW w:w="168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-3,1</w:t>
            </w:r>
          </w:p>
        </w:tc>
      </w:tr>
      <w:tr w:rsidR="002A6E8C" w:rsidRPr="00475313" w:rsidTr="00D344B5">
        <w:trPr>
          <w:trHeight w:val="255"/>
        </w:trPr>
        <w:tc>
          <w:tcPr>
            <w:tcW w:w="880" w:type="dxa"/>
            <w:tcBorders>
              <w:top w:val="nil"/>
              <w:left w:val="single" w:sz="4" w:space="0" w:color="auto"/>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2007</w:t>
            </w:r>
          </w:p>
        </w:tc>
        <w:tc>
          <w:tcPr>
            <w:tcW w:w="15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962</w:t>
            </w:r>
          </w:p>
        </w:tc>
        <w:tc>
          <w:tcPr>
            <w:tcW w:w="120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27.920</w:t>
            </w:r>
          </w:p>
        </w:tc>
        <w:tc>
          <w:tcPr>
            <w:tcW w:w="214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3,4</w:t>
            </w:r>
          </w:p>
        </w:tc>
        <w:tc>
          <w:tcPr>
            <w:tcW w:w="20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2,8</w:t>
            </w:r>
          </w:p>
        </w:tc>
        <w:tc>
          <w:tcPr>
            <w:tcW w:w="168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1,3</w:t>
            </w:r>
          </w:p>
        </w:tc>
      </w:tr>
      <w:tr w:rsidR="002A6E8C" w:rsidRPr="00475313" w:rsidTr="00D344B5">
        <w:trPr>
          <w:trHeight w:val="255"/>
        </w:trPr>
        <w:tc>
          <w:tcPr>
            <w:tcW w:w="880" w:type="dxa"/>
            <w:tcBorders>
              <w:top w:val="nil"/>
              <w:left w:val="single" w:sz="4" w:space="0" w:color="auto"/>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2008</w:t>
            </w:r>
          </w:p>
        </w:tc>
        <w:tc>
          <w:tcPr>
            <w:tcW w:w="15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984</w:t>
            </w:r>
          </w:p>
        </w:tc>
        <w:tc>
          <w:tcPr>
            <w:tcW w:w="120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26.958</w:t>
            </w:r>
          </w:p>
        </w:tc>
        <w:tc>
          <w:tcPr>
            <w:tcW w:w="214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3,7</w:t>
            </w:r>
          </w:p>
        </w:tc>
        <w:tc>
          <w:tcPr>
            <w:tcW w:w="20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2,3</w:t>
            </w:r>
          </w:p>
        </w:tc>
        <w:tc>
          <w:tcPr>
            <w:tcW w:w="168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-3,4</w:t>
            </w:r>
          </w:p>
        </w:tc>
      </w:tr>
      <w:tr w:rsidR="002A6E8C" w:rsidRPr="00475313" w:rsidTr="00D344B5">
        <w:trPr>
          <w:trHeight w:val="255"/>
        </w:trPr>
        <w:tc>
          <w:tcPr>
            <w:tcW w:w="880" w:type="dxa"/>
            <w:tcBorders>
              <w:top w:val="nil"/>
              <w:left w:val="single" w:sz="4" w:space="0" w:color="auto"/>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2009</w:t>
            </w:r>
          </w:p>
        </w:tc>
        <w:tc>
          <w:tcPr>
            <w:tcW w:w="15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1.175</w:t>
            </w:r>
          </w:p>
        </w:tc>
        <w:tc>
          <w:tcPr>
            <w:tcW w:w="120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29.433</w:t>
            </w:r>
          </w:p>
        </w:tc>
        <w:tc>
          <w:tcPr>
            <w:tcW w:w="214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4,0</w:t>
            </w:r>
          </w:p>
        </w:tc>
        <w:tc>
          <w:tcPr>
            <w:tcW w:w="20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19,4</w:t>
            </w:r>
          </w:p>
        </w:tc>
        <w:tc>
          <w:tcPr>
            <w:tcW w:w="168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9,2</w:t>
            </w:r>
          </w:p>
        </w:tc>
      </w:tr>
      <w:tr w:rsidR="002A6E8C" w:rsidRPr="00475313" w:rsidTr="00D344B5">
        <w:trPr>
          <w:trHeight w:val="255"/>
        </w:trPr>
        <w:tc>
          <w:tcPr>
            <w:tcW w:w="880" w:type="dxa"/>
            <w:tcBorders>
              <w:top w:val="nil"/>
              <w:left w:val="single" w:sz="4" w:space="0" w:color="auto"/>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2010</w:t>
            </w:r>
          </w:p>
        </w:tc>
        <w:tc>
          <w:tcPr>
            <w:tcW w:w="15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1.497</w:t>
            </w:r>
          </w:p>
        </w:tc>
        <w:tc>
          <w:tcPr>
            <w:tcW w:w="120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29.922</w:t>
            </w:r>
          </w:p>
        </w:tc>
        <w:tc>
          <w:tcPr>
            <w:tcW w:w="214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5,0</w:t>
            </w:r>
          </w:p>
        </w:tc>
        <w:tc>
          <w:tcPr>
            <w:tcW w:w="202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27,4</w:t>
            </w:r>
          </w:p>
        </w:tc>
        <w:tc>
          <w:tcPr>
            <w:tcW w:w="1680" w:type="dxa"/>
            <w:tcBorders>
              <w:top w:val="nil"/>
              <w:left w:val="nil"/>
              <w:bottom w:val="single" w:sz="4" w:space="0" w:color="auto"/>
              <w:right w:val="single" w:sz="4" w:space="0" w:color="auto"/>
            </w:tcBorders>
            <w:noWrap/>
            <w:vAlign w:val="center"/>
          </w:tcPr>
          <w:p w:rsidR="002A6E8C" w:rsidRPr="00D344B5" w:rsidRDefault="002A6E8C" w:rsidP="00D344B5">
            <w:pPr>
              <w:spacing w:after="0" w:line="240" w:lineRule="auto"/>
              <w:jc w:val="center"/>
              <w:rPr>
                <w:rFonts w:ascii="Arial" w:hAnsi="Arial" w:cs="Arial"/>
                <w:sz w:val="18"/>
                <w:szCs w:val="18"/>
                <w:lang w:eastAsia="es-ES"/>
              </w:rPr>
            </w:pPr>
            <w:r w:rsidRPr="00D344B5">
              <w:rPr>
                <w:rFonts w:ascii="Arial" w:hAnsi="Arial" w:cs="Arial"/>
                <w:sz w:val="18"/>
                <w:szCs w:val="18"/>
                <w:lang w:eastAsia="es-ES"/>
              </w:rPr>
              <w:t>1,7</w:t>
            </w:r>
          </w:p>
        </w:tc>
      </w:tr>
    </w:tbl>
    <w:p w:rsidR="002A6E8C" w:rsidRDefault="002A6E8C" w:rsidP="00D344B5">
      <w:pPr>
        <w:rPr>
          <w:lang w:eastAsia="es-ES"/>
        </w:rPr>
      </w:pPr>
    </w:p>
    <w:p w:rsidR="002A6E8C" w:rsidRPr="000803B9" w:rsidRDefault="002A6E8C" w:rsidP="000803B9">
      <w:pPr>
        <w:jc w:val="both"/>
        <w:rPr>
          <w:rFonts w:ascii="Arial" w:hAnsi="Arial" w:cs="Arial"/>
          <w:bCs/>
          <w:sz w:val="20"/>
          <w:szCs w:val="20"/>
          <w:lang w:val="es-MX"/>
        </w:rPr>
      </w:pPr>
      <w:r w:rsidRPr="000803B9">
        <w:rPr>
          <w:rFonts w:ascii="Arial" w:hAnsi="Arial" w:cs="Arial"/>
          <w:bCs/>
          <w:sz w:val="20"/>
          <w:szCs w:val="20"/>
          <w:lang w:val="es-MX"/>
        </w:rPr>
        <w:t xml:space="preserve">En el último año el total de </w:t>
      </w:r>
      <w:r>
        <w:rPr>
          <w:rFonts w:ascii="Arial" w:hAnsi="Arial" w:cs="Arial"/>
          <w:bCs/>
          <w:sz w:val="20"/>
          <w:szCs w:val="20"/>
          <w:lang w:val="es-MX"/>
        </w:rPr>
        <w:t xml:space="preserve">muertes por violencia indeterminada aumentó </w:t>
      </w:r>
      <w:r w:rsidRPr="000803B9">
        <w:rPr>
          <w:rFonts w:ascii="Arial" w:hAnsi="Arial" w:cs="Arial"/>
          <w:bCs/>
          <w:sz w:val="20"/>
          <w:szCs w:val="20"/>
          <w:lang w:val="es-MX"/>
        </w:rPr>
        <w:t xml:space="preserve">en </w:t>
      </w:r>
      <w:r>
        <w:rPr>
          <w:rFonts w:ascii="Arial" w:hAnsi="Arial" w:cs="Arial"/>
          <w:bCs/>
          <w:sz w:val="20"/>
          <w:szCs w:val="20"/>
          <w:lang w:val="es-MX"/>
        </w:rPr>
        <w:t>27</w:t>
      </w:r>
      <w:r w:rsidRPr="000803B9">
        <w:rPr>
          <w:rFonts w:ascii="Arial" w:hAnsi="Arial" w:cs="Arial"/>
          <w:bCs/>
          <w:sz w:val="20"/>
          <w:szCs w:val="20"/>
          <w:lang w:val="es-MX"/>
        </w:rPr>
        <w:t>,</w:t>
      </w:r>
      <w:r>
        <w:rPr>
          <w:rFonts w:ascii="Arial" w:hAnsi="Arial" w:cs="Arial"/>
          <w:bCs/>
          <w:sz w:val="20"/>
          <w:szCs w:val="20"/>
          <w:lang w:val="es-MX"/>
        </w:rPr>
        <w:t>4</w:t>
      </w:r>
      <w:r w:rsidRPr="000803B9">
        <w:rPr>
          <w:rFonts w:ascii="Arial" w:hAnsi="Arial" w:cs="Arial"/>
          <w:bCs/>
          <w:sz w:val="20"/>
          <w:szCs w:val="20"/>
          <w:lang w:val="es-MX"/>
        </w:rPr>
        <w:t xml:space="preserve"> puntos porcentuales respecto del año inmediatamente anterior, respecto del 2004 </w:t>
      </w:r>
      <w:r>
        <w:rPr>
          <w:rFonts w:ascii="Arial" w:hAnsi="Arial" w:cs="Arial"/>
          <w:bCs/>
          <w:sz w:val="20"/>
          <w:szCs w:val="20"/>
          <w:lang w:val="es-MX"/>
        </w:rPr>
        <w:t>el aumento fue del 0,7%.</w:t>
      </w:r>
      <w:r w:rsidRPr="000803B9">
        <w:rPr>
          <w:rFonts w:ascii="Arial" w:hAnsi="Arial" w:cs="Arial"/>
          <w:bCs/>
          <w:sz w:val="20"/>
          <w:szCs w:val="20"/>
          <w:lang w:val="es-MX"/>
        </w:rPr>
        <w:t xml:space="preserve">  </w:t>
      </w:r>
    </w:p>
    <w:p w:rsidR="002A6E8C" w:rsidRPr="003A34CA" w:rsidRDefault="002A6E8C" w:rsidP="003A34CA">
      <w:pPr>
        <w:jc w:val="both"/>
        <w:rPr>
          <w:rFonts w:ascii="Arial" w:hAnsi="Arial" w:cs="Arial"/>
          <w:b/>
          <w:bCs/>
          <w:sz w:val="20"/>
          <w:szCs w:val="20"/>
          <w:lang w:val="es-MX"/>
        </w:rPr>
        <w:sectPr w:rsidR="002A6E8C" w:rsidRPr="003A34CA" w:rsidSect="0064416F">
          <w:type w:val="continuous"/>
          <w:pgSz w:w="12240" w:h="15840" w:code="1"/>
          <w:pgMar w:top="1417" w:right="1701" w:bottom="1417" w:left="1701" w:header="708" w:footer="708" w:gutter="0"/>
          <w:cols w:space="708"/>
          <w:docGrid w:linePitch="360"/>
        </w:sectPr>
      </w:pPr>
      <w:r w:rsidRPr="003A34CA">
        <w:rPr>
          <w:rFonts w:ascii="Arial" w:hAnsi="Arial" w:cs="Arial"/>
          <w:b/>
          <w:bCs/>
          <w:sz w:val="20"/>
          <w:szCs w:val="20"/>
          <w:lang w:val="es-MX"/>
        </w:rPr>
        <w:t>Gráfico 1.  Participación de Muertes por Violencia Indeterminada en el Total de Muertes Violentas (Izq.) y crecimiento anual de esa participación (Der) en el periodo 2004 – 2010</w:t>
      </w:r>
    </w:p>
    <w:p w:rsidR="002A6E8C" w:rsidRDefault="008C2FF4" w:rsidP="00D344B5">
      <w:pPr>
        <w:jc w:val="center"/>
        <w:rPr>
          <w:lang w:val="es-MX"/>
        </w:rPr>
      </w:pPr>
      <w:r>
        <w:rPr>
          <w:noProof/>
        </w:rPr>
        <w:lastRenderedPageBreak/>
        <w:drawing>
          <wp:inline distT="0" distB="0" distL="0" distR="0">
            <wp:extent cx="2695575" cy="1762125"/>
            <wp:effectExtent l="0" t="0" r="9525" b="9525"/>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575" cy="1762125"/>
                    </a:xfrm>
                    <a:prstGeom prst="rect">
                      <a:avLst/>
                    </a:prstGeom>
                    <a:noFill/>
                    <a:ln>
                      <a:noFill/>
                    </a:ln>
                  </pic:spPr>
                </pic:pic>
              </a:graphicData>
            </a:graphic>
          </wp:inline>
        </w:drawing>
      </w:r>
    </w:p>
    <w:p w:rsidR="002A6E8C" w:rsidRDefault="008C2FF4" w:rsidP="00D344B5">
      <w:pPr>
        <w:jc w:val="center"/>
        <w:rPr>
          <w:lang w:val="es-MX"/>
        </w:rPr>
      </w:pPr>
      <w:r>
        <w:rPr>
          <w:noProof/>
        </w:rPr>
        <w:lastRenderedPageBreak/>
        <w:drawing>
          <wp:inline distT="0" distB="0" distL="0" distR="0">
            <wp:extent cx="2667000" cy="1743075"/>
            <wp:effectExtent l="0" t="0" r="0" b="9525"/>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17430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sectPr w:rsidR="002A6E8C" w:rsidSect="0064416F">
          <w:type w:val="continuous"/>
          <w:pgSz w:w="12240" w:h="15840" w:code="1"/>
          <w:pgMar w:top="1417" w:right="1558" w:bottom="1417" w:left="1701" w:header="708" w:footer="708" w:gutter="0"/>
          <w:cols w:num="2" w:space="708"/>
          <w:docGrid w:linePitch="360"/>
        </w:sectPr>
      </w:pP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6B61DC" w:rsidRDefault="002A6E8C">
      <w:pPr>
        <w:rPr>
          <w:rFonts w:ascii="Arial" w:hAnsi="Arial" w:cs="Arial"/>
          <w:sz w:val="24"/>
          <w:szCs w:val="24"/>
          <w:lang w:val="es-MX"/>
        </w:rPr>
      </w:pPr>
    </w:p>
    <w:p w:rsidR="002A6E8C" w:rsidRDefault="002A6E8C" w:rsidP="000803B9">
      <w:pPr>
        <w:pStyle w:val="Ttulo2"/>
        <w:numPr>
          <w:ilvl w:val="1"/>
          <w:numId w:val="10"/>
        </w:numPr>
        <w:spacing w:after="240"/>
        <w:jc w:val="both"/>
        <w:rPr>
          <w:color w:val="auto"/>
          <w:lang w:eastAsia="es-ES"/>
        </w:rPr>
      </w:pPr>
      <w:bookmarkStart w:id="5" w:name="_Toc315681374"/>
      <w:r w:rsidRPr="005D0C51">
        <w:rPr>
          <w:color w:val="auto"/>
          <w:lang w:eastAsia="es-ES"/>
        </w:rPr>
        <w:t>Total de muertes por violencia indeterminada según rango de edad</w:t>
      </w:r>
      <w:bookmarkEnd w:id="5"/>
    </w:p>
    <w:p w:rsidR="002A6E8C" w:rsidRPr="001E2296" w:rsidRDefault="002A6E8C" w:rsidP="000803B9">
      <w:pPr>
        <w:jc w:val="both"/>
        <w:rPr>
          <w:rFonts w:ascii="Arial" w:hAnsi="Arial" w:cs="Arial"/>
          <w:lang w:val="es-MX"/>
        </w:rPr>
      </w:pPr>
      <w:r w:rsidRPr="001E2296">
        <w:rPr>
          <w:rFonts w:ascii="Arial" w:hAnsi="Arial" w:cs="Arial"/>
          <w:lang w:val="es-MX"/>
        </w:rPr>
        <w:t xml:space="preserve">Este indicador busca mostrar la desagregación por grupos de edad  e </w:t>
      </w:r>
      <w:r>
        <w:rPr>
          <w:rFonts w:ascii="Arial" w:hAnsi="Arial" w:cs="Arial"/>
          <w:lang w:val="es-MX"/>
        </w:rPr>
        <w:t xml:space="preserve">con ello lograr </w:t>
      </w:r>
      <w:r w:rsidRPr="001E2296">
        <w:rPr>
          <w:rFonts w:ascii="Arial" w:hAnsi="Arial" w:cs="Arial"/>
          <w:lang w:val="es-MX"/>
        </w:rPr>
        <w:t xml:space="preserve">identificar el </w:t>
      </w:r>
      <w:r>
        <w:rPr>
          <w:rFonts w:ascii="Arial" w:hAnsi="Arial" w:cs="Arial"/>
          <w:lang w:val="es-MX"/>
        </w:rPr>
        <w:t xml:space="preserve">grupo de edad que es </w:t>
      </w:r>
      <w:r w:rsidRPr="001E2296">
        <w:rPr>
          <w:rFonts w:ascii="Arial" w:hAnsi="Arial" w:cs="Arial"/>
          <w:lang w:val="es-MX"/>
        </w:rPr>
        <w:t>más afectado</w:t>
      </w:r>
      <w:r>
        <w:rPr>
          <w:rFonts w:ascii="Arial" w:hAnsi="Arial" w:cs="Arial"/>
          <w:lang w:val="es-MX"/>
        </w:rPr>
        <w:t xml:space="preserve"> por esta tipología</w:t>
      </w:r>
      <w:r w:rsidRPr="001E2296">
        <w:rPr>
          <w:rFonts w:ascii="Arial" w:hAnsi="Arial" w:cs="Arial"/>
          <w:lang w:val="es-MX"/>
        </w:rPr>
        <w:t xml:space="preserve">, </w:t>
      </w:r>
      <w:r>
        <w:rPr>
          <w:rFonts w:ascii="Arial" w:hAnsi="Arial" w:cs="Arial"/>
          <w:lang w:val="es-MX"/>
        </w:rPr>
        <w:t xml:space="preserve">se analiza </w:t>
      </w:r>
      <w:r w:rsidRPr="001E2296">
        <w:rPr>
          <w:rFonts w:ascii="Arial" w:hAnsi="Arial" w:cs="Arial"/>
          <w:lang w:val="es-MX"/>
        </w:rPr>
        <w:t>para el año 2010</w:t>
      </w:r>
      <w:r>
        <w:rPr>
          <w:rFonts w:ascii="Arial" w:hAnsi="Arial" w:cs="Arial"/>
          <w:lang w:val="es-MX"/>
        </w:rPr>
        <w:t>. En este indicador p</w:t>
      </w:r>
      <w:r w:rsidRPr="001E2296">
        <w:rPr>
          <w:rFonts w:ascii="Arial" w:hAnsi="Arial" w:cs="Arial"/>
          <w:lang w:val="es-MX"/>
        </w:rPr>
        <w:t>odría existir casos para los cuales a la fecha de cierre de la base de datos no se contaba con información correspondiente a la edad de la víctima</w:t>
      </w:r>
    </w:p>
    <w:p w:rsidR="002A6E8C" w:rsidRDefault="002A6E8C" w:rsidP="003A34CA">
      <w:pPr>
        <w:jc w:val="both"/>
        <w:rPr>
          <w:rFonts w:ascii="Arial" w:hAnsi="Arial" w:cs="Arial"/>
          <w:b/>
          <w:bCs/>
          <w:sz w:val="20"/>
          <w:szCs w:val="20"/>
          <w:lang w:val="es-MX"/>
        </w:rPr>
      </w:pPr>
      <w:r w:rsidRPr="000803B9">
        <w:rPr>
          <w:rFonts w:ascii="Arial" w:hAnsi="Arial" w:cs="Arial"/>
          <w:b/>
          <w:bCs/>
          <w:sz w:val="20"/>
          <w:szCs w:val="20"/>
          <w:lang w:val="es-MX"/>
        </w:rPr>
        <w:lastRenderedPageBreak/>
        <w:t>Gráfico 1. Total de muertes por violencia indeterminada según rango de edad – Año 2010</w:t>
      </w:r>
    </w:p>
    <w:p w:rsidR="002A6E8C" w:rsidRPr="003A34CA" w:rsidRDefault="008C2FF4" w:rsidP="003A34CA">
      <w:pPr>
        <w:jc w:val="both"/>
        <w:rPr>
          <w:rFonts w:ascii="Arial" w:hAnsi="Arial" w:cs="Arial"/>
          <w:b/>
          <w:bCs/>
          <w:sz w:val="20"/>
          <w:szCs w:val="20"/>
          <w:lang w:val="es-MX"/>
        </w:rPr>
      </w:pPr>
      <w:r>
        <w:rPr>
          <w:noProof/>
          <w:szCs w:val="20"/>
        </w:rPr>
        <w:drawing>
          <wp:inline distT="0" distB="0" distL="0" distR="0">
            <wp:extent cx="5553075" cy="31051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075" cy="31051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F05679">
      <w:pPr>
        <w:jc w:val="both"/>
        <w:rPr>
          <w:rFonts w:ascii="Arial" w:hAnsi="Arial" w:cs="Arial"/>
          <w:lang w:val="es-MX"/>
        </w:rPr>
      </w:pPr>
    </w:p>
    <w:p w:rsidR="002A6E8C" w:rsidRDefault="002A6E8C" w:rsidP="00471C64">
      <w:pPr>
        <w:pStyle w:val="Ttulo2"/>
        <w:numPr>
          <w:ilvl w:val="1"/>
          <w:numId w:val="10"/>
        </w:numPr>
        <w:jc w:val="both"/>
        <w:rPr>
          <w:color w:val="auto"/>
          <w:lang w:eastAsia="es-ES"/>
        </w:rPr>
      </w:pPr>
      <w:bookmarkStart w:id="6" w:name="_Toc315681375"/>
      <w:r w:rsidRPr="005D0C51">
        <w:rPr>
          <w:color w:val="auto"/>
          <w:lang w:eastAsia="es-ES"/>
        </w:rPr>
        <w:t>Porcentaje de homicidios según rango de edad</w:t>
      </w:r>
      <w:bookmarkEnd w:id="6"/>
    </w:p>
    <w:p w:rsidR="002A6E8C" w:rsidRPr="000803B9" w:rsidRDefault="008C2FF4" w:rsidP="000803B9">
      <w:pPr>
        <w:rPr>
          <w:lang w:eastAsia="es-ES"/>
        </w:rPr>
      </w:pPr>
      <w:r>
        <w:rPr>
          <w:noProof/>
        </w:rPr>
        <w:drawing>
          <wp:inline distT="0" distB="0" distL="0" distR="0">
            <wp:extent cx="5600700" cy="30194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1B2242">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1B2242">
      <w:pPr>
        <w:spacing w:after="0" w:line="240" w:lineRule="auto"/>
        <w:jc w:val="center"/>
        <w:rPr>
          <w:rFonts w:ascii="Arial" w:hAnsi="Arial" w:cs="Arial"/>
          <w:sz w:val="16"/>
          <w:szCs w:val="16"/>
          <w:lang w:val="es-MX"/>
        </w:rPr>
      </w:pPr>
    </w:p>
    <w:p w:rsidR="002A6E8C" w:rsidRDefault="002A6E8C" w:rsidP="001B2242">
      <w:pPr>
        <w:spacing w:after="0" w:line="240" w:lineRule="auto"/>
        <w:jc w:val="center"/>
        <w:rPr>
          <w:rFonts w:ascii="Arial" w:hAnsi="Arial" w:cs="Arial"/>
          <w:sz w:val="16"/>
          <w:szCs w:val="16"/>
          <w:lang w:val="es-MX"/>
        </w:rPr>
      </w:pPr>
    </w:p>
    <w:p w:rsidR="002A6E8C" w:rsidRPr="00D85136" w:rsidRDefault="002A6E8C" w:rsidP="009F3AEE">
      <w:pPr>
        <w:spacing w:after="0" w:line="240" w:lineRule="auto"/>
        <w:jc w:val="both"/>
        <w:rPr>
          <w:rFonts w:ascii="Arial" w:hAnsi="Arial" w:cs="Arial"/>
          <w:lang w:val="es-MX"/>
        </w:rPr>
      </w:pPr>
      <w:r>
        <w:rPr>
          <w:rFonts w:ascii="Arial" w:hAnsi="Arial" w:cs="Arial"/>
          <w:lang w:val="es-MX"/>
        </w:rPr>
        <w:lastRenderedPageBreak/>
        <w:t>Este indicador manifiesta los puntos máximos donde los homicidios fueron más frecuentes en el 2010, estos grupos son los conformados por las personas en edades de 20 a 40 años.</w:t>
      </w:r>
    </w:p>
    <w:p w:rsidR="002A6E8C" w:rsidRDefault="002A6E8C" w:rsidP="001B2242">
      <w:pPr>
        <w:spacing w:after="0" w:line="240" w:lineRule="auto"/>
        <w:jc w:val="center"/>
        <w:rPr>
          <w:rFonts w:ascii="Arial" w:hAnsi="Arial" w:cs="Arial"/>
          <w:sz w:val="16"/>
          <w:szCs w:val="16"/>
          <w:lang w:val="es-MX"/>
        </w:rPr>
      </w:pPr>
    </w:p>
    <w:p w:rsidR="002A6E8C" w:rsidRDefault="002A6E8C" w:rsidP="00471C64">
      <w:pPr>
        <w:pStyle w:val="Ttulo2"/>
        <w:numPr>
          <w:ilvl w:val="1"/>
          <w:numId w:val="10"/>
        </w:numPr>
        <w:jc w:val="both"/>
        <w:rPr>
          <w:color w:val="auto"/>
          <w:lang w:eastAsia="es-ES"/>
        </w:rPr>
      </w:pPr>
      <w:bookmarkStart w:id="7" w:name="_Toc315681376"/>
      <w:r w:rsidRPr="005D0C51">
        <w:rPr>
          <w:color w:val="auto"/>
          <w:lang w:eastAsia="es-ES"/>
        </w:rPr>
        <w:t>Porcentaje de muertes por violencia indeterminada, según sexo de la victima</w:t>
      </w:r>
      <w:bookmarkEnd w:id="7"/>
    </w:p>
    <w:p w:rsidR="002A6E8C" w:rsidRDefault="008C2FF4" w:rsidP="000A276A">
      <w:pPr>
        <w:spacing w:before="120" w:after="120"/>
        <w:jc w:val="center"/>
        <w:rPr>
          <w:lang w:val="es-MX"/>
        </w:rPr>
      </w:pPr>
      <w:r>
        <w:rPr>
          <w:noProof/>
        </w:rPr>
        <w:drawing>
          <wp:inline distT="0" distB="0" distL="0" distR="0">
            <wp:extent cx="4572000" cy="2476500"/>
            <wp:effectExtent l="0" t="0" r="0" b="0"/>
            <wp:docPr id="2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47650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843C91">
      <w:pPr>
        <w:spacing w:after="0" w:line="240" w:lineRule="auto"/>
        <w:jc w:val="center"/>
        <w:rPr>
          <w:rFonts w:ascii="Arial" w:hAnsi="Arial" w:cs="Arial"/>
          <w:sz w:val="16"/>
          <w:szCs w:val="16"/>
          <w:lang w:val="es-MX"/>
        </w:rPr>
      </w:pPr>
    </w:p>
    <w:p w:rsidR="002A6E8C" w:rsidRDefault="002A6E8C" w:rsidP="00843C91">
      <w:pPr>
        <w:spacing w:after="0" w:line="240" w:lineRule="auto"/>
        <w:jc w:val="center"/>
        <w:rPr>
          <w:rFonts w:ascii="Arial" w:hAnsi="Arial" w:cs="Arial"/>
          <w:sz w:val="16"/>
          <w:szCs w:val="16"/>
          <w:lang w:val="es-MX"/>
        </w:rPr>
      </w:pPr>
    </w:p>
    <w:p w:rsidR="002A6E8C" w:rsidRDefault="002A6E8C" w:rsidP="009F3AEE">
      <w:pPr>
        <w:spacing w:after="0" w:line="240" w:lineRule="auto"/>
        <w:jc w:val="both"/>
        <w:rPr>
          <w:rFonts w:ascii="Arial" w:hAnsi="Arial" w:cs="Arial"/>
          <w:bCs/>
        </w:rPr>
      </w:pPr>
      <w:r w:rsidRPr="009F3AEE">
        <w:rPr>
          <w:rFonts w:ascii="Arial" w:hAnsi="Arial" w:cs="Arial"/>
          <w:lang w:val="es-MX"/>
        </w:rPr>
        <w:t xml:space="preserve">Este esquema deja ver que </w:t>
      </w:r>
      <w:r>
        <w:rPr>
          <w:rFonts w:ascii="Arial" w:hAnsi="Arial" w:cs="Arial"/>
          <w:lang w:val="es-MX"/>
        </w:rPr>
        <w:t xml:space="preserve">el porcentaje de hombres que mueren por violencia indeterminada es cuatro veces mayor que el de las mujeres. </w:t>
      </w:r>
      <w:r w:rsidRPr="009F3AEE">
        <w:rPr>
          <w:rFonts w:ascii="Arial" w:hAnsi="Arial" w:cs="Arial"/>
          <w:lang w:val="es-MX"/>
        </w:rPr>
        <w:t xml:space="preserve">A continuación se desarrollará más detalladamente éste indicador por género para observar </w:t>
      </w:r>
      <w:r>
        <w:rPr>
          <w:rFonts w:ascii="Arial" w:hAnsi="Arial" w:cs="Arial"/>
          <w:lang w:val="es-MX"/>
        </w:rPr>
        <w:t xml:space="preserve">su </w:t>
      </w:r>
      <w:r w:rsidRPr="009F3AEE">
        <w:rPr>
          <w:rFonts w:ascii="Arial" w:hAnsi="Arial" w:cs="Arial"/>
          <w:lang w:val="es-MX"/>
        </w:rPr>
        <w:t xml:space="preserve">comportamiento. Se presenta del lado izquierdo la representación del </w:t>
      </w:r>
      <w:r w:rsidRPr="009F3AEE">
        <w:rPr>
          <w:rFonts w:ascii="Arial" w:hAnsi="Arial" w:cs="Arial"/>
          <w:bCs/>
        </w:rPr>
        <w:t>porcentaje de muertes por violencia indeterminada y del lado derecho el crecimiento anual tanto para hombres como para mujeres.</w:t>
      </w:r>
    </w:p>
    <w:p w:rsidR="002A6E8C" w:rsidRDefault="002A6E8C" w:rsidP="009F3AEE">
      <w:pPr>
        <w:spacing w:after="0" w:line="240" w:lineRule="auto"/>
        <w:jc w:val="both"/>
        <w:rPr>
          <w:rFonts w:ascii="Arial" w:hAnsi="Arial" w:cs="Arial"/>
          <w:bCs/>
        </w:rPr>
      </w:pPr>
    </w:p>
    <w:p w:rsidR="002A6E8C" w:rsidRPr="003A34CA" w:rsidRDefault="002A6E8C" w:rsidP="009F3AEE">
      <w:pPr>
        <w:jc w:val="both"/>
        <w:rPr>
          <w:rFonts w:ascii="Arial" w:hAnsi="Arial" w:cs="Arial"/>
          <w:b/>
          <w:bCs/>
          <w:sz w:val="20"/>
          <w:szCs w:val="20"/>
          <w:lang w:val="es-MX"/>
        </w:rPr>
      </w:pPr>
      <w:r w:rsidRPr="003A34CA">
        <w:rPr>
          <w:rFonts w:ascii="Arial" w:hAnsi="Arial" w:cs="Arial"/>
          <w:b/>
          <w:bCs/>
          <w:sz w:val="20"/>
          <w:szCs w:val="20"/>
          <w:lang w:val="es-MX"/>
        </w:rPr>
        <w:t>Distribución del porcentaje de muertes por violencia indeterminada</w:t>
      </w:r>
      <w:r>
        <w:rPr>
          <w:rFonts w:ascii="Arial" w:hAnsi="Arial" w:cs="Arial"/>
          <w:b/>
          <w:bCs/>
          <w:sz w:val="20"/>
          <w:szCs w:val="20"/>
          <w:lang w:val="es-MX"/>
        </w:rPr>
        <w:t xml:space="preserve"> </w:t>
      </w:r>
      <w:r w:rsidRPr="003A34CA">
        <w:rPr>
          <w:rFonts w:ascii="Arial" w:hAnsi="Arial" w:cs="Arial"/>
          <w:b/>
          <w:bCs/>
          <w:sz w:val="20"/>
          <w:szCs w:val="20"/>
          <w:lang w:val="es-MX"/>
        </w:rPr>
        <w:t xml:space="preserve">(Izq.) y Crecimiento Anual del porcentaje de muertes por violencia indeterminada (Der)para Hombres </w:t>
      </w:r>
    </w:p>
    <w:p w:rsidR="002A6E8C" w:rsidRPr="003A34CA" w:rsidRDefault="002A6E8C" w:rsidP="003A34CA">
      <w:pPr>
        <w:jc w:val="both"/>
        <w:rPr>
          <w:rFonts w:ascii="Arial" w:hAnsi="Arial" w:cs="Arial"/>
          <w:b/>
          <w:bCs/>
          <w:sz w:val="20"/>
          <w:szCs w:val="20"/>
          <w:lang w:val="es-MX"/>
        </w:rPr>
        <w:sectPr w:rsidR="002A6E8C" w:rsidRPr="003A34CA" w:rsidSect="0064416F">
          <w:type w:val="continuous"/>
          <w:pgSz w:w="12240" w:h="15840" w:code="1"/>
          <w:pgMar w:top="1417" w:right="1701" w:bottom="1417" w:left="1701" w:header="708" w:footer="708" w:gutter="0"/>
          <w:cols w:space="708"/>
          <w:docGrid w:linePitch="360"/>
        </w:sectPr>
      </w:pPr>
    </w:p>
    <w:p w:rsidR="002A6E8C" w:rsidRDefault="008C2FF4" w:rsidP="0031074A">
      <w:pPr>
        <w:ind w:left="-709"/>
        <w:jc w:val="center"/>
      </w:pPr>
      <w:r>
        <w:rPr>
          <w:noProof/>
        </w:rPr>
        <w:lastRenderedPageBreak/>
        <w:drawing>
          <wp:inline distT="0" distB="0" distL="0" distR="0">
            <wp:extent cx="2990850" cy="1952625"/>
            <wp:effectExtent l="0" t="0" r="0" b="9525"/>
            <wp:docPr id="2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p w:rsidR="002A6E8C" w:rsidRPr="00135112" w:rsidRDefault="008C2FF4" w:rsidP="00325757">
      <w:pPr>
        <w:jc w:val="center"/>
      </w:pPr>
      <w:r>
        <w:rPr>
          <w:noProof/>
        </w:rPr>
        <w:lastRenderedPageBreak/>
        <w:drawing>
          <wp:inline distT="0" distB="0" distL="0" distR="0">
            <wp:extent cx="2886075" cy="1952625"/>
            <wp:effectExtent l="0" t="0" r="9525" b="9525"/>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075" cy="195262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sectPr w:rsidR="002A6E8C" w:rsidSect="0064416F">
          <w:type w:val="continuous"/>
          <w:pgSz w:w="12240" w:h="15840" w:code="1"/>
          <w:pgMar w:top="1417" w:right="991" w:bottom="1417" w:left="1701" w:header="708" w:footer="708" w:gutter="0"/>
          <w:cols w:num="2" w:space="282"/>
          <w:docGrid w:linePitch="360"/>
        </w:sectPr>
      </w:pP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843C91">
      <w:pPr>
        <w:spacing w:after="0" w:line="240" w:lineRule="auto"/>
        <w:jc w:val="center"/>
        <w:rPr>
          <w:rFonts w:ascii="Arial" w:hAnsi="Arial" w:cs="Arial"/>
          <w:sz w:val="16"/>
          <w:szCs w:val="16"/>
          <w:lang w:val="es-MX"/>
        </w:rPr>
      </w:pPr>
    </w:p>
    <w:p w:rsidR="002A6E8C" w:rsidRPr="0017582F" w:rsidRDefault="002A6E8C" w:rsidP="0017582F">
      <w:pPr>
        <w:jc w:val="both"/>
        <w:rPr>
          <w:rFonts w:ascii="Arial" w:hAnsi="Arial" w:cs="Arial"/>
          <w:bCs/>
        </w:rPr>
      </w:pPr>
      <w:r>
        <w:rPr>
          <w:rFonts w:ascii="Arial" w:hAnsi="Arial" w:cs="Arial"/>
          <w:bCs/>
        </w:rPr>
        <w:lastRenderedPageBreak/>
        <w:t>E</w:t>
      </w:r>
      <w:r w:rsidRPr="0017582F">
        <w:rPr>
          <w:rFonts w:ascii="Arial" w:hAnsi="Arial" w:cs="Arial"/>
          <w:bCs/>
        </w:rPr>
        <w:t>l porcentaje de muertes de hombres por violencia indeterminad</w:t>
      </w:r>
      <w:r>
        <w:rPr>
          <w:rFonts w:ascii="Arial" w:hAnsi="Arial" w:cs="Arial"/>
          <w:bCs/>
        </w:rPr>
        <w:t>a</w:t>
      </w:r>
      <w:r w:rsidRPr="0017582F">
        <w:rPr>
          <w:rFonts w:ascii="Arial" w:hAnsi="Arial" w:cs="Arial"/>
          <w:bCs/>
        </w:rPr>
        <w:t xml:space="preserve"> ha mantenido una tendencia creciente </w:t>
      </w:r>
      <w:r>
        <w:rPr>
          <w:rFonts w:ascii="Arial" w:hAnsi="Arial" w:cs="Arial"/>
          <w:bCs/>
        </w:rPr>
        <w:t xml:space="preserve">sobre el 78%, </w:t>
      </w:r>
      <w:r w:rsidRPr="0017582F">
        <w:rPr>
          <w:rFonts w:ascii="Arial" w:hAnsi="Arial" w:cs="Arial"/>
          <w:bCs/>
        </w:rPr>
        <w:t xml:space="preserve">a excepción del año 2005 que </w:t>
      </w:r>
      <w:r>
        <w:rPr>
          <w:rFonts w:ascii="Arial" w:hAnsi="Arial" w:cs="Arial"/>
          <w:bCs/>
        </w:rPr>
        <w:t xml:space="preserve">tuvo un descenso </w:t>
      </w:r>
      <w:r w:rsidRPr="0017582F">
        <w:rPr>
          <w:rFonts w:ascii="Arial" w:hAnsi="Arial" w:cs="Arial"/>
          <w:bCs/>
        </w:rPr>
        <w:t>a 68,6%</w:t>
      </w:r>
      <w:r>
        <w:rPr>
          <w:rFonts w:ascii="Arial" w:hAnsi="Arial" w:cs="Arial"/>
          <w:bCs/>
        </w:rPr>
        <w:t xml:space="preserve">, pero su comportamiento en la variabilidad nos indica que está tomando estabilidad sobre el 1%. Es de notar que el descenso de muertes por violencia indeterminada para los hombres en 2005 se redujo en 7,4 puntos porcentuales, mientras que en el 2006 se manifestó la más alta tasa de crecimiento (14%) de este indicador en los últimos 6 años. </w:t>
      </w:r>
    </w:p>
    <w:p w:rsidR="002A6E8C" w:rsidRPr="003A34CA" w:rsidRDefault="002A6E8C" w:rsidP="009F3AEE">
      <w:pPr>
        <w:jc w:val="both"/>
        <w:rPr>
          <w:rFonts w:ascii="Arial" w:hAnsi="Arial" w:cs="Arial"/>
          <w:b/>
          <w:bCs/>
          <w:sz w:val="20"/>
          <w:szCs w:val="20"/>
          <w:lang w:val="es-MX"/>
        </w:rPr>
      </w:pPr>
      <w:r w:rsidRPr="003A34CA">
        <w:rPr>
          <w:rFonts w:ascii="Arial" w:hAnsi="Arial" w:cs="Arial"/>
          <w:b/>
          <w:bCs/>
          <w:sz w:val="20"/>
          <w:szCs w:val="20"/>
          <w:lang w:val="es-MX"/>
        </w:rPr>
        <w:t>Distribución del porcentaje de muertes por violencia indeterminada (Izq.) y Crecimiento Anual del porcentaje de muertes por violencia indeterminada (Der) para</w:t>
      </w:r>
      <w:r>
        <w:rPr>
          <w:rFonts w:ascii="Arial" w:hAnsi="Arial" w:cs="Arial"/>
          <w:b/>
          <w:bCs/>
          <w:sz w:val="20"/>
          <w:szCs w:val="20"/>
          <w:lang w:val="es-MX"/>
        </w:rPr>
        <w:t xml:space="preserve"> </w:t>
      </w:r>
      <w:r w:rsidRPr="003A34CA">
        <w:rPr>
          <w:rFonts w:ascii="Arial" w:hAnsi="Arial" w:cs="Arial"/>
          <w:b/>
          <w:bCs/>
          <w:sz w:val="20"/>
          <w:szCs w:val="20"/>
          <w:lang w:val="es-MX"/>
        </w:rPr>
        <w:t>Mujeres</w:t>
      </w:r>
    </w:p>
    <w:p w:rsidR="002A6E8C" w:rsidRPr="003A34CA" w:rsidRDefault="002A6E8C" w:rsidP="009F3AEE">
      <w:pPr>
        <w:jc w:val="both"/>
        <w:rPr>
          <w:rFonts w:ascii="Arial" w:hAnsi="Arial" w:cs="Arial"/>
          <w:b/>
          <w:bCs/>
          <w:sz w:val="20"/>
          <w:szCs w:val="20"/>
          <w:lang w:val="es-MX"/>
        </w:rPr>
        <w:sectPr w:rsidR="002A6E8C" w:rsidRPr="003A34CA" w:rsidSect="0064416F">
          <w:type w:val="continuous"/>
          <w:pgSz w:w="12240" w:h="15840" w:code="1"/>
          <w:pgMar w:top="1417" w:right="1701" w:bottom="1417" w:left="1701" w:header="708" w:footer="708" w:gutter="0"/>
          <w:cols w:space="708"/>
          <w:docGrid w:linePitch="360"/>
        </w:sectPr>
      </w:pPr>
    </w:p>
    <w:p w:rsidR="002A6E8C" w:rsidRDefault="008C2FF4" w:rsidP="0031074A">
      <w:pPr>
        <w:ind w:left="-709"/>
        <w:jc w:val="center"/>
        <w:rPr>
          <w:noProof/>
          <w:lang w:eastAsia="es-ES"/>
        </w:rPr>
      </w:pPr>
      <w:r>
        <w:rPr>
          <w:noProof/>
        </w:rPr>
        <w:lastRenderedPageBreak/>
        <w:drawing>
          <wp:inline distT="0" distB="0" distL="0" distR="0">
            <wp:extent cx="3048000" cy="2038350"/>
            <wp:effectExtent l="0" t="0" r="0" b="0"/>
            <wp:docPr id="2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p w:rsidR="002A6E8C" w:rsidRDefault="008C2FF4" w:rsidP="00921C84">
      <w:pPr>
        <w:rPr>
          <w:noProof/>
          <w:lang w:eastAsia="es-ES"/>
        </w:rPr>
      </w:pPr>
      <w:r>
        <w:rPr>
          <w:noProof/>
        </w:rPr>
        <w:lastRenderedPageBreak/>
        <w:drawing>
          <wp:inline distT="0" distB="0" distL="0" distR="0">
            <wp:extent cx="3048000" cy="2057400"/>
            <wp:effectExtent l="0" t="0" r="0" b="0"/>
            <wp:docPr id="2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rsidR="002A6E8C" w:rsidRDefault="002A6E8C" w:rsidP="00135112">
      <w:pPr>
        <w:jc w:val="center"/>
        <w:rPr>
          <w:lang w:val="es-MX"/>
        </w:rPr>
        <w:sectPr w:rsidR="002A6E8C" w:rsidSect="0064416F">
          <w:type w:val="continuous"/>
          <w:pgSz w:w="12240" w:h="15840" w:code="1"/>
          <w:pgMar w:top="1417" w:right="991" w:bottom="1417" w:left="1701" w:header="708" w:footer="708" w:gutter="0"/>
          <w:cols w:num="2" w:space="142"/>
          <w:docGrid w:linePitch="360"/>
        </w:sectPr>
      </w:pP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0803B9" w:rsidRDefault="002A6E8C" w:rsidP="0017582F">
      <w:pPr>
        <w:jc w:val="both"/>
        <w:rPr>
          <w:rFonts w:ascii="Arial" w:hAnsi="Arial" w:cs="Arial"/>
          <w:bCs/>
          <w:lang w:val="es-MX"/>
        </w:rPr>
      </w:pPr>
      <w:r>
        <w:rPr>
          <w:rFonts w:ascii="Arial" w:hAnsi="Arial" w:cs="Arial"/>
          <w:bCs/>
        </w:rPr>
        <w:t xml:space="preserve">Para las mujeres el comportamiento de éste indicador se observa con una tendencia creciente distinguiendo como un cierto ciclo bianual. En el último año se tuvo un </w:t>
      </w:r>
      <w:r w:rsidRPr="000803B9">
        <w:rPr>
          <w:rFonts w:ascii="Arial" w:hAnsi="Arial" w:cs="Arial"/>
          <w:bCs/>
          <w:lang w:val="es-MX"/>
        </w:rPr>
        <w:t>incremento del 5,9% en muertes por violencia indeterminada.</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Total de muertes por violencia indeterminada según sexo de la victima</w:t>
      </w:r>
    </w:p>
    <w:p w:rsidR="002A6E8C" w:rsidRDefault="008C2FF4" w:rsidP="00921C84">
      <w:pPr>
        <w:jc w:val="center"/>
        <w:rPr>
          <w:b/>
          <w:bCs/>
        </w:rPr>
      </w:pPr>
      <w:r>
        <w:rPr>
          <w:noProof/>
        </w:rPr>
        <w:drawing>
          <wp:inline distT="0" distB="0" distL="0" distR="0">
            <wp:extent cx="5143500" cy="2609850"/>
            <wp:effectExtent l="0" t="0" r="0" b="0"/>
            <wp:docPr id="3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0" cy="26098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843C91">
      <w:pPr>
        <w:spacing w:after="0" w:line="240" w:lineRule="auto"/>
        <w:jc w:val="center"/>
        <w:rPr>
          <w:rFonts w:ascii="Arial" w:hAnsi="Arial" w:cs="Arial"/>
          <w:sz w:val="16"/>
          <w:szCs w:val="16"/>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lastRenderedPageBreak/>
        <w:t xml:space="preserve">Crecimiento Anual del total de muertes por violencia indeterminada según sexo de la victima </w:t>
      </w:r>
    </w:p>
    <w:p w:rsidR="002A6E8C" w:rsidRDefault="008C2FF4" w:rsidP="00B66F40">
      <w:pPr>
        <w:jc w:val="center"/>
      </w:pPr>
      <w:r>
        <w:rPr>
          <w:noProof/>
        </w:rPr>
        <w:drawing>
          <wp:inline distT="0" distB="0" distL="0" distR="0">
            <wp:extent cx="4895850" cy="2781300"/>
            <wp:effectExtent l="0" t="0" r="0" b="0"/>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5850" cy="2781300"/>
                    </a:xfrm>
                    <a:prstGeom prst="rect">
                      <a:avLst/>
                    </a:prstGeom>
                    <a:noFill/>
                    <a:ln>
                      <a:noFill/>
                    </a:ln>
                  </pic:spPr>
                </pic:pic>
              </a:graphicData>
            </a:graphic>
          </wp:inline>
        </w:drawing>
      </w:r>
    </w:p>
    <w:p w:rsidR="002A6E8C" w:rsidRDefault="002A6E8C" w:rsidP="000803B9">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0803B9">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D90472">
      <w:pPr>
        <w:rPr>
          <w:rFonts w:ascii="Arial" w:hAnsi="Arial" w:cs="Arial"/>
          <w:sz w:val="16"/>
          <w:szCs w:val="16"/>
          <w:lang w:val="es-MX"/>
        </w:rPr>
      </w:pPr>
    </w:p>
    <w:p w:rsidR="002A6E8C" w:rsidRDefault="002A6E8C" w:rsidP="00D90472">
      <w:pPr>
        <w:rPr>
          <w:rFonts w:ascii="Arial" w:hAnsi="Arial" w:cs="Arial"/>
          <w:sz w:val="16"/>
          <w:szCs w:val="16"/>
          <w:lang w:val="es-MX"/>
        </w:rPr>
      </w:pPr>
    </w:p>
    <w:p w:rsidR="002A6E8C" w:rsidRDefault="002A6E8C" w:rsidP="00471C64">
      <w:pPr>
        <w:pStyle w:val="Ttulo2"/>
        <w:numPr>
          <w:ilvl w:val="1"/>
          <w:numId w:val="10"/>
        </w:numPr>
        <w:jc w:val="both"/>
        <w:rPr>
          <w:color w:val="auto"/>
          <w:lang w:eastAsia="es-ES"/>
        </w:rPr>
      </w:pPr>
      <w:bookmarkStart w:id="8" w:name="_Toc315681377"/>
      <w:r w:rsidRPr="005D0C51">
        <w:rPr>
          <w:color w:val="auto"/>
          <w:lang w:eastAsia="es-ES"/>
        </w:rPr>
        <w:t>Porcentaje de homicidios según sexo de la victima</w:t>
      </w:r>
      <w:bookmarkEnd w:id="8"/>
    </w:p>
    <w:p w:rsidR="002A6E8C" w:rsidRPr="00CA5F55" w:rsidRDefault="002A6E8C" w:rsidP="00CA5F55">
      <w:pPr>
        <w:rPr>
          <w:lang w:eastAsia="es-ES"/>
        </w:rPr>
      </w:pPr>
    </w:p>
    <w:p w:rsidR="002A6E8C" w:rsidRPr="000A276A" w:rsidRDefault="008C2FF4" w:rsidP="00B66F40">
      <w:pPr>
        <w:jc w:val="center"/>
        <w:rPr>
          <w:lang w:eastAsia="es-ES"/>
        </w:rPr>
      </w:pPr>
      <w:r>
        <w:rPr>
          <w:noProof/>
        </w:rPr>
        <w:drawing>
          <wp:inline distT="0" distB="0" distL="0" distR="0">
            <wp:extent cx="4591050" cy="2762250"/>
            <wp:effectExtent l="0" t="0" r="0" b="0"/>
            <wp:docPr id="3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843C91">
      <w:pPr>
        <w:spacing w:after="0" w:line="240" w:lineRule="auto"/>
        <w:jc w:val="center"/>
        <w:rPr>
          <w:rFonts w:ascii="Arial" w:hAnsi="Arial" w:cs="Arial"/>
          <w:sz w:val="16"/>
          <w:szCs w:val="16"/>
          <w:lang w:val="es-MX"/>
        </w:rPr>
      </w:pPr>
    </w:p>
    <w:p w:rsidR="002A6E8C" w:rsidRPr="00CA5F55" w:rsidRDefault="002A6E8C" w:rsidP="00CA5F55">
      <w:pPr>
        <w:jc w:val="both"/>
        <w:rPr>
          <w:rFonts w:ascii="Arial" w:hAnsi="Arial" w:cs="Arial"/>
          <w:lang w:val="es-MX"/>
        </w:rPr>
      </w:pPr>
      <w:r w:rsidRPr="00CA5F55">
        <w:rPr>
          <w:rFonts w:ascii="Arial" w:hAnsi="Arial" w:cs="Arial"/>
          <w:lang w:val="es-MX"/>
        </w:rPr>
        <w:lastRenderedPageBreak/>
        <w:t>Este indicador presenta un comportamiento similar al de muertes por violencia indeterminada dado que los más afectados en ambos casos son las personas de género masculino.</w:t>
      </w:r>
    </w:p>
    <w:p w:rsidR="002A6E8C" w:rsidRPr="00CA5F55" w:rsidRDefault="002A6E8C" w:rsidP="00CA5F55">
      <w:pPr>
        <w:jc w:val="both"/>
        <w:rPr>
          <w:rFonts w:ascii="Arial" w:hAnsi="Arial" w:cs="Arial"/>
          <w:lang w:val="es-MX"/>
        </w:rPr>
      </w:pPr>
      <w:r w:rsidRPr="00CA5F55">
        <w:rPr>
          <w:rFonts w:ascii="Arial" w:hAnsi="Arial" w:cs="Arial"/>
          <w:lang w:val="es-MX"/>
        </w:rPr>
        <w:t>A continuación observaremos más detalladamente el comportamiento de éste indicador desagregando los gráficos por género.</w:t>
      </w:r>
    </w:p>
    <w:p w:rsidR="002A6E8C" w:rsidRPr="003A34CA" w:rsidRDefault="002A6E8C" w:rsidP="00CA5F55">
      <w:pPr>
        <w:jc w:val="both"/>
        <w:rPr>
          <w:rFonts w:ascii="Arial" w:hAnsi="Arial" w:cs="Arial"/>
          <w:b/>
          <w:bCs/>
          <w:sz w:val="20"/>
          <w:szCs w:val="20"/>
          <w:lang w:val="es-MX"/>
        </w:rPr>
      </w:pPr>
      <w:r w:rsidRPr="003A34CA">
        <w:rPr>
          <w:rFonts w:ascii="Arial" w:hAnsi="Arial" w:cs="Arial"/>
          <w:b/>
          <w:bCs/>
          <w:sz w:val="20"/>
          <w:szCs w:val="20"/>
          <w:lang w:val="es-MX"/>
        </w:rPr>
        <w:t>Distribución del porcentaje de homicidios según sexo de la víctima – Hombres (Izq.) y Mujeres (Der)</w:t>
      </w:r>
    </w:p>
    <w:p w:rsidR="002A6E8C" w:rsidRPr="003A34CA" w:rsidRDefault="002A6E8C" w:rsidP="003A34CA">
      <w:pPr>
        <w:jc w:val="both"/>
        <w:rPr>
          <w:rFonts w:ascii="Arial" w:hAnsi="Arial" w:cs="Arial"/>
          <w:b/>
          <w:bCs/>
          <w:sz w:val="20"/>
          <w:szCs w:val="20"/>
          <w:lang w:val="es-MX"/>
        </w:rPr>
        <w:sectPr w:rsidR="002A6E8C" w:rsidRPr="003A34CA" w:rsidSect="0064416F">
          <w:type w:val="continuous"/>
          <w:pgSz w:w="12240" w:h="15840" w:code="1"/>
          <w:pgMar w:top="1417" w:right="1701" w:bottom="1417" w:left="1701" w:header="708" w:footer="708" w:gutter="0"/>
          <w:cols w:space="708"/>
          <w:docGrid w:linePitch="360"/>
        </w:sectPr>
      </w:pPr>
    </w:p>
    <w:p w:rsidR="002A6E8C" w:rsidRDefault="008C2FF4" w:rsidP="0031074A">
      <w:pPr>
        <w:ind w:left="-709"/>
        <w:jc w:val="center"/>
        <w:rPr>
          <w:lang w:val="es-MX"/>
        </w:rPr>
      </w:pPr>
      <w:r>
        <w:rPr>
          <w:noProof/>
        </w:rPr>
        <w:lastRenderedPageBreak/>
        <w:drawing>
          <wp:inline distT="0" distB="0" distL="0" distR="0">
            <wp:extent cx="2895600" cy="2066925"/>
            <wp:effectExtent l="0" t="0" r="0" b="9525"/>
            <wp:docPr id="3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0" cy="2066925"/>
                    </a:xfrm>
                    <a:prstGeom prst="rect">
                      <a:avLst/>
                    </a:prstGeom>
                    <a:noFill/>
                    <a:ln>
                      <a:noFill/>
                    </a:ln>
                  </pic:spPr>
                </pic:pic>
              </a:graphicData>
            </a:graphic>
          </wp:inline>
        </w:drawing>
      </w:r>
    </w:p>
    <w:p w:rsidR="002A6E8C" w:rsidRPr="00B66F40" w:rsidRDefault="008C2FF4" w:rsidP="00660AA3">
      <w:pPr>
        <w:jc w:val="center"/>
        <w:rPr>
          <w:lang w:val="es-MX"/>
        </w:rPr>
      </w:pPr>
      <w:r>
        <w:rPr>
          <w:noProof/>
        </w:rPr>
        <w:lastRenderedPageBreak/>
        <w:drawing>
          <wp:inline distT="0" distB="0" distL="0" distR="0">
            <wp:extent cx="2895600" cy="2047875"/>
            <wp:effectExtent l="0" t="0" r="0" b="9525"/>
            <wp:docPr id="3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0" cy="20478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sectPr w:rsidR="002A6E8C" w:rsidSect="0064416F">
          <w:type w:val="continuous"/>
          <w:pgSz w:w="12240" w:h="15840" w:code="1"/>
          <w:pgMar w:top="1417" w:right="991" w:bottom="1417" w:left="1701" w:header="708" w:footer="708" w:gutter="0"/>
          <w:cols w:num="2" w:space="142"/>
          <w:docGrid w:linePitch="360"/>
        </w:sectPr>
      </w:pP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CA5F55">
      <w:pPr>
        <w:rPr>
          <w:rFonts w:ascii="Arial" w:hAnsi="Arial" w:cs="Arial"/>
          <w:lang w:val="es-MX"/>
        </w:rPr>
      </w:pPr>
    </w:p>
    <w:p w:rsidR="002A6E8C" w:rsidRPr="00CA5F55" w:rsidRDefault="002A6E8C" w:rsidP="00CA5F55">
      <w:pPr>
        <w:jc w:val="both"/>
        <w:rPr>
          <w:rFonts w:ascii="Arial" w:hAnsi="Arial" w:cs="Arial"/>
          <w:lang w:val="es-MX"/>
        </w:rPr>
      </w:pPr>
      <w:r>
        <w:rPr>
          <w:rFonts w:ascii="Arial" w:hAnsi="Arial" w:cs="Arial"/>
          <w:lang w:val="es-MX"/>
        </w:rPr>
        <w:t xml:space="preserve">El porcentaje de muertes por homicidio en los hombres se ha mantenido en un 91,7% en promedio. </w:t>
      </w:r>
    </w:p>
    <w:p w:rsidR="002A6E8C" w:rsidRPr="003A34CA" w:rsidRDefault="002A6E8C" w:rsidP="00CA5F55">
      <w:pPr>
        <w:jc w:val="both"/>
        <w:rPr>
          <w:rFonts w:ascii="Arial" w:hAnsi="Arial" w:cs="Arial"/>
          <w:b/>
          <w:bCs/>
          <w:sz w:val="20"/>
          <w:szCs w:val="20"/>
          <w:lang w:val="es-MX"/>
        </w:rPr>
      </w:pPr>
      <w:r w:rsidRPr="003A34CA">
        <w:rPr>
          <w:rFonts w:ascii="Arial" w:hAnsi="Arial" w:cs="Arial"/>
          <w:b/>
          <w:bCs/>
          <w:sz w:val="20"/>
          <w:szCs w:val="20"/>
          <w:lang w:val="es-MX"/>
        </w:rPr>
        <w:t>Crecimiento Anual del porcentaje de homicidios según sexo de la víctima – Hombres (Izq.) y Mujeres (Der)</w:t>
      </w:r>
    </w:p>
    <w:p w:rsidR="002A6E8C" w:rsidRPr="003A34CA" w:rsidRDefault="002A6E8C" w:rsidP="003A34CA">
      <w:pPr>
        <w:jc w:val="both"/>
        <w:rPr>
          <w:rFonts w:ascii="Arial" w:hAnsi="Arial" w:cs="Arial"/>
          <w:b/>
          <w:bCs/>
          <w:sz w:val="20"/>
          <w:szCs w:val="20"/>
          <w:lang w:val="es-MX"/>
        </w:rPr>
        <w:sectPr w:rsidR="002A6E8C" w:rsidRPr="003A34CA" w:rsidSect="0064416F">
          <w:type w:val="continuous"/>
          <w:pgSz w:w="12240" w:h="15840" w:code="1"/>
          <w:pgMar w:top="1417" w:right="1701" w:bottom="1417" w:left="1701" w:header="708" w:footer="708" w:gutter="0"/>
          <w:cols w:space="708"/>
          <w:docGrid w:linePitch="360"/>
        </w:sectPr>
      </w:pPr>
    </w:p>
    <w:p w:rsidR="002A6E8C" w:rsidRDefault="008C2FF4" w:rsidP="0031074A">
      <w:pPr>
        <w:ind w:left="-709"/>
        <w:jc w:val="center"/>
        <w:rPr>
          <w:lang w:val="es-MX"/>
        </w:rPr>
      </w:pPr>
      <w:r>
        <w:rPr>
          <w:noProof/>
        </w:rPr>
        <w:lastRenderedPageBreak/>
        <w:drawing>
          <wp:inline distT="0" distB="0" distL="0" distR="0">
            <wp:extent cx="2895600" cy="2000250"/>
            <wp:effectExtent l="0" t="0" r="0" b="0"/>
            <wp:docPr id="3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5600" cy="2000250"/>
                    </a:xfrm>
                    <a:prstGeom prst="rect">
                      <a:avLst/>
                    </a:prstGeom>
                    <a:noFill/>
                    <a:ln>
                      <a:noFill/>
                    </a:ln>
                  </pic:spPr>
                </pic:pic>
              </a:graphicData>
            </a:graphic>
          </wp:inline>
        </w:drawing>
      </w:r>
    </w:p>
    <w:p w:rsidR="002A6E8C" w:rsidRDefault="008C2FF4" w:rsidP="009F447B">
      <w:pPr>
        <w:jc w:val="center"/>
        <w:rPr>
          <w:lang w:val="es-MX"/>
        </w:rPr>
      </w:pPr>
      <w:r>
        <w:rPr>
          <w:noProof/>
        </w:rPr>
        <w:lastRenderedPageBreak/>
        <w:drawing>
          <wp:inline distT="0" distB="0" distL="0" distR="0">
            <wp:extent cx="2847975" cy="2000250"/>
            <wp:effectExtent l="0" t="0" r="9525" b="0"/>
            <wp:docPr id="3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7975" cy="20002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sectPr w:rsidR="002A6E8C" w:rsidSect="0064416F">
          <w:type w:val="continuous"/>
          <w:pgSz w:w="12240" w:h="15840" w:code="1"/>
          <w:pgMar w:top="1417" w:right="991" w:bottom="1417" w:left="1701" w:header="708" w:footer="708" w:gutter="0"/>
          <w:cols w:num="2" w:space="283"/>
          <w:docGrid w:linePitch="360"/>
        </w:sectPr>
      </w:pP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843C91">
      <w:pPr>
        <w:spacing w:after="0" w:line="240" w:lineRule="auto"/>
        <w:jc w:val="center"/>
        <w:rPr>
          <w:rFonts w:ascii="Arial" w:hAnsi="Arial" w:cs="Arial"/>
          <w:sz w:val="16"/>
          <w:szCs w:val="16"/>
          <w:lang w:val="es-MX"/>
        </w:rPr>
      </w:pPr>
    </w:p>
    <w:p w:rsidR="002A6E8C" w:rsidRDefault="002A6E8C" w:rsidP="00CA5F55">
      <w:pPr>
        <w:jc w:val="both"/>
        <w:rPr>
          <w:rFonts w:ascii="Arial" w:hAnsi="Arial" w:cs="Arial"/>
          <w:lang w:val="es-MX"/>
        </w:rPr>
      </w:pPr>
    </w:p>
    <w:p w:rsidR="002A6E8C" w:rsidRPr="00CA5F55" w:rsidRDefault="002A6E8C" w:rsidP="00CA5F55">
      <w:pPr>
        <w:jc w:val="both"/>
        <w:rPr>
          <w:rFonts w:ascii="Arial" w:hAnsi="Arial" w:cs="Arial"/>
          <w:lang w:val="es-MX"/>
        </w:rPr>
      </w:pPr>
      <w:r>
        <w:rPr>
          <w:rFonts w:ascii="Arial" w:hAnsi="Arial" w:cs="Arial"/>
          <w:lang w:val="es-MX"/>
        </w:rPr>
        <w:lastRenderedPageBreak/>
        <w:t xml:space="preserve">El porcentaje de muertes por homicidio en las mujeres tiene un promedio de 8,1% </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Total de homicidios según sexo de la victima</w:t>
      </w:r>
    </w:p>
    <w:p w:rsidR="002A6E8C" w:rsidRPr="009F447B" w:rsidRDefault="008C2FF4" w:rsidP="00CD5CC9">
      <w:pPr>
        <w:spacing w:after="120" w:line="240" w:lineRule="auto"/>
        <w:jc w:val="center"/>
        <w:rPr>
          <w:rFonts w:ascii="Arial" w:hAnsi="Arial" w:cs="Arial"/>
          <w:b/>
          <w:bCs/>
          <w:color w:val="000000"/>
          <w:lang w:eastAsia="es-ES"/>
        </w:rPr>
      </w:pPr>
      <w:r>
        <w:rPr>
          <w:noProof/>
        </w:rPr>
        <w:drawing>
          <wp:inline distT="0" distB="0" distL="0" distR="0">
            <wp:extent cx="5153025" cy="30956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3025" cy="309562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660AA3">
      <w:pPr>
        <w:jc w:val="center"/>
        <w:rPr>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Total de homicidios según sexo de la víctima  - Hombres</w:t>
      </w:r>
      <w:r>
        <w:rPr>
          <w:rFonts w:ascii="Arial" w:hAnsi="Arial" w:cs="Arial"/>
          <w:b/>
          <w:bCs/>
          <w:sz w:val="20"/>
          <w:szCs w:val="20"/>
          <w:lang w:val="es-MX"/>
        </w:rPr>
        <w:t xml:space="preserve"> </w:t>
      </w:r>
      <w:r w:rsidRPr="003A34CA">
        <w:rPr>
          <w:rFonts w:ascii="Arial" w:hAnsi="Arial" w:cs="Arial"/>
          <w:b/>
          <w:bCs/>
          <w:sz w:val="20"/>
          <w:szCs w:val="20"/>
          <w:lang w:val="es-MX"/>
        </w:rPr>
        <w:t>(Izq.) y Mujeres (Der)</w:t>
      </w:r>
    </w:p>
    <w:p w:rsidR="002A6E8C" w:rsidRPr="003A34CA" w:rsidRDefault="002A6E8C" w:rsidP="003A34CA">
      <w:pPr>
        <w:jc w:val="both"/>
        <w:rPr>
          <w:rFonts w:ascii="Arial" w:hAnsi="Arial" w:cs="Arial"/>
          <w:b/>
          <w:bCs/>
          <w:sz w:val="20"/>
          <w:szCs w:val="20"/>
          <w:lang w:val="es-MX"/>
        </w:rPr>
        <w:sectPr w:rsidR="002A6E8C" w:rsidRPr="003A34CA" w:rsidSect="0064416F">
          <w:type w:val="continuous"/>
          <w:pgSz w:w="12240" w:h="15840" w:code="1"/>
          <w:pgMar w:top="1417" w:right="1701" w:bottom="1417" w:left="1701" w:header="708" w:footer="708" w:gutter="0"/>
          <w:cols w:space="708"/>
          <w:docGrid w:linePitch="360"/>
        </w:sectPr>
      </w:pPr>
    </w:p>
    <w:p w:rsidR="002A6E8C" w:rsidRDefault="008C2FF4" w:rsidP="0031074A">
      <w:pPr>
        <w:ind w:left="-709"/>
        <w:jc w:val="center"/>
        <w:rPr>
          <w:lang w:val="es-MX"/>
        </w:rPr>
      </w:pPr>
      <w:r>
        <w:rPr>
          <w:noProof/>
        </w:rPr>
        <w:lastRenderedPageBreak/>
        <w:drawing>
          <wp:inline distT="0" distB="0" distL="0" distR="0">
            <wp:extent cx="3257550" cy="22669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7550" cy="2266950"/>
                    </a:xfrm>
                    <a:prstGeom prst="rect">
                      <a:avLst/>
                    </a:prstGeom>
                    <a:noFill/>
                    <a:ln>
                      <a:noFill/>
                    </a:ln>
                  </pic:spPr>
                </pic:pic>
              </a:graphicData>
            </a:graphic>
          </wp:inline>
        </w:drawing>
      </w:r>
    </w:p>
    <w:p w:rsidR="002A6E8C" w:rsidRPr="001B668E" w:rsidRDefault="008C2FF4" w:rsidP="00660AA3">
      <w:pPr>
        <w:jc w:val="center"/>
        <w:rPr>
          <w:lang w:val="es-MX"/>
        </w:rPr>
      </w:pPr>
      <w:r>
        <w:rPr>
          <w:noProof/>
        </w:rPr>
        <w:lastRenderedPageBreak/>
        <w:drawing>
          <wp:inline distT="0" distB="0" distL="0" distR="0">
            <wp:extent cx="3124200" cy="22193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200" cy="221932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sectPr w:rsidR="002A6E8C" w:rsidSect="0064416F">
          <w:type w:val="continuous"/>
          <w:pgSz w:w="12240" w:h="15840" w:code="1"/>
          <w:pgMar w:top="1417" w:right="1133" w:bottom="1417" w:left="1701" w:header="708" w:footer="708" w:gutter="0"/>
          <w:cols w:num="2" w:space="284"/>
          <w:docGrid w:linePitch="360"/>
        </w:sectPr>
      </w:pP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660AA3">
      <w:pPr>
        <w:jc w:val="center"/>
        <w:rPr>
          <w:lang w:val="es-MX" w:eastAsia="es-ES"/>
        </w:rPr>
      </w:pPr>
    </w:p>
    <w:p w:rsidR="002A6E8C" w:rsidRDefault="002A6E8C" w:rsidP="00660AA3">
      <w:pPr>
        <w:jc w:val="center"/>
        <w:rPr>
          <w:lang w:val="es-MX" w:eastAsia="es-ES"/>
        </w:rPr>
      </w:pPr>
    </w:p>
    <w:p w:rsidR="002A6E8C" w:rsidRDefault="002A6E8C" w:rsidP="00660AA3">
      <w:pPr>
        <w:jc w:val="center"/>
        <w:rPr>
          <w:lang w:val="es-MX" w:eastAsia="es-ES"/>
        </w:rPr>
      </w:pPr>
    </w:p>
    <w:p w:rsidR="002A6E8C" w:rsidRDefault="002A6E8C" w:rsidP="00660AA3">
      <w:pPr>
        <w:jc w:val="center"/>
        <w:rPr>
          <w:lang w:val="es-MX" w:eastAsia="es-ES"/>
        </w:rPr>
      </w:pPr>
    </w:p>
    <w:p w:rsidR="002A6E8C" w:rsidRPr="005D0C51" w:rsidRDefault="002A6E8C" w:rsidP="00471C64">
      <w:pPr>
        <w:pStyle w:val="Ttulo2"/>
        <w:numPr>
          <w:ilvl w:val="1"/>
          <w:numId w:val="10"/>
        </w:numPr>
        <w:jc w:val="both"/>
        <w:rPr>
          <w:color w:val="auto"/>
          <w:lang w:eastAsia="es-ES"/>
        </w:rPr>
      </w:pPr>
      <w:bookmarkStart w:id="9" w:name="_Toc315681378"/>
      <w:r w:rsidRPr="005D0C51">
        <w:rPr>
          <w:color w:val="auto"/>
          <w:lang w:eastAsia="es-ES"/>
        </w:rPr>
        <w:t>Porcentaje de lesiones no fatales según etiología</w:t>
      </w:r>
      <w:bookmarkEnd w:id="9"/>
    </w:p>
    <w:p w:rsidR="002A6E8C" w:rsidRDefault="002A6E8C" w:rsidP="003A34CA">
      <w:pPr>
        <w:jc w:val="both"/>
        <w:rPr>
          <w:rFonts w:ascii="Arial" w:hAnsi="Arial" w:cs="Arial"/>
          <w:b/>
          <w:bCs/>
          <w:sz w:val="20"/>
          <w:szCs w:val="20"/>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Porcentaje de Participación de las Lesiones no Fatales según etiologías de la Lesión - Año 2010</w:t>
      </w:r>
    </w:p>
    <w:p w:rsidR="002A6E8C" w:rsidRDefault="008C2FF4" w:rsidP="00254703">
      <w:pPr>
        <w:spacing w:after="120"/>
        <w:jc w:val="center"/>
        <w:rPr>
          <w:b/>
          <w:bCs/>
        </w:rPr>
      </w:pPr>
      <w:r>
        <w:rPr>
          <w:noProof/>
        </w:rPr>
        <w:drawing>
          <wp:inline distT="0" distB="0" distL="0" distR="0">
            <wp:extent cx="4152900" cy="2124075"/>
            <wp:effectExtent l="0" t="0" r="0" b="9525"/>
            <wp:docPr id="4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2900" cy="21240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254703">
      <w:pPr>
        <w:spacing w:after="0" w:line="240" w:lineRule="auto"/>
        <w:jc w:val="both"/>
        <w:rPr>
          <w:rFonts w:ascii="Arial" w:hAnsi="Arial" w:cs="Arial"/>
          <w:lang w:val="es-MX"/>
        </w:rPr>
      </w:pPr>
    </w:p>
    <w:p w:rsidR="002A6E8C" w:rsidRDefault="002A6E8C" w:rsidP="00330559">
      <w:pPr>
        <w:jc w:val="both"/>
        <w:rPr>
          <w:rFonts w:ascii="Arial" w:hAnsi="Arial" w:cs="Arial"/>
          <w:lang w:val="es-MX"/>
        </w:rPr>
      </w:pPr>
      <w:r>
        <w:rPr>
          <w:rFonts w:ascii="Arial" w:hAnsi="Arial" w:cs="Arial"/>
          <w:lang w:val="es-MX"/>
        </w:rPr>
        <w:t xml:space="preserve">En el grupo de lesiones no fatales, la etiología de las lesiones por violencia interpersonal representan casi el 50% del total para el año 2010, le siguen las lesiones por violencia intrafamiliar representadas en un 29%, las lesiones por accidentes de tránsito tienen una participación del 13% en el total de lesiones no fatales. </w:t>
      </w:r>
    </w:p>
    <w:p w:rsidR="002A6E8C" w:rsidRPr="00CA5F55" w:rsidRDefault="002A6E8C" w:rsidP="00330559">
      <w:pPr>
        <w:jc w:val="both"/>
        <w:rPr>
          <w:rFonts w:ascii="Arial" w:hAnsi="Arial" w:cs="Arial"/>
          <w:lang w:val="es-MX"/>
        </w:rPr>
      </w:pPr>
      <w:r>
        <w:rPr>
          <w:rFonts w:ascii="Arial" w:hAnsi="Arial" w:cs="Arial"/>
          <w:lang w:val="es-MX"/>
        </w:rPr>
        <w:t>A continuación se despliega un gráfico con la información de los datos absolutos para cada una de las etiologías de las lesiones no fatales desde el año 2004 hasta el 2010.</w:t>
      </w:r>
    </w:p>
    <w:p w:rsidR="002A6E8C" w:rsidRDefault="002A6E8C" w:rsidP="003A34CA">
      <w:pPr>
        <w:jc w:val="both"/>
        <w:rPr>
          <w:rFonts w:ascii="Arial" w:hAnsi="Arial" w:cs="Arial"/>
          <w:b/>
          <w:bCs/>
          <w:sz w:val="20"/>
          <w:szCs w:val="20"/>
          <w:lang w:val="es-MX"/>
        </w:rPr>
      </w:pPr>
      <w:r w:rsidRPr="003A34CA">
        <w:rPr>
          <w:rFonts w:ascii="Arial" w:hAnsi="Arial" w:cs="Arial"/>
          <w:b/>
          <w:bCs/>
          <w:sz w:val="20"/>
          <w:szCs w:val="20"/>
          <w:lang w:val="es-MX"/>
        </w:rPr>
        <w:t xml:space="preserve">Total de lesiones no fatales según etiología de la lesión </w:t>
      </w:r>
    </w:p>
    <w:p w:rsidR="002A6E8C" w:rsidRPr="003A34CA" w:rsidRDefault="008C2FF4" w:rsidP="00CD5CC9">
      <w:pPr>
        <w:spacing w:after="120"/>
        <w:jc w:val="both"/>
        <w:rPr>
          <w:rFonts w:ascii="Arial" w:hAnsi="Arial" w:cs="Arial"/>
          <w:b/>
          <w:bCs/>
          <w:sz w:val="20"/>
          <w:szCs w:val="20"/>
          <w:lang w:val="es-MX"/>
        </w:rPr>
      </w:pPr>
      <w:r>
        <w:rPr>
          <w:noProof/>
          <w:szCs w:val="20"/>
        </w:rPr>
        <w:drawing>
          <wp:inline distT="0" distB="0" distL="0" distR="0">
            <wp:extent cx="5553075" cy="26003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53075" cy="260032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330559" w:rsidRDefault="002A6E8C" w:rsidP="00330559">
      <w:pPr>
        <w:jc w:val="both"/>
        <w:rPr>
          <w:rFonts w:ascii="Arial" w:hAnsi="Arial" w:cs="Arial"/>
        </w:rPr>
      </w:pPr>
      <w:r w:rsidRPr="00330559">
        <w:rPr>
          <w:rFonts w:ascii="Arial" w:hAnsi="Arial" w:cs="Arial"/>
        </w:rPr>
        <w:t>Se destaca que las lesiones no fatales por violencia interpersonal son las de mayor frecuencia en el total de lesiones no fatales reportadas en el periodo 2004 – 2010.</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Distribución del total de lesiones no fatales según etiología de la lesión para el año 2010</w:t>
      </w:r>
    </w:p>
    <w:p w:rsidR="002A6E8C" w:rsidRDefault="008C2FF4" w:rsidP="001A4029">
      <w:pPr>
        <w:jc w:val="center"/>
        <w:rPr>
          <w:lang w:val="es-MX"/>
        </w:rPr>
      </w:pPr>
      <w:r>
        <w:rPr>
          <w:noProof/>
        </w:rPr>
        <w:drawing>
          <wp:inline distT="0" distB="0" distL="0" distR="0">
            <wp:extent cx="4591050" cy="2419350"/>
            <wp:effectExtent l="0" t="0" r="0" b="0"/>
            <wp:docPr id="42"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91050" cy="2419350"/>
                    </a:xfrm>
                    <a:prstGeom prst="rect">
                      <a:avLst/>
                    </a:prstGeom>
                    <a:noFill/>
                    <a:ln>
                      <a:noFill/>
                    </a:ln>
                  </pic:spPr>
                </pic:pic>
              </a:graphicData>
            </a:graphic>
          </wp:inline>
        </w:drawing>
      </w:r>
    </w:p>
    <w:p w:rsidR="002A6E8C" w:rsidRDefault="002A6E8C" w:rsidP="001A4029">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1A4029">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1A4029">
      <w:pPr>
        <w:spacing w:after="0" w:line="240" w:lineRule="auto"/>
        <w:jc w:val="center"/>
        <w:rPr>
          <w:rFonts w:ascii="Arial" w:hAnsi="Arial" w:cs="Arial"/>
          <w:sz w:val="16"/>
          <w:szCs w:val="16"/>
          <w:lang w:val="es-MX"/>
        </w:rPr>
      </w:pPr>
    </w:p>
    <w:p w:rsidR="002A6E8C" w:rsidRPr="005D0C51" w:rsidRDefault="002A6E8C" w:rsidP="00CD5CC9">
      <w:pPr>
        <w:pStyle w:val="Ttulo2"/>
        <w:numPr>
          <w:ilvl w:val="1"/>
          <w:numId w:val="10"/>
        </w:numPr>
        <w:spacing w:after="240"/>
        <w:jc w:val="both"/>
        <w:rPr>
          <w:color w:val="auto"/>
          <w:lang w:eastAsia="es-ES"/>
        </w:rPr>
      </w:pPr>
      <w:bookmarkStart w:id="10" w:name="_Toc315681379"/>
      <w:r w:rsidRPr="005D0C51">
        <w:rPr>
          <w:color w:val="auto"/>
          <w:lang w:eastAsia="es-ES"/>
        </w:rPr>
        <w:t>Porcentaje de lesiones no fatales según etiología y rango de edad</w:t>
      </w:r>
      <w:bookmarkEnd w:id="10"/>
    </w:p>
    <w:p w:rsidR="002A6E8C" w:rsidRDefault="002A6E8C" w:rsidP="00F22E18">
      <w:pPr>
        <w:jc w:val="both"/>
        <w:rPr>
          <w:rFonts w:ascii="Arial" w:hAnsi="Arial" w:cs="Arial"/>
        </w:rPr>
      </w:pPr>
      <w:r w:rsidRPr="00F22E18">
        <w:rPr>
          <w:rFonts w:ascii="Arial" w:hAnsi="Arial" w:cs="Arial"/>
        </w:rPr>
        <w:t xml:space="preserve">Para este indicador se hace una presentación </w:t>
      </w:r>
      <w:r>
        <w:rPr>
          <w:rFonts w:ascii="Arial" w:hAnsi="Arial" w:cs="Arial"/>
        </w:rPr>
        <w:t xml:space="preserve">del porcentaje de la lesión teniendo en cuenta </w:t>
      </w:r>
      <w:r w:rsidRPr="00F22E18">
        <w:rPr>
          <w:rFonts w:ascii="Arial" w:hAnsi="Arial" w:cs="Arial"/>
        </w:rPr>
        <w:t xml:space="preserve">cada </w:t>
      </w:r>
      <w:r>
        <w:rPr>
          <w:rFonts w:ascii="Arial" w:hAnsi="Arial" w:cs="Arial"/>
        </w:rPr>
        <w:t xml:space="preserve">una de las </w:t>
      </w:r>
      <w:r w:rsidRPr="00F22E18">
        <w:rPr>
          <w:rFonts w:ascii="Arial" w:hAnsi="Arial" w:cs="Arial"/>
        </w:rPr>
        <w:t>etiología</w:t>
      </w:r>
      <w:r>
        <w:rPr>
          <w:rFonts w:ascii="Arial" w:hAnsi="Arial" w:cs="Arial"/>
        </w:rPr>
        <w:t xml:space="preserve">s </w:t>
      </w:r>
      <w:r w:rsidRPr="00F22E18">
        <w:rPr>
          <w:rFonts w:ascii="Arial" w:hAnsi="Arial" w:cs="Arial"/>
        </w:rPr>
        <w:t>trabajada</w:t>
      </w:r>
      <w:r>
        <w:rPr>
          <w:rFonts w:ascii="Arial" w:hAnsi="Arial" w:cs="Arial"/>
        </w:rPr>
        <w:t xml:space="preserve">s con anterioridad desagregadas por grupos de edad y tomando </w:t>
      </w:r>
      <w:r w:rsidRPr="00F22E18">
        <w:rPr>
          <w:rFonts w:ascii="Arial" w:hAnsi="Arial" w:cs="Arial"/>
        </w:rPr>
        <w:t xml:space="preserve">como base </w:t>
      </w:r>
      <w:r>
        <w:rPr>
          <w:rFonts w:ascii="Arial" w:hAnsi="Arial" w:cs="Arial"/>
        </w:rPr>
        <w:t xml:space="preserve">de los datos </w:t>
      </w:r>
      <w:r w:rsidRPr="00F22E18">
        <w:rPr>
          <w:rFonts w:ascii="Arial" w:hAnsi="Arial" w:cs="Arial"/>
        </w:rPr>
        <w:t>el año 2010.</w:t>
      </w:r>
      <w:r>
        <w:rPr>
          <w:rFonts w:ascii="Arial" w:hAnsi="Arial" w:cs="Arial"/>
        </w:rPr>
        <w:t xml:space="preserve"> Luego se presentan en gráficos de barras, la distribución de las mismas por rangos de edad, tomando como base el año 2010.</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 xml:space="preserve">Porcentaje de lesiones no fatales según rango de edad y Violencia Intrafamiliar - Año 2010 </w:t>
      </w:r>
    </w:p>
    <w:p w:rsidR="002A6E8C" w:rsidRDefault="008C2FF4" w:rsidP="00CD5CC9">
      <w:pPr>
        <w:spacing w:after="120"/>
        <w:jc w:val="center"/>
        <w:rPr>
          <w:rFonts w:ascii="Arial" w:hAnsi="Arial" w:cs="Arial"/>
          <w:b/>
          <w:bCs/>
        </w:rPr>
      </w:pPr>
      <w:r>
        <w:rPr>
          <w:noProof/>
        </w:rPr>
        <w:drawing>
          <wp:inline distT="0" distB="0" distL="0" distR="0">
            <wp:extent cx="5010150" cy="2143125"/>
            <wp:effectExtent l="0" t="0" r="0" b="9525"/>
            <wp:docPr id="4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0150" cy="214312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532F88">
      <w:pPr>
        <w:rPr>
          <w:rFonts w:ascii="Arial" w:hAnsi="Arial" w:cs="Arial"/>
          <w:lang w:val="es-MX"/>
        </w:rPr>
      </w:pPr>
    </w:p>
    <w:p w:rsidR="002A6E8C" w:rsidRPr="004B2079" w:rsidRDefault="002A6E8C" w:rsidP="00330559">
      <w:pPr>
        <w:jc w:val="both"/>
        <w:rPr>
          <w:rFonts w:ascii="Arial" w:hAnsi="Arial" w:cs="Arial"/>
          <w:lang w:val="es-MX"/>
        </w:rPr>
      </w:pPr>
      <w:r>
        <w:rPr>
          <w:rFonts w:ascii="Arial" w:hAnsi="Arial" w:cs="Arial"/>
          <w:lang w:val="es-MX"/>
        </w:rPr>
        <w:t>El p</w:t>
      </w:r>
      <w:r w:rsidRPr="004B2079">
        <w:rPr>
          <w:rFonts w:ascii="Arial" w:hAnsi="Arial" w:cs="Arial"/>
          <w:lang w:val="es-MX"/>
        </w:rPr>
        <w:t xml:space="preserve">orcentaje de lesiones no fatales </w:t>
      </w:r>
      <w:r>
        <w:rPr>
          <w:rFonts w:ascii="Arial" w:hAnsi="Arial" w:cs="Arial"/>
          <w:lang w:val="es-MX"/>
        </w:rPr>
        <w:t>por v</w:t>
      </w:r>
      <w:r w:rsidRPr="004B2079">
        <w:rPr>
          <w:rFonts w:ascii="Arial" w:hAnsi="Arial" w:cs="Arial"/>
          <w:lang w:val="es-MX"/>
        </w:rPr>
        <w:t xml:space="preserve">iolencia </w:t>
      </w:r>
      <w:r>
        <w:rPr>
          <w:rFonts w:ascii="Arial" w:hAnsi="Arial" w:cs="Arial"/>
          <w:lang w:val="es-MX"/>
        </w:rPr>
        <w:t>i</w:t>
      </w:r>
      <w:r w:rsidRPr="004B2079">
        <w:rPr>
          <w:rFonts w:ascii="Arial" w:hAnsi="Arial" w:cs="Arial"/>
          <w:lang w:val="es-MX"/>
        </w:rPr>
        <w:t>ntrafamiliar</w:t>
      </w:r>
      <w:r>
        <w:rPr>
          <w:rFonts w:ascii="Arial" w:hAnsi="Arial" w:cs="Arial"/>
          <w:lang w:val="es-MX"/>
        </w:rPr>
        <w:t xml:space="preserve"> en el a</w:t>
      </w:r>
      <w:r w:rsidRPr="004B2079">
        <w:rPr>
          <w:rFonts w:ascii="Arial" w:hAnsi="Arial" w:cs="Arial"/>
          <w:lang w:val="es-MX"/>
        </w:rPr>
        <w:t>ño 2010</w:t>
      </w:r>
      <w:r>
        <w:rPr>
          <w:rFonts w:ascii="Arial" w:hAnsi="Arial" w:cs="Arial"/>
          <w:lang w:val="es-MX"/>
        </w:rPr>
        <w:t xml:space="preserve"> presentado por grupos de edad exhibe sus puntos máximos entre los grupos de edad de 20 a 24 años y 30 y 34 años, siendo el máximo en el grupo de 25 a 29 años.</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 xml:space="preserve">Porcentaje de lesiones no fatales según rango de edad y Violencia Interpersonal - Año 2010 </w:t>
      </w:r>
    </w:p>
    <w:p w:rsidR="002A6E8C" w:rsidRDefault="008C2FF4" w:rsidP="00CD5CC9">
      <w:pPr>
        <w:spacing w:after="120"/>
        <w:jc w:val="center"/>
        <w:rPr>
          <w:lang w:val="es-MX"/>
        </w:rPr>
      </w:pPr>
      <w:r>
        <w:rPr>
          <w:noProof/>
        </w:rPr>
        <w:drawing>
          <wp:inline distT="0" distB="0" distL="0" distR="0">
            <wp:extent cx="5248275" cy="2352675"/>
            <wp:effectExtent l="0" t="0" r="9525" b="9525"/>
            <wp:docPr id="44"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8275" cy="23526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Porcentaje de lesiones no fatales según rango de edad y Accidentes de Tránsito - Año 2010</w:t>
      </w:r>
    </w:p>
    <w:p w:rsidR="002A6E8C" w:rsidRDefault="008C2FF4" w:rsidP="00CD5CC9">
      <w:pPr>
        <w:spacing w:after="120"/>
        <w:jc w:val="center"/>
        <w:rPr>
          <w:lang w:val="es-MX"/>
        </w:rPr>
      </w:pPr>
      <w:r>
        <w:rPr>
          <w:noProof/>
        </w:rPr>
        <w:drawing>
          <wp:inline distT="0" distB="0" distL="0" distR="0">
            <wp:extent cx="5067300" cy="2419350"/>
            <wp:effectExtent l="0" t="0" r="0" b="0"/>
            <wp:docPr id="4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67300" cy="24193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E562CC">
      <w:pPr>
        <w:rPr>
          <w:rFonts w:ascii="Arial" w:hAnsi="Arial" w:cs="Arial"/>
          <w:b/>
          <w:bCs/>
        </w:rPr>
      </w:pPr>
    </w:p>
    <w:p w:rsidR="002A6E8C" w:rsidRDefault="002A6E8C" w:rsidP="00CD5CC9">
      <w:pPr>
        <w:jc w:val="both"/>
        <w:rPr>
          <w:rFonts w:ascii="Arial" w:hAnsi="Arial" w:cs="Arial"/>
          <w:lang w:val="es-MX"/>
        </w:rPr>
      </w:pPr>
      <w:r>
        <w:rPr>
          <w:rFonts w:ascii="Arial" w:hAnsi="Arial" w:cs="Arial"/>
          <w:lang w:val="es-MX"/>
        </w:rPr>
        <w:t>El p</w:t>
      </w:r>
      <w:r w:rsidRPr="004B2079">
        <w:rPr>
          <w:rFonts w:ascii="Arial" w:hAnsi="Arial" w:cs="Arial"/>
          <w:lang w:val="es-MX"/>
        </w:rPr>
        <w:t xml:space="preserve">orcentaje de lesiones no fatales </w:t>
      </w:r>
      <w:r>
        <w:rPr>
          <w:rFonts w:ascii="Arial" w:hAnsi="Arial" w:cs="Arial"/>
          <w:lang w:val="es-MX"/>
        </w:rPr>
        <w:t>por accidentes de tránsito en el a</w:t>
      </w:r>
      <w:r w:rsidRPr="004B2079">
        <w:rPr>
          <w:rFonts w:ascii="Arial" w:hAnsi="Arial" w:cs="Arial"/>
          <w:lang w:val="es-MX"/>
        </w:rPr>
        <w:t>ño 2010</w:t>
      </w:r>
      <w:r>
        <w:rPr>
          <w:rFonts w:ascii="Arial" w:hAnsi="Arial" w:cs="Arial"/>
          <w:lang w:val="es-MX"/>
        </w:rPr>
        <w:t xml:space="preserve"> presentado por grupos de edad exhibe sus puntos máximos entre los grupos de edad de 20 a 50 años, siendo el máximo en el grupo de 20 a 24 años.</w:t>
      </w:r>
    </w:p>
    <w:p w:rsidR="002A6E8C" w:rsidRDefault="002A6E8C" w:rsidP="00CD5CC9">
      <w:pPr>
        <w:jc w:val="both"/>
        <w:rPr>
          <w:rFonts w:ascii="Arial" w:hAnsi="Arial" w:cs="Arial"/>
          <w:lang w:val="es-MX"/>
        </w:rPr>
      </w:pPr>
    </w:p>
    <w:p w:rsidR="002A6E8C" w:rsidRPr="004B2079" w:rsidRDefault="002A6E8C" w:rsidP="00CD5CC9">
      <w:pPr>
        <w:jc w:val="both"/>
        <w:rPr>
          <w:rFonts w:ascii="Arial" w:hAnsi="Arial" w:cs="Arial"/>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Porcentaje de lesiones no fatales según rango de edad y Lesiones Accidentales - Año 2010</w:t>
      </w:r>
    </w:p>
    <w:p w:rsidR="002A6E8C" w:rsidRDefault="008C2FF4" w:rsidP="00CD5CC9">
      <w:pPr>
        <w:spacing w:after="120"/>
        <w:jc w:val="center"/>
        <w:rPr>
          <w:lang w:val="es-MX"/>
        </w:rPr>
      </w:pPr>
      <w:r>
        <w:rPr>
          <w:noProof/>
        </w:rPr>
        <w:drawing>
          <wp:inline distT="0" distB="0" distL="0" distR="0">
            <wp:extent cx="5067300" cy="2428875"/>
            <wp:effectExtent l="0" t="0" r="0" b="9525"/>
            <wp:docPr id="46"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67300" cy="24288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532F88">
      <w:pPr>
        <w:rPr>
          <w:lang w:val="es-MX"/>
        </w:rPr>
      </w:pPr>
    </w:p>
    <w:p w:rsidR="002A6E8C" w:rsidRPr="004B2079" w:rsidRDefault="002A6E8C" w:rsidP="00CD5CC9">
      <w:pPr>
        <w:jc w:val="both"/>
        <w:rPr>
          <w:rFonts w:ascii="Arial" w:hAnsi="Arial" w:cs="Arial"/>
          <w:lang w:val="es-MX"/>
        </w:rPr>
      </w:pPr>
      <w:r>
        <w:rPr>
          <w:rFonts w:ascii="Arial" w:hAnsi="Arial" w:cs="Arial"/>
          <w:lang w:val="es-MX"/>
        </w:rPr>
        <w:t>El p</w:t>
      </w:r>
      <w:r w:rsidRPr="004B2079">
        <w:rPr>
          <w:rFonts w:ascii="Arial" w:hAnsi="Arial" w:cs="Arial"/>
          <w:lang w:val="es-MX"/>
        </w:rPr>
        <w:t xml:space="preserve">orcentaje de lesiones no fatales </w:t>
      </w:r>
      <w:r>
        <w:rPr>
          <w:rFonts w:ascii="Arial" w:hAnsi="Arial" w:cs="Arial"/>
          <w:lang w:val="es-MX"/>
        </w:rPr>
        <w:t>por lesiones accidentales en el a</w:t>
      </w:r>
      <w:r w:rsidRPr="004B2079">
        <w:rPr>
          <w:rFonts w:ascii="Arial" w:hAnsi="Arial" w:cs="Arial"/>
          <w:lang w:val="es-MX"/>
        </w:rPr>
        <w:t>ño 2010</w:t>
      </w:r>
      <w:r>
        <w:rPr>
          <w:rFonts w:ascii="Arial" w:hAnsi="Arial" w:cs="Arial"/>
          <w:lang w:val="es-MX"/>
        </w:rPr>
        <w:t xml:space="preserve"> presentado por grupos de edad presentó su máximo en los grupos de edad de 20 a 24 años. </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Porcentaje de lesiones no fatales según rango de edad y Lesiones de tipo Sexológico - Año 2010</w:t>
      </w:r>
    </w:p>
    <w:p w:rsidR="002A6E8C" w:rsidRDefault="008C2FF4" w:rsidP="00532F88">
      <w:pPr>
        <w:rPr>
          <w:lang w:val="es-MX"/>
        </w:rPr>
      </w:pPr>
      <w:r>
        <w:rPr>
          <w:noProof/>
        </w:rPr>
        <w:drawing>
          <wp:inline distT="0" distB="0" distL="0" distR="0">
            <wp:extent cx="5191125" cy="2505075"/>
            <wp:effectExtent l="0" t="0" r="9525" b="9525"/>
            <wp:docPr id="4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91125" cy="25050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330559">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330559">
      <w:pPr>
        <w:spacing w:after="0" w:line="240" w:lineRule="auto"/>
        <w:jc w:val="center"/>
        <w:rPr>
          <w:rFonts w:ascii="Arial" w:hAnsi="Arial" w:cs="Arial"/>
          <w:sz w:val="16"/>
          <w:szCs w:val="16"/>
          <w:lang w:val="es-MX"/>
        </w:rPr>
      </w:pPr>
    </w:p>
    <w:p w:rsidR="002A6E8C" w:rsidRPr="00330559" w:rsidRDefault="002A6E8C" w:rsidP="00330559">
      <w:pPr>
        <w:spacing w:after="0" w:line="240" w:lineRule="auto"/>
        <w:jc w:val="center"/>
        <w:rPr>
          <w:rFonts w:ascii="Arial" w:hAnsi="Arial" w:cs="Arial"/>
          <w:sz w:val="16"/>
          <w:szCs w:val="16"/>
          <w:lang w:val="es-MX"/>
        </w:rPr>
      </w:pPr>
    </w:p>
    <w:p w:rsidR="002A6E8C" w:rsidRPr="00330559" w:rsidRDefault="002A6E8C" w:rsidP="00330559">
      <w:pPr>
        <w:jc w:val="both"/>
        <w:rPr>
          <w:rFonts w:ascii="Arial" w:hAnsi="Arial" w:cs="Arial"/>
          <w:lang w:val="es-MX"/>
        </w:rPr>
      </w:pPr>
      <w:r w:rsidRPr="00330559">
        <w:rPr>
          <w:rFonts w:ascii="Arial" w:hAnsi="Arial" w:cs="Arial"/>
          <w:lang w:val="es-MX"/>
        </w:rPr>
        <w:t>Los grupos de edad que fueron más vulnerables a este tipo de lesiones en el 2010 son los menores de 18 años, siendo los niños de 10 a 14 años los  más afectados.</w:t>
      </w:r>
    </w:p>
    <w:p w:rsidR="002A6E8C" w:rsidRDefault="002A6E8C" w:rsidP="00532F88">
      <w:pPr>
        <w:rPr>
          <w:lang w:val="es-MX"/>
        </w:rPr>
      </w:pPr>
    </w:p>
    <w:p w:rsidR="002A6E8C" w:rsidRDefault="002A6E8C" w:rsidP="003A34CA">
      <w:pPr>
        <w:jc w:val="both"/>
        <w:rPr>
          <w:rFonts w:ascii="Arial" w:hAnsi="Arial" w:cs="Arial"/>
          <w:b/>
          <w:bCs/>
          <w:sz w:val="20"/>
          <w:szCs w:val="20"/>
          <w:lang w:val="es-MX"/>
        </w:rPr>
      </w:pPr>
      <w:r w:rsidRPr="003A34CA">
        <w:rPr>
          <w:rFonts w:ascii="Arial" w:hAnsi="Arial" w:cs="Arial"/>
          <w:b/>
          <w:bCs/>
          <w:sz w:val="20"/>
          <w:szCs w:val="20"/>
          <w:lang w:val="es-MX"/>
        </w:rPr>
        <w:t xml:space="preserve">Distribución del total de lesiones no fatales según rango de edad y Violencia Intrafamiliar - Año  2010 </w:t>
      </w:r>
    </w:p>
    <w:p w:rsidR="002A6E8C" w:rsidRPr="003A34CA" w:rsidRDefault="008C2FF4" w:rsidP="00CD5CC9">
      <w:pPr>
        <w:jc w:val="center"/>
        <w:rPr>
          <w:rFonts w:ascii="Arial" w:hAnsi="Arial" w:cs="Arial"/>
          <w:b/>
          <w:bCs/>
          <w:sz w:val="20"/>
          <w:szCs w:val="20"/>
          <w:lang w:val="es-MX"/>
        </w:rPr>
      </w:pPr>
      <w:r>
        <w:rPr>
          <w:noProof/>
          <w:szCs w:val="20"/>
        </w:rPr>
        <w:drawing>
          <wp:inline distT="0" distB="0" distL="0" distR="0">
            <wp:extent cx="5600700" cy="27146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0700" cy="271462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BE5CD7">
      <w:pPr>
        <w:rPr>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 xml:space="preserve">Distribución del total de lesiones no fatales según rango de edad y Violencia Interpersonal - Año  2010 </w:t>
      </w:r>
    </w:p>
    <w:p w:rsidR="002A6E8C" w:rsidRDefault="008C2FF4" w:rsidP="00CD5CC9">
      <w:pPr>
        <w:jc w:val="center"/>
        <w:rPr>
          <w:lang w:val="es-MX"/>
        </w:rPr>
      </w:pPr>
      <w:r>
        <w:rPr>
          <w:noProof/>
        </w:rPr>
        <w:drawing>
          <wp:inline distT="0" distB="0" distL="0" distR="0">
            <wp:extent cx="5600700" cy="28003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0700" cy="28003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BE5CD7">
      <w:pPr>
        <w:rPr>
          <w:lang w:val="es-MX"/>
        </w:rPr>
      </w:pPr>
    </w:p>
    <w:p w:rsidR="002A6E8C" w:rsidRDefault="002A6E8C" w:rsidP="00BE5CD7">
      <w:pPr>
        <w:rPr>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 xml:space="preserve">Distribución del total de lesiones no fatales según rango de edad y Accidentes de Tránsito - Año 2010 </w:t>
      </w:r>
    </w:p>
    <w:p w:rsidR="002A6E8C" w:rsidRDefault="008C2FF4" w:rsidP="00C20344">
      <w:pPr>
        <w:jc w:val="center"/>
        <w:rPr>
          <w:lang w:val="es-MX"/>
        </w:rPr>
      </w:pPr>
      <w:r>
        <w:rPr>
          <w:noProof/>
        </w:rPr>
        <w:drawing>
          <wp:inline distT="0" distB="0" distL="0" distR="0">
            <wp:extent cx="5600700" cy="28003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0700" cy="28003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BE5CD7">
      <w:pPr>
        <w:rPr>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Distribución del total de lesiones no fatales según rango de edad y Lesiones Accidentales - Año 2010</w:t>
      </w:r>
    </w:p>
    <w:p w:rsidR="002A6E8C" w:rsidRDefault="008C2FF4" w:rsidP="00CD5CC9">
      <w:pPr>
        <w:jc w:val="center"/>
        <w:rPr>
          <w:lang w:val="es-MX"/>
        </w:rPr>
      </w:pPr>
      <w:r>
        <w:rPr>
          <w:noProof/>
        </w:rPr>
        <w:drawing>
          <wp:inline distT="0" distB="0" distL="0" distR="0">
            <wp:extent cx="5600700" cy="28003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0700" cy="28003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BE5CD7">
      <w:pPr>
        <w:rPr>
          <w:lang w:val="es-MX"/>
        </w:rPr>
      </w:pPr>
    </w:p>
    <w:p w:rsidR="002A6E8C" w:rsidRDefault="002A6E8C" w:rsidP="00BE5CD7">
      <w:pPr>
        <w:rPr>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Distribución del total de lesiones no fatales según rango de edad y Lesiones de tipo Sexológico - Año 2010</w:t>
      </w:r>
    </w:p>
    <w:p w:rsidR="002A6E8C" w:rsidRDefault="008C2FF4" w:rsidP="00BE5CD7">
      <w:pPr>
        <w:rPr>
          <w:lang w:val="es-MX"/>
        </w:rPr>
      </w:pPr>
      <w:r>
        <w:rPr>
          <w:noProof/>
        </w:rPr>
        <w:drawing>
          <wp:inline distT="0" distB="0" distL="0" distR="0">
            <wp:extent cx="5600700" cy="28003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0700" cy="28003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BE5CD7">
      <w:pPr>
        <w:rPr>
          <w:lang w:val="es-MX"/>
        </w:rPr>
      </w:pPr>
    </w:p>
    <w:p w:rsidR="002A6E8C" w:rsidRPr="005D0C51" w:rsidRDefault="002A6E8C" w:rsidP="00471C64">
      <w:pPr>
        <w:pStyle w:val="Ttulo2"/>
        <w:numPr>
          <w:ilvl w:val="1"/>
          <w:numId w:val="10"/>
        </w:numPr>
        <w:jc w:val="both"/>
        <w:rPr>
          <w:color w:val="auto"/>
          <w:lang w:eastAsia="es-ES"/>
        </w:rPr>
      </w:pPr>
      <w:bookmarkStart w:id="11" w:name="_Toc315681380"/>
      <w:r w:rsidRPr="005D0C51">
        <w:rPr>
          <w:color w:val="auto"/>
          <w:lang w:eastAsia="es-ES"/>
        </w:rPr>
        <w:t>Porcentaje de lesiones no fatales según etiología y sexo de la víctima</w:t>
      </w:r>
      <w:bookmarkEnd w:id="11"/>
    </w:p>
    <w:p w:rsidR="002A6E8C" w:rsidRDefault="002A6E8C" w:rsidP="00CB6B30">
      <w:pPr>
        <w:spacing w:after="0" w:line="240" w:lineRule="auto"/>
        <w:rPr>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Porcentaje de Lesiones no Fatales según Accidentes de Tránsito y Sexo</w:t>
      </w:r>
    </w:p>
    <w:p w:rsidR="002A6E8C" w:rsidRDefault="008C2FF4" w:rsidP="00C20344">
      <w:pPr>
        <w:jc w:val="center"/>
        <w:rPr>
          <w:lang w:val="es-MX"/>
        </w:rPr>
      </w:pPr>
      <w:r>
        <w:rPr>
          <w:noProof/>
        </w:rPr>
        <w:drawing>
          <wp:inline distT="0" distB="0" distL="0" distR="0">
            <wp:extent cx="4924425" cy="2733675"/>
            <wp:effectExtent l="0" t="0" r="9525" b="9525"/>
            <wp:docPr id="53"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4425" cy="27336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843C91">
      <w:pPr>
        <w:spacing w:after="0" w:line="240" w:lineRule="auto"/>
        <w:jc w:val="center"/>
        <w:rPr>
          <w:rFonts w:ascii="Arial" w:hAnsi="Arial" w:cs="Arial"/>
          <w:sz w:val="16"/>
          <w:szCs w:val="16"/>
          <w:lang w:val="es-MX"/>
        </w:rPr>
      </w:pPr>
    </w:p>
    <w:p w:rsidR="002A6E8C" w:rsidRPr="00CB6B30" w:rsidRDefault="002A6E8C" w:rsidP="00660AA3">
      <w:pPr>
        <w:rPr>
          <w:rFonts w:ascii="Arial" w:hAnsi="Arial" w:cs="Arial"/>
          <w:lang w:val="es-MX"/>
        </w:rPr>
      </w:pPr>
      <w:r w:rsidRPr="00CB6B30">
        <w:rPr>
          <w:rFonts w:ascii="Arial" w:hAnsi="Arial" w:cs="Arial"/>
          <w:lang w:val="es-MX"/>
        </w:rPr>
        <w:lastRenderedPageBreak/>
        <w:t xml:space="preserve">Claramente se observa que los hombres son casi dos veces más afectados </w:t>
      </w:r>
      <w:r>
        <w:rPr>
          <w:rFonts w:ascii="Arial" w:hAnsi="Arial" w:cs="Arial"/>
          <w:lang w:val="es-MX"/>
        </w:rPr>
        <w:t xml:space="preserve">que las mujeres </w:t>
      </w:r>
      <w:r w:rsidRPr="00CB6B30">
        <w:rPr>
          <w:rFonts w:ascii="Arial" w:hAnsi="Arial" w:cs="Arial"/>
          <w:lang w:val="es-MX"/>
        </w:rPr>
        <w:t>en este tipo de lesiones.</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Porcentaje de Lesiones no Fatales según Lesiones de tipo Sexológico y Sexo</w:t>
      </w:r>
    </w:p>
    <w:p w:rsidR="002A6E8C" w:rsidRPr="004B2079" w:rsidRDefault="008C2FF4" w:rsidP="00E562CC">
      <w:pPr>
        <w:rPr>
          <w:rFonts w:ascii="Arial" w:hAnsi="Arial" w:cs="Arial"/>
          <w:b/>
          <w:bCs/>
        </w:rPr>
      </w:pPr>
      <w:r>
        <w:rPr>
          <w:noProof/>
        </w:rPr>
        <w:drawing>
          <wp:inline distT="0" distB="0" distL="0" distR="0">
            <wp:extent cx="5381625" cy="2886075"/>
            <wp:effectExtent l="0" t="0" r="9525" b="9525"/>
            <wp:docPr id="54"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81625" cy="28860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7D2276" w:rsidRDefault="002A6E8C" w:rsidP="00660AA3">
      <w:pPr>
        <w:rPr>
          <w:rFonts w:ascii="Arial" w:hAnsi="Arial" w:cs="Arial"/>
          <w:lang w:val="es-MX"/>
        </w:rPr>
      </w:pPr>
      <w:r w:rsidRPr="007D2276">
        <w:rPr>
          <w:rFonts w:ascii="Arial" w:hAnsi="Arial" w:cs="Arial"/>
          <w:lang w:val="es-MX"/>
        </w:rPr>
        <w:t xml:space="preserve">En este caso vemos que las mujeres se ven mucho más afectadas </w:t>
      </w:r>
      <w:r>
        <w:rPr>
          <w:rFonts w:ascii="Arial" w:hAnsi="Arial" w:cs="Arial"/>
          <w:lang w:val="es-MX"/>
        </w:rPr>
        <w:t xml:space="preserve">por este tipo de lesión </w:t>
      </w:r>
      <w:r w:rsidRPr="007D2276">
        <w:rPr>
          <w:rFonts w:ascii="Arial" w:hAnsi="Arial" w:cs="Arial"/>
          <w:lang w:val="es-MX"/>
        </w:rPr>
        <w:t>(</w:t>
      </w:r>
      <w:r>
        <w:rPr>
          <w:rFonts w:ascii="Arial" w:hAnsi="Arial" w:cs="Arial"/>
          <w:lang w:val="es-MX"/>
        </w:rPr>
        <w:t>5 veces más que los hombres).</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 xml:space="preserve">Porcentaje de Lesiones no Fatales según Lesiones Accidentales y Sexo </w:t>
      </w:r>
    </w:p>
    <w:p w:rsidR="002A6E8C" w:rsidRPr="004B2079" w:rsidRDefault="008C2FF4" w:rsidP="00E562CC">
      <w:pPr>
        <w:rPr>
          <w:rFonts w:ascii="Arial" w:hAnsi="Arial" w:cs="Arial"/>
          <w:b/>
          <w:bCs/>
        </w:rPr>
      </w:pPr>
      <w:r>
        <w:rPr>
          <w:noProof/>
        </w:rPr>
        <w:drawing>
          <wp:inline distT="0" distB="0" distL="0" distR="0">
            <wp:extent cx="5381625" cy="2886075"/>
            <wp:effectExtent l="0" t="0" r="9525" b="9525"/>
            <wp:docPr id="55"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1625" cy="28860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lastRenderedPageBreak/>
        <w:t>Porcentaje de Lesiones no Fatales según Lesiones por Violencia Interpersonal y Sexo</w:t>
      </w:r>
    </w:p>
    <w:p w:rsidR="002A6E8C" w:rsidRPr="004B2079" w:rsidRDefault="008C2FF4" w:rsidP="00E562CC">
      <w:pPr>
        <w:rPr>
          <w:rFonts w:ascii="Arial" w:hAnsi="Arial" w:cs="Arial"/>
          <w:b/>
          <w:bCs/>
        </w:rPr>
      </w:pPr>
      <w:r>
        <w:rPr>
          <w:noProof/>
        </w:rPr>
        <w:drawing>
          <wp:inline distT="0" distB="0" distL="0" distR="0">
            <wp:extent cx="5381625" cy="2886075"/>
            <wp:effectExtent l="0" t="0" r="9525" b="9525"/>
            <wp:docPr id="56"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1625" cy="28860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660AA3">
      <w:pPr>
        <w:rPr>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 xml:space="preserve">Porcentaje de Lesiones no Fatales según Lesiones por Violencia Intrafamiliar y Sexo </w:t>
      </w:r>
    </w:p>
    <w:p w:rsidR="002A6E8C" w:rsidRPr="004B2079" w:rsidRDefault="008C2FF4" w:rsidP="00E562CC">
      <w:pPr>
        <w:rPr>
          <w:rFonts w:ascii="Arial" w:hAnsi="Arial" w:cs="Arial"/>
          <w:b/>
          <w:bCs/>
        </w:rPr>
      </w:pPr>
      <w:r>
        <w:rPr>
          <w:noProof/>
        </w:rPr>
        <w:drawing>
          <wp:inline distT="0" distB="0" distL="0" distR="0">
            <wp:extent cx="5381625" cy="2886075"/>
            <wp:effectExtent l="0" t="0" r="9525" b="9525"/>
            <wp:docPr id="57"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81625" cy="28860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660AA3">
      <w:pPr>
        <w:rPr>
          <w:lang w:val="es-MX"/>
        </w:rPr>
      </w:pPr>
    </w:p>
    <w:p w:rsidR="002A6E8C" w:rsidRDefault="002A6E8C" w:rsidP="00660AA3">
      <w:pPr>
        <w:rPr>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lastRenderedPageBreak/>
        <w:t>Crecimiento Anual del Porcentaje de Lesiones no Fatales según Accidentes de Tránsito y Sexo</w:t>
      </w:r>
    </w:p>
    <w:p w:rsidR="002A6E8C" w:rsidRDefault="008C2FF4" w:rsidP="00C20344">
      <w:pPr>
        <w:jc w:val="center"/>
        <w:rPr>
          <w:lang w:eastAsia="es-ES"/>
        </w:rPr>
      </w:pPr>
      <w:r>
        <w:rPr>
          <w:noProof/>
        </w:rPr>
        <w:drawing>
          <wp:inline distT="0" distB="0" distL="0" distR="0">
            <wp:extent cx="5353050" cy="2971800"/>
            <wp:effectExtent l="0" t="0" r="0" b="0"/>
            <wp:docPr id="58"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53050" cy="2971800"/>
                    </a:xfrm>
                    <a:prstGeom prst="rect">
                      <a:avLst/>
                    </a:prstGeom>
                    <a:noFill/>
                    <a:ln>
                      <a:noFill/>
                    </a:ln>
                  </pic:spPr>
                </pic:pic>
              </a:graphicData>
            </a:graphic>
          </wp:inline>
        </w:drawing>
      </w:r>
    </w:p>
    <w:p w:rsidR="002A6E8C" w:rsidRDefault="002A6E8C" w:rsidP="00C20344">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C20344">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9A1B9E">
      <w:pPr>
        <w:rPr>
          <w:lang w:val="es-MX" w:eastAsia="es-ES"/>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Crecimiento Anual del Porcentaje de Lesiones no Fatales según Lesiones Accidentales y Sexo</w:t>
      </w:r>
    </w:p>
    <w:p w:rsidR="002A6E8C" w:rsidRDefault="008C2FF4" w:rsidP="00C20344">
      <w:pPr>
        <w:jc w:val="center"/>
        <w:rPr>
          <w:lang w:eastAsia="es-ES"/>
        </w:rPr>
      </w:pPr>
      <w:r>
        <w:rPr>
          <w:noProof/>
        </w:rPr>
        <w:drawing>
          <wp:inline distT="0" distB="0" distL="0" distR="0">
            <wp:extent cx="5353050" cy="2971800"/>
            <wp:effectExtent l="0" t="0" r="0" b="0"/>
            <wp:docPr id="59"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3050" cy="2971800"/>
                    </a:xfrm>
                    <a:prstGeom prst="rect">
                      <a:avLst/>
                    </a:prstGeom>
                    <a:noFill/>
                    <a:ln>
                      <a:noFill/>
                    </a:ln>
                  </pic:spPr>
                </pic:pic>
              </a:graphicData>
            </a:graphic>
          </wp:inline>
        </w:drawing>
      </w:r>
    </w:p>
    <w:p w:rsidR="002A6E8C" w:rsidRDefault="002A6E8C" w:rsidP="00C20344">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C20344">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9A1B9E">
      <w:pPr>
        <w:rPr>
          <w:lang w:val="es-MX" w:eastAsia="es-ES"/>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lastRenderedPageBreak/>
        <w:t>Crecimiento Anual del Porcentaje de Lesiones no Fatales según Lesiones de tipo Sexológico y Sexo</w:t>
      </w:r>
    </w:p>
    <w:p w:rsidR="002A6E8C" w:rsidRDefault="008C2FF4" w:rsidP="00C20344">
      <w:pPr>
        <w:jc w:val="center"/>
        <w:rPr>
          <w:lang w:eastAsia="es-ES"/>
        </w:rPr>
      </w:pPr>
      <w:r>
        <w:rPr>
          <w:noProof/>
        </w:rPr>
        <w:drawing>
          <wp:inline distT="0" distB="0" distL="0" distR="0">
            <wp:extent cx="5353050" cy="2971800"/>
            <wp:effectExtent l="0" t="0" r="0" b="0"/>
            <wp:docPr id="60"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53050" cy="2971800"/>
                    </a:xfrm>
                    <a:prstGeom prst="rect">
                      <a:avLst/>
                    </a:prstGeom>
                    <a:noFill/>
                    <a:ln>
                      <a:noFill/>
                    </a:ln>
                  </pic:spPr>
                </pic:pic>
              </a:graphicData>
            </a:graphic>
          </wp:inline>
        </w:drawing>
      </w:r>
    </w:p>
    <w:p w:rsidR="002A6E8C" w:rsidRDefault="002A6E8C" w:rsidP="00C20344">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C20344">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9A1B9E">
      <w:pPr>
        <w:rPr>
          <w:lang w:val="es-MX" w:eastAsia="es-ES"/>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Crecimiento Anual del Porcentaje de Lesiones no Fatales según Lesiones por Violencia Interpersonal y Sexo</w:t>
      </w:r>
    </w:p>
    <w:p w:rsidR="002A6E8C" w:rsidRDefault="008C2FF4" w:rsidP="00C20344">
      <w:pPr>
        <w:jc w:val="center"/>
        <w:rPr>
          <w:lang w:eastAsia="es-ES"/>
        </w:rPr>
      </w:pPr>
      <w:r>
        <w:rPr>
          <w:noProof/>
        </w:rPr>
        <w:drawing>
          <wp:inline distT="0" distB="0" distL="0" distR="0">
            <wp:extent cx="5353050" cy="2971800"/>
            <wp:effectExtent l="0" t="0" r="0" b="0"/>
            <wp:docPr id="61"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53050" cy="2971800"/>
                    </a:xfrm>
                    <a:prstGeom prst="rect">
                      <a:avLst/>
                    </a:prstGeom>
                    <a:noFill/>
                    <a:ln>
                      <a:noFill/>
                    </a:ln>
                  </pic:spPr>
                </pic:pic>
              </a:graphicData>
            </a:graphic>
          </wp:inline>
        </w:drawing>
      </w:r>
    </w:p>
    <w:p w:rsidR="002A6E8C" w:rsidRDefault="002A6E8C" w:rsidP="00C20344">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C20344">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9A1B9E">
      <w:pPr>
        <w:rPr>
          <w:lang w:val="es-MX" w:eastAsia="es-ES"/>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lastRenderedPageBreak/>
        <w:t>Crecimiento Anual del Porcentaje de Lesiones no Fatales según Lesiones por Violencia Intrafamiliar y Sexo</w:t>
      </w:r>
    </w:p>
    <w:p w:rsidR="002A6E8C" w:rsidRDefault="008C2FF4" w:rsidP="00C20344">
      <w:pPr>
        <w:jc w:val="center"/>
        <w:rPr>
          <w:lang w:eastAsia="es-ES"/>
        </w:rPr>
      </w:pPr>
      <w:r>
        <w:rPr>
          <w:noProof/>
        </w:rPr>
        <w:drawing>
          <wp:inline distT="0" distB="0" distL="0" distR="0">
            <wp:extent cx="5353050" cy="2971800"/>
            <wp:effectExtent l="0" t="0" r="0" b="0"/>
            <wp:docPr id="62"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53050" cy="2971800"/>
                    </a:xfrm>
                    <a:prstGeom prst="rect">
                      <a:avLst/>
                    </a:prstGeom>
                    <a:noFill/>
                    <a:ln>
                      <a:noFill/>
                    </a:ln>
                  </pic:spPr>
                </pic:pic>
              </a:graphicData>
            </a:graphic>
          </wp:inline>
        </w:drawing>
      </w:r>
    </w:p>
    <w:p w:rsidR="002A6E8C" w:rsidRDefault="002A6E8C" w:rsidP="00C20344">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C20344">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C366A1" w:rsidRDefault="002A6E8C" w:rsidP="009A1B9E">
      <w:pPr>
        <w:rPr>
          <w:lang w:val="es-MX" w:eastAsia="es-ES"/>
        </w:rPr>
      </w:pPr>
    </w:p>
    <w:p w:rsidR="002A6E8C" w:rsidRPr="005D0C51" w:rsidRDefault="002A6E8C" w:rsidP="00471C64">
      <w:pPr>
        <w:pStyle w:val="Ttulo2"/>
        <w:numPr>
          <w:ilvl w:val="1"/>
          <w:numId w:val="10"/>
        </w:numPr>
        <w:jc w:val="both"/>
        <w:rPr>
          <w:color w:val="auto"/>
          <w:lang w:eastAsia="es-ES"/>
        </w:rPr>
      </w:pPr>
      <w:bookmarkStart w:id="12" w:name="_Toc315681381"/>
      <w:r w:rsidRPr="005D0C51">
        <w:rPr>
          <w:color w:val="auto"/>
          <w:lang w:eastAsia="es-ES"/>
        </w:rPr>
        <w:t>Promedio de años de vida potencialmente perdidos por causa de homicidios</w:t>
      </w:r>
      <w:bookmarkEnd w:id="12"/>
    </w:p>
    <w:p w:rsidR="002A6E8C" w:rsidRDefault="002A6E8C" w:rsidP="00CF606A">
      <w:pPr>
        <w:rPr>
          <w:lang w:val="es-MX"/>
        </w:rPr>
      </w:pPr>
    </w:p>
    <w:p w:rsidR="002A6E8C" w:rsidRDefault="008C2FF4" w:rsidP="007D2276">
      <w:pPr>
        <w:spacing w:after="120"/>
        <w:jc w:val="center"/>
        <w:rPr>
          <w:lang w:val="es-MX"/>
        </w:rPr>
      </w:pPr>
      <w:r>
        <w:rPr>
          <w:noProof/>
        </w:rPr>
        <w:drawing>
          <wp:inline distT="0" distB="0" distL="0" distR="0">
            <wp:extent cx="4591050" cy="2543175"/>
            <wp:effectExtent l="0" t="0" r="0" b="9525"/>
            <wp:docPr id="63"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91050" cy="2543175"/>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843C91">
      <w:pPr>
        <w:spacing w:after="0" w:line="240" w:lineRule="auto"/>
        <w:jc w:val="center"/>
        <w:rPr>
          <w:rFonts w:ascii="Arial" w:hAnsi="Arial" w:cs="Arial"/>
          <w:sz w:val="16"/>
          <w:szCs w:val="16"/>
          <w:lang w:val="es-MX"/>
        </w:rPr>
      </w:pPr>
    </w:p>
    <w:p w:rsidR="002A6E8C" w:rsidRPr="00C20344" w:rsidRDefault="002A6E8C" w:rsidP="00C20344">
      <w:pPr>
        <w:rPr>
          <w:rFonts w:ascii="Arial" w:hAnsi="Arial" w:cs="Arial"/>
          <w:lang w:val="es-MX"/>
        </w:rPr>
      </w:pPr>
      <w:r>
        <w:rPr>
          <w:rFonts w:ascii="Arial" w:hAnsi="Arial" w:cs="Arial"/>
          <w:lang w:val="es-MX"/>
        </w:rPr>
        <w:lastRenderedPageBreak/>
        <w:t>El promedio total de años de vida potencialmente perdidos por causa de homicidios es de 36 años. Como se observa en el gráfico anterior para el 2010 el promedio fue de 40,3 años.</w:t>
      </w:r>
    </w:p>
    <w:p w:rsidR="002A6E8C" w:rsidRDefault="002A6E8C" w:rsidP="00704EB7">
      <w:pPr>
        <w:pStyle w:val="Ttulo3"/>
        <w:ind w:left="360"/>
        <w:rPr>
          <w:color w:val="auto"/>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Crecimiento Anual del Promedio de Años de Vida Potencialmente Perdidos por Causa de Homicidios</w:t>
      </w:r>
    </w:p>
    <w:p w:rsidR="002A6E8C" w:rsidRDefault="008C2FF4" w:rsidP="00E562CC">
      <w:pPr>
        <w:jc w:val="center"/>
        <w:rPr>
          <w:lang w:val="es-MX"/>
        </w:rPr>
      </w:pPr>
      <w:r>
        <w:rPr>
          <w:noProof/>
        </w:rPr>
        <w:drawing>
          <wp:inline distT="0" distB="0" distL="0" distR="0">
            <wp:extent cx="4591050" cy="2619375"/>
            <wp:effectExtent l="0" t="0" r="0" b="9525"/>
            <wp:docPr id="64"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91050" cy="2619375"/>
                    </a:xfrm>
                    <a:prstGeom prst="rect">
                      <a:avLst/>
                    </a:prstGeom>
                    <a:noFill/>
                    <a:ln>
                      <a:noFill/>
                    </a:ln>
                  </pic:spPr>
                </pic:pic>
              </a:graphicData>
            </a:graphic>
          </wp:inline>
        </w:drawing>
      </w:r>
    </w:p>
    <w:p w:rsidR="002A6E8C" w:rsidRDefault="002A6E8C" w:rsidP="00C20344">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C20344">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D0C51" w:rsidRDefault="002A6E8C" w:rsidP="00471C64">
      <w:pPr>
        <w:pStyle w:val="Ttulo2"/>
        <w:numPr>
          <w:ilvl w:val="1"/>
          <w:numId w:val="10"/>
        </w:numPr>
        <w:jc w:val="both"/>
        <w:rPr>
          <w:color w:val="auto"/>
          <w:lang w:eastAsia="es-ES"/>
        </w:rPr>
      </w:pPr>
      <w:bookmarkStart w:id="13" w:name="_Toc315681382"/>
      <w:r w:rsidRPr="005D0C51">
        <w:rPr>
          <w:color w:val="auto"/>
          <w:lang w:eastAsia="es-ES"/>
        </w:rPr>
        <w:t>Porcentaje de homicidios según móvil o circunstancia del hecho</w:t>
      </w:r>
      <w:bookmarkEnd w:id="13"/>
    </w:p>
    <w:p w:rsidR="002A6E8C" w:rsidRPr="004B2079" w:rsidRDefault="002A6E8C" w:rsidP="001A713E">
      <w:pPr>
        <w:rPr>
          <w:rFonts w:ascii="Arial" w:hAnsi="Arial" w:cs="Arial"/>
          <w:b/>
          <w:bCs/>
        </w:rPr>
      </w:pPr>
      <w:r w:rsidRPr="004B2079">
        <w:rPr>
          <w:rFonts w:ascii="Arial" w:hAnsi="Arial" w:cs="Arial"/>
          <w:b/>
          <w:bCs/>
        </w:rPr>
        <w:t>Año 2010</w:t>
      </w:r>
    </w:p>
    <w:p w:rsidR="002A6E8C" w:rsidRDefault="008C2FF4" w:rsidP="001A713E">
      <w:pPr>
        <w:rPr>
          <w:lang w:val="es-MX"/>
        </w:rPr>
      </w:pPr>
      <w:r>
        <w:rPr>
          <w:noProof/>
        </w:rPr>
        <w:drawing>
          <wp:inline distT="0" distB="0" distL="0" distR="0">
            <wp:extent cx="5314950" cy="2762250"/>
            <wp:effectExtent l="0" t="0" r="0" b="0"/>
            <wp:docPr id="6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14950" cy="27622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AA2099" w:rsidRDefault="002A6E8C" w:rsidP="00254703">
      <w:pPr>
        <w:jc w:val="both"/>
        <w:rPr>
          <w:rFonts w:ascii="Arial" w:hAnsi="Arial" w:cs="Arial"/>
          <w:lang w:val="es-MX"/>
        </w:rPr>
      </w:pPr>
      <w:r w:rsidRPr="00AA2099">
        <w:rPr>
          <w:rFonts w:ascii="Arial" w:hAnsi="Arial" w:cs="Arial"/>
          <w:lang w:val="es-MX"/>
        </w:rPr>
        <w:lastRenderedPageBreak/>
        <w:t>Si descartáramos la información que aparece c</w:t>
      </w:r>
      <w:r>
        <w:rPr>
          <w:rFonts w:ascii="Arial" w:hAnsi="Arial" w:cs="Arial"/>
          <w:lang w:val="es-MX"/>
        </w:rPr>
        <w:t>omo “sin información” obtenemos el siguiente gráfico mostrando que el móvil o circunstancia del hecho fue ocasionado por violencia interpersonal en más del 50%, en segundo lugar se encuentra los causados por violencia sociopolítica (25%) seguidos de violencia económica (14%).</w:t>
      </w:r>
    </w:p>
    <w:p w:rsidR="002A6E8C" w:rsidRDefault="008C2FF4" w:rsidP="001A713E">
      <w:pPr>
        <w:rPr>
          <w:lang w:val="es-MX"/>
        </w:rPr>
      </w:pPr>
      <w:r>
        <w:rPr>
          <w:noProof/>
        </w:rPr>
        <w:drawing>
          <wp:inline distT="0" distB="0" distL="0" distR="0">
            <wp:extent cx="5314950" cy="2762250"/>
            <wp:effectExtent l="0" t="0" r="0" b="0"/>
            <wp:docPr id="6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14950" cy="2762250"/>
                    </a:xfrm>
                    <a:prstGeom prst="rect">
                      <a:avLst/>
                    </a:prstGeom>
                    <a:noFill/>
                    <a:ln>
                      <a:noFill/>
                    </a:ln>
                  </pic:spPr>
                </pic:pic>
              </a:graphicData>
            </a:graphic>
          </wp:inline>
        </w:drawing>
      </w:r>
    </w:p>
    <w:p w:rsidR="002A6E8C" w:rsidRDefault="002A6E8C" w:rsidP="007D2276">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7D2276">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1A713E">
      <w:pPr>
        <w:rPr>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Distribución del total de homicidios según móvil o circunstancia - Año 2010</w:t>
      </w:r>
    </w:p>
    <w:p w:rsidR="002A6E8C" w:rsidRDefault="008C2FF4" w:rsidP="00FA2CAB">
      <w:pPr>
        <w:jc w:val="center"/>
        <w:rPr>
          <w:lang w:val="es-MX"/>
        </w:rPr>
      </w:pPr>
      <w:r>
        <w:rPr>
          <w:noProof/>
        </w:rPr>
        <w:drawing>
          <wp:inline distT="0" distB="0" distL="0" distR="0">
            <wp:extent cx="5314950" cy="2933700"/>
            <wp:effectExtent l="0" t="0" r="0" b="0"/>
            <wp:docPr id="67"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4950" cy="293370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9E2A28" w:rsidRDefault="002A6E8C" w:rsidP="009E2A28">
      <w:pPr>
        <w:rPr>
          <w:lang w:eastAsia="es-ES"/>
        </w:rPr>
      </w:pPr>
    </w:p>
    <w:p w:rsidR="002A6E8C" w:rsidRPr="005D0C51" w:rsidRDefault="002A6E8C" w:rsidP="00471C64">
      <w:pPr>
        <w:pStyle w:val="Ttulo2"/>
        <w:numPr>
          <w:ilvl w:val="1"/>
          <w:numId w:val="10"/>
        </w:numPr>
        <w:jc w:val="both"/>
        <w:rPr>
          <w:color w:val="auto"/>
          <w:lang w:eastAsia="es-ES"/>
        </w:rPr>
      </w:pPr>
      <w:bookmarkStart w:id="14" w:name="_Toc315681383"/>
      <w:r w:rsidRPr="005D0C51">
        <w:rPr>
          <w:color w:val="auto"/>
          <w:lang w:eastAsia="es-ES"/>
        </w:rPr>
        <w:lastRenderedPageBreak/>
        <w:t>Participación de muertes por accidente de tránsito en el total de muertes violentas</w:t>
      </w:r>
      <w:bookmarkEnd w:id="14"/>
    </w:p>
    <w:p w:rsidR="002A6E8C" w:rsidRPr="00AA2099" w:rsidRDefault="002A6E8C" w:rsidP="00CF606A"/>
    <w:p w:rsidR="002A6E8C" w:rsidRDefault="008C2FF4" w:rsidP="00AA2099">
      <w:pPr>
        <w:jc w:val="center"/>
        <w:rPr>
          <w:lang w:val="es-MX"/>
        </w:rPr>
      </w:pPr>
      <w:r>
        <w:rPr>
          <w:noProof/>
        </w:rPr>
        <w:drawing>
          <wp:inline distT="0" distB="0" distL="0" distR="0">
            <wp:extent cx="4591050" cy="2762250"/>
            <wp:effectExtent l="0" t="0" r="0" b="0"/>
            <wp:docPr id="68"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rsidR="002A6E8C" w:rsidRDefault="002A6E8C" w:rsidP="00843C91">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843C91">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CF606A">
      <w:pPr>
        <w:rPr>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 xml:space="preserve">Crecimiento Anual de la Participación de Muertes por Accidente de Tránsito en el Total de Muertes Violentas </w:t>
      </w:r>
    </w:p>
    <w:p w:rsidR="002A6E8C" w:rsidRDefault="008C2FF4" w:rsidP="00AA2099">
      <w:pPr>
        <w:jc w:val="center"/>
        <w:rPr>
          <w:lang w:eastAsia="es-ES"/>
        </w:rPr>
      </w:pPr>
      <w:r>
        <w:rPr>
          <w:noProof/>
        </w:rPr>
        <w:drawing>
          <wp:inline distT="0" distB="0" distL="0" distR="0">
            <wp:extent cx="4591050" cy="2762250"/>
            <wp:effectExtent l="0" t="0" r="0" b="0"/>
            <wp:docPr id="69"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rsidR="002A6E8C" w:rsidRDefault="002A6E8C" w:rsidP="00281E4E">
      <w:pPr>
        <w:spacing w:after="0" w:line="240" w:lineRule="auto"/>
        <w:jc w:val="center"/>
        <w:rPr>
          <w:rFonts w:ascii="Arial" w:hAnsi="Arial" w:cs="Arial"/>
          <w:sz w:val="16"/>
          <w:szCs w:val="16"/>
          <w:lang w:val="es-MX"/>
        </w:rPr>
      </w:pPr>
      <w:r w:rsidRPr="003147B1">
        <w:rPr>
          <w:rFonts w:ascii="Arial" w:hAnsi="Arial" w:cs="Arial"/>
          <w:sz w:val="16"/>
          <w:szCs w:val="16"/>
          <w:lang w:val="es-MX"/>
        </w:rPr>
        <w:t>Fuente: Instituto Nacional de Med</w:t>
      </w:r>
      <w:r>
        <w:rPr>
          <w:rFonts w:ascii="Arial" w:hAnsi="Arial" w:cs="Arial"/>
          <w:sz w:val="16"/>
          <w:szCs w:val="16"/>
          <w:lang w:val="es-MX"/>
        </w:rPr>
        <w:t>icina Legal y Ciencias Forenses – I</w:t>
      </w:r>
      <w:r w:rsidRPr="003147B1">
        <w:rPr>
          <w:rFonts w:ascii="Arial" w:hAnsi="Arial" w:cs="Arial"/>
          <w:sz w:val="16"/>
          <w:szCs w:val="16"/>
          <w:lang w:val="es-MX"/>
        </w:rPr>
        <w:t>NMLCF</w:t>
      </w:r>
    </w:p>
    <w:p w:rsidR="002A6E8C" w:rsidRDefault="002A6E8C" w:rsidP="00281E4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pPr>
        <w:rPr>
          <w:rFonts w:ascii="Arial" w:hAnsi="Arial" w:cs="Arial"/>
          <w:sz w:val="24"/>
          <w:szCs w:val="24"/>
          <w:lang w:val="es-MX"/>
        </w:rPr>
        <w:sectPr w:rsidR="002A6E8C" w:rsidSect="0064416F">
          <w:type w:val="continuous"/>
          <w:pgSz w:w="12240" w:h="15840" w:code="1"/>
          <w:pgMar w:top="1417" w:right="1701" w:bottom="1417" w:left="1701" w:header="708" w:footer="708" w:gutter="0"/>
          <w:cols w:space="708"/>
          <w:docGrid w:linePitch="360"/>
        </w:sectPr>
      </w:pPr>
    </w:p>
    <w:p w:rsidR="002A6E8C" w:rsidRPr="00937508" w:rsidRDefault="002A6E8C" w:rsidP="00B45FA4">
      <w:pPr>
        <w:pStyle w:val="Ttulo1"/>
        <w:numPr>
          <w:ilvl w:val="0"/>
          <w:numId w:val="10"/>
        </w:numPr>
        <w:rPr>
          <w:color w:val="800080"/>
          <w:u w:val="single"/>
          <w:lang w:val="es-MX"/>
        </w:rPr>
      </w:pPr>
      <w:bookmarkStart w:id="15" w:name="_Toc315681384"/>
      <w:r w:rsidRPr="00937508">
        <w:rPr>
          <w:color w:val="800080"/>
          <w:u w:val="single"/>
          <w:lang w:val="es-MX"/>
        </w:rPr>
        <w:lastRenderedPageBreak/>
        <w:t xml:space="preserve">INFORME </w:t>
      </w:r>
      <w:r>
        <w:rPr>
          <w:color w:val="800080"/>
          <w:u w:val="single"/>
          <w:lang w:val="es-MX"/>
        </w:rPr>
        <w:t xml:space="preserve"> </w:t>
      </w:r>
      <w:r w:rsidRPr="00937508">
        <w:rPr>
          <w:color w:val="800080"/>
          <w:u w:val="single"/>
          <w:lang w:val="es-MX"/>
        </w:rPr>
        <w:t>INSTITUTO COLOMBIANO DE BIENESTAR FAMILIAR – ICBF</w:t>
      </w:r>
      <w:bookmarkEnd w:id="15"/>
    </w:p>
    <w:p w:rsidR="002A6E8C" w:rsidRPr="005D0C51" w:rsidRDefault="002A6E8C" w:rsidP="0048249D">
      <w:pPr>
        <w:pStyle w:val="Ttulo2"/>
        <w:numPr>
          <w:ilvl w:val="1"/>
          <w:numId w:val="10"/>
        </w:numPr>
        <w:jc w:val="both"/>
        <w:rPr>
          <w:color w:val="auto"/>
          <w:lang w:eastAsia="es-ES"/>
        </w:rPr>
      </w:pPr>
      <w:bookmarkStart w:id="16" w:name="_Toc315681385"/>
      <w:r w:rsidRPr="005D0C51">
        <w:rPr>
          <w:color w:val="auto"/>
          <w:lang w:eastAsia="es-ES"/>
        </w:rPr>
        <w:t>Distribución de las  sanciones aplicadas a los adolescentes por tipo de sanción</w:t>
      </w:r>
      <w:r>
        <w:rPr>
          <w:color w:val="auto"/>
          <w:lang w:eastAsia="es-ES"/>
        </w:rPr>
        <w:t xml:space="preserve"> año 2010</w:t>
      </w:r>
      <w:bookmarkEnd w:id="16"/>
    </w:p>
    <w:p w:rsidR="002A6E8C" w:rsidRDefault="002A6E8C" w:rsidP="007D2276">
      <w:pPr>
        <w:spacing w:after="120"/>
        <w:jc w:val="center"/>
      </w:pPr>
    </w:p>
    <w:p w:rsidR="002A6E8C" w:rsidRDefault="008C2FF4" w:rsidP="007D2276">
      <w:pPr>
        <w:spacing w:after="120"/>
        <w:jc w:val="center"/>
        <w:rPr>
          <w:lang w:val="es-MX"/>
        </w:rPr>
      </w:pPr>
      <w:r>
        <w:rPr>
          <w:noProof/>
        </w:rPr>
        <w:drawing>
          <wp:inline distT="0" distB="0" distL="0" distR="0">
            <wp:extent cx="5305425" cy="284797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05425" cy="2847975"/>
                    </a:xfrm>
                    <a:prstGeom prst="rect">
                      <a:avLst/>
                    </a:prstGeom>
                    <a:noFill/>
                    <a:ln>
                      <a:noFill/>
                    </a:ln>
                  </pic:spPr>
                </pic:pic>
              </a:graphicData>
            </a:graphic>
          </wp:inline>
        </w:drawing>
      </w:r>
    </w:p>
    <w:p w:rsidR="002A6E8C" w:rsidRDefault="002A6E8C" w:rsidP="007D41AB">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Instituto </w:t>
      </w:r>
      <w:r>
        <w:rPr>
          <w:rFonts w:ascii="Arial" w:hAnsi="Arial" w:cs="Arial"/>
          <w:sz w:val="16"/>
          <w:szCs w:val="16"/>
          <w:lang w:val="es-MX"/>
        </w:rPr>
        <w:t>Colombiano de Bienestar Familiar – ICBF</w:t>
      </w:r>
    </w:p>
    <w:p w:rsidR="002A6E8C" w:rsidRDefault="002A6E8C" w:rsidP="007D41AB">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C366A1">
      <w:pPr>
        <w:spacing w:after="0" w:line="240" w:lineRule="auto"/>
        <w:jc w:val="center"/>
        <w:rPr>
          <w:rFonts w:ascii="Arial" w:hAnsi="Arial" w:cs="Arial"/>
          <w:sz w:val="16"/>
          <w:szCs w:val="16"/>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Distribución del total de sanciones aplicadas a adolescentes por tipo de sanción</w:t>
      </w:r>
    </w:p>
    <w:p w:rsidR="002A6E8C" w:rsidRDefault="008C2FF4" w:rsidP="0048249D">
      <w:pPr>
        <w:jc w:val="center"/>
        <w:rPr>
          <w:lang w:val="es-MX"/>
        </w:rPr>
      </w:pPr>
      <w:r>
        <w:rPr>
          <w:noProof/>
        </w:rPr>
        <w:drawing>
          <wp:inline distT="0" distB="0" distL="0" distR="0">
            <wp:extent cx="4867275" cy="2657475"/>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67275" cy="2657475"/>
                    </a:xfrm>
                    <a:prstGeom prst="rect">
                      <a:avLst/>
                    </a:prstGeom>
                    <a:noFill/>
                    <a:ln>
                      <a:noFill/>
                    </a:ln>
                  </pic:spPr>
                </pic:pic>
              </a:graphicData>
            </a:graphic>
          </wp:inline>
        </w:drawing>
      </w:r>
    </w:p>
    <w:p w:rsidR="002A6E8C" w:rsidRDefault="002A6E8C" w:rsidP="007D41AB">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Instituto </w:t>
      </w:r>
      <w:r>
        <w:rPr>
          <w:rFonts w:ascii="Arial" w:hAnsi="Arial" w:cs="Arial"/>
          <w:sz w:val="16"/>
          <w:szCs w:val="16"/>
          <w:lang w:val="es-MX"/>
        </w:rPr>
        <w:t>Colombiano de Bienestar Familiar – ICBF</w:t>
      </w:r>
    </w:p>
    <w:p w:rsidR="002A6E8C" w:rsidRDefault="002A6E8C" w:rsidP="007D41AB">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48249D">
      <w:pPr>
        <w:pStyle w:val="Ttulo2"/>
        <w:numPr>
          <w:ilvl w:val="1"/>
          <w:numId w:val="10"/>
        </w:numPr>
        <w:jc w:val="both"/>
        <w:rPr>
          <w:color w:val="auto"/>
          <w:lang w:eastAsia="es-ES"/>
        </w:rPr>
      </w:pPr>
      <w:bookmarkStart w:id="17" w:name="_Toc315681386"/>
      <w:r w:rsidRPr="005D0C51">
        <w:rPr>
          <w:color w:val="auto"/>
          <w:lang w:eastAsia="es-ES"/>
        </w:rPr>
        <w:lastRenderedPageBreak/>
        <w:t>Proporción de niños, niñas y adolescentes desvinculados victimas de grupos generadores de violencia según grupo generador de violencia</w:t>
      </w:r>
      <w:bookmarkEnd w:id="17"/>
    </w:p>
    <w:p w:rsidR="002A6E8C" w:rsidRPr="0048249D" w:rsidRDefault="002A6E8C" w:rsidP="0048249D">
      <w:pPr>
        <w:rPr>
          <w:lang w:eastAsia="es-ES"/>
        </w:rPr>
      </w:pPr>
    </w:p>
    <w:p w:rsidR="002A6E8C" w:rsidRDefault="002A6E8C" w:rsidP="0048249D">
      <w:pPr>
        <w:jc w:val="both"/>
        <w:rPr>
          <w:rFonts w:ascii="Arial" w:hAnsi="Arial" w:cs="Arial"/>
        </w:rPr>
      </w:pPr>
      <w:r w:rsidRPr="0048249D">
        <w:rPr>
          <w:rFonts w:ascii="Arial" w:hAnsi="Arial" w:cs="Arial"/>
        </w:rPr>
        <w:t>Las variables de los Grupos Armados Ilegales que reclutan NNA se clasifican en el ICBF así: FARC: Fuerzas Armadas Revolucionarias de Colombia, AUC: Autodefensas Unidas de Colombia, ELN: Ejército de Liberación Nacional, EPL: Ejército Popular de Liberación, BACRIM: Bandas Criminales</w:t>
      </w:r>
    </w:p>
    <w:p w:rsidR="002A6E8C" w:rsidRDefault="002A6E8C" w:rsidP="0048249D">
      <w:pPr>
        <w:jc w:val="both"/>
        <w:rPr>
          <w:rFonts w:ascii="Arial" w:hAnsi="Arial" w:cs="Arial"/>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Proporción de niños, niñas y adolescentes desvinculados victimas de grupos generadores de violencia según grupo generador de violencia</w:t>
      </w:r>
    </w:p>
    <w:p w:rsidR="002A6E8C" w:rsidRPr="004B2079" w:rsidRDefault="008C2FF4" w:rsidP="00B24B85">
      <w:pPr>
        <w:jc w:val="center"/>
        <w:rPr>
          <w:rFonts w:ascii="Arial" w:hAnsi="Arial" w:cs="Arial"/>
          <w:b/>
          <w:bCs/>
        </w:rPr>
      </w:pPr>
      <w:r>
        <w:rPr>
          <w:noProof/>
        </w:rPr>
        <w:drawing>
          <wp:inline distT="0" distB="0" distL="0" distR="0">
            <wp:extent cx="5114925" cy="3028950"/>
            <wp:effectExtent l="0" t="0" r="9525" b="0"/>
            <wp:docPr id="7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14925" cy="3028950"/>
                    </a:xfrm>
                    <a:prstGeom prst="rect">
                      <a:avLst/>
                    </a:prstGeom>
                    <a:noFill/>
                    <a:ln>
                      <a:noFill/>
                    </a:ln>
                  </pic:spPr>
                </pic:pic>
              </a:graphicData>
            </a:graphic>
          </wp:inline>
        </w:drawing>
      </w:r>
    </w:p>
    <w:p w:rsidR="002A6E8C" w:rsidRDefault="002A6E8C" w:rsidP="007D41AB">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Instituto </w:t>
      </w:r>
      <w:r>
        <w:rPr>
          <w:rFonts w:ascii="Arial" w:hAnsi="Arial" w:cs="Arial"/>
          <w:sz w:val="16"/>
          <w:szCs w:val="16"/>
          <w:lang w:val="es-MX"/>
        </w:rPr>
        <w:t>Colombiano de Bienestar Familiar – ICBF</w:t>
      </w:r>
    </w:p>
    <w:p w:rsidR="002A6E8C" w:rsidRDefault="002A6E8C" w:rsidP="007D41AB">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AE64BE">
      <w:pPr>
        <w:rPr>
          <w:lang w:val="es-MX"/>
        </w:rPr>
      </w:pPr>
    </w:p>
    <w:p w:rsidR="002A6E8C" w:rsidRPr="007D2276" w:rsidRDefault="002A6E8C" w:rsidP="007D2276">
      <w:pPr>
        <w:jc w:val="both"/>
        <w:rPr>
          <w:rFonts w:ascii="Arial" w:hAnsi="Arial" w:cs="Arial"/>
          <w:bCs/>
          <w:sz w:val="20"/>
          <w:szCs w:val="20"/>
          <w:lang w:val="es-MX"/>
        </w:rPr>
      </w:pPr>
      <w:r>
        <w:rPr>
          <w:rFonts w:ascii="Arial" w:hAnsi="Arial" w:cs="Arial"/>
          <w:bCs/>
          <w:sz w:val="20"/>
          <w:szCs w:val="20"/>
          <w:lang w:val="es-MX"/>
        </w:rPr>
        <w:t xml:space="preserve">Las FARC () son el grupo generador de violencia con el 73% de participación en la desvinculación de victimas como </w:t>
      </w:r>
      <w:r w:rsidRPr="007D2276">
        <w:rPr>
          <w:rFonts w:ascii="Arial" w:hAnsi="Arial" w:cs="Arial"/>
          <w:bCs/>
          <w:sz w:val="20"/>
          <w:szCs w:val="20"/>
          <w:lang w:val="es-MX"/>
        </w:rPr>
        <w:t>niños, niñas y adolescentes</w:t>
      </w:r>
      <w:r>
        <w:rPr>
          <w:rFonts w:ascii="Arial" w:hAnsi="Arial" w:cs="Arial"/>
          <w:bCs/>
          <w:sz w:val="20"/>
          <w:szCs w:val="20"/>
          <w:lang w:val="es-MX"/>
        </w:rPr>
        <w:t>.</w:t>
      </w:r>
      <w:r w:rsidRPr="007D2276">
        <w:rPr>
          <w:rFonts w:ascii="Arial" w:hAnsi="Arial" w:cs="Arial"/>
          <w:bCs/>
          <w:sz w:val="20"/>
          <w:szCs w:val="20"/>
          <w:lang w:val="es-MX"/>
        </w:rPr>
        <w:t xml:space="preserve"> </w:t>
      </w:r>
    </w:p>
    <w:p w:rsidR="002A6E8C" w:rsidRDefault="002A6E8C" w:rsidP="00AE64BE">
      <w:pPr>
        <w:rPr>
          <w:lang w:val="es-MX"/>
        </w:rPr>
      </w:pPr>
    </w:p>
    <w:p w:rsidR="002A6E8C" w:rsidRDefault="002A6E8C" w:rsidP="00AE64BE">
      <w:pPr>
        <w:rPr>
          <w:lang w:val="es-MX"/>
        </w:rPr>
      </w:pPr>
    </w:p>
    <w:p w:rsidR="002A6E8C" w:rsidRDefault="002A6E8C" w:rsidP="00AE64BE">
      <w:pPr>
        <w:rPr>
          <w:lang w:val="es-MX"/>
        </w:rPr>
      </w:pPr>
    </w:p>
    <w:p w:rsidR="002A6E8C" w:rsidRPr="005D0C51" w:rsidRDefault="002A6E8C" w:rsidP="0048249D">
      <w:pPr>
        <w:pStyle w:val="Ttulo2"/>
        <w:numPr>
          <w:ilvl w:val="1"/>
          <w:numId w:val="10"/>
        </w:numPr>
        <w:jc w:val="both"/>
        <w:rPr>
          <w:color w:val="auto"/>
          <w:lang w:eastAsia="es-ES"/>
        </w:rPr>
      </w:pPr>
      <w:bookmarkStart w:id="18" w:name="_Toc315681387"/>
      <w:r w:rsidRPr="005D0C51">
        <w:rPr>
          <w:color w:val="auto"/>
          <w:lang w:eastAsia="es-ES"/>
        </w:rPr>
        <w:t>Proporción de adolescentes atendidos por las defensorías de familia según tipo de delito</w:t>
      </w:r>
      <w:bookmarkEnd w:id="18"/>
    </w:p>
    <w:p w:rsidR="002A6E8C" w:rsidRDefault="002A6E8C" w:rsidP="00A02182">
      <w:pPr>
        <w:rPr>
          <w:b/>
          <w:bCs/>
          <w:noProof/>
          <w:lang w:eastAsia="es-ES"/>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lastRenderedPageBreak/>
        <w:t>Proporción de adolescentes atendidos por las defensorías de familia según tipo de delito</w:t>
      </w:r>
    </w:p>
    <w:p w:rsidR="002A6E8C" w:rsidRPr="00A02182" w:rsidRDefault="008C2FF4" w:rsidP="00A02182">
      <w:pPr>
        <w:spacing w:after="120"/>
        <w:rPr>
          <w:noProof/>
          <w:lang w:eastAsia="es-ES"/>
        </w:rPr>
      </w:pPr>
      <w:r>
        <w:rPr>
          <w:noProof/>
        </w:rPr>
        <w:drawing>
          <wp:inline distT="0" distB="0" distL="0" distR="0">
            <wp:extent cx="5372100" cy="272415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72100" cy="2724150"/>
                    </a:xfrm>
                    <a:prstGeom prst="rect">
                      <a:avLst/>
                    </a:prstGeom>
                    <a:noFill/>
                    <a:ln>
                      <a:noFill/>
                    </a:ln>
                  </pic:spPr>
                </pic:pic>
              </a:graphicData>
            </a:graphic>
          </wp:inline>
        </w:drawing>
      </w:r>
    </w:p>
    <w:p w:rsidR="002A6E8C" w:rsidRDefault="002A6E8C" w:rsidP="007D41AB">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Instituto </w:t>
      </w:r>
      <w:r>
        <w:rPr>
          <w:rFonts w:ascii="Arial" w:hAnsi="Arial" w:cs="Arial"/>
          <w:sz w:val="16"/>
          <w:szCs w:val="16"/>
          <w:lang w:val="es-MX"/>
        </w:rPr>
        <w:t>Colombiano de Bienestar Familiar – ICBF</w:t>
      </w:r>
    </w:p>
    <w:p w:rsidR="002A6E8C" w:rsidRDefault="002A6E8C" w:rsidP="007D41AB">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7D41AB">
      <w:pPr>
        <w:spacing w:after="0" w:line="240" w:lineRule="auto"/>
        <w:jc w:val="center"/>
        <w:rPr>
          <w:rFonts w:ascii="Arial" w:hAnsi="Arial" w:cs="Arial"/>
          <w:sz w:val="16"/>
          <w:szCs w:val="16"/>
          <w:lang w:val="es-MX"/>
        </w:rPr>
      </w:pPr>
    </w:p>
    <w:p w:rsidR="002A6E8C" w:rsidRDefault="002A6E8C" w:rsidP="007D41AB">
      <w:pPr>
        <w:spacing w:after="0" w:line="240" w:lineRule="auto"/>
        <w:jc w:val="center"/>
        <w:rPr>
          <w:rFonts w:ascii="Arial" w:hAnsi="Arial" w:cs="Arial"/>
          <w:sz w:val="16"/>
          <w:szCs w:val="16"/>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 xml:space="preserve">Distribución del total de adolescentes atendidos por las defensorías de familia según tipo del delito </w:t>
      </w:r>
    </w:p>
    <w:p w:rsidR="002A6E8C" w:rsidRPr="004B2079" w:rsidRDefault="008C2FF4" w:rsidP="007D2276">
      <w:pPr>
        <w:spacing w:after="120"/>
        <w:rPr>
          <w:rFonts w:ascii="Arial" w:hAnsi="Arial" w:cs="Arial"/>
          <w:b/>
          <w:bCs/>
        </w:rPr>
      </w:pPr>
      <w:r>
        <w:rPr>
          <w:noProof/>
        </w:rPr>
        <w:drawing>
          <wp:inline distT="0" distB="0" distL="0" distR="0">
            <wp:extent cx="5400675" cy="3057525"/>
            <wp:effectExtent l="0" t="0" r="9525" b="9525"/>
            <wp:docPr id="74"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675" cy="3057525"/>
                    </a:xfrm>
                    <a:prstGeom prst="rect">
                      <a:avLst/>
                    </a:prstGeom>
                    <a:noFill/>
                    <a:ln>
                      <a:noFill/>
                    </a:ln>
                  </pic:spPr>
                </pic:pic>
              </a:graphicData>
            </a:graphic>
          </wp:inline>
        </w:drawing>
      </w:r>
    </w:p>
    <w:p w:rsidR="002A6E8C" w:rsidRDefault="002A6E8C" w:rsidP="007D41AB">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Instituto </w:t>
      </w:r>
      <w:r>
        <w:rPr>
          <w:rFonts w:ascii="Arial" w:hAnsi="Arial" w:cs="Arial"/>
          <w:sz w:val="16"/>
          <w:szCs w:val="16"/>
          <w:lang w:val="es-MX"/>
        </w:rPr>
        <w:t>Colombiano de Bienestar Familiar – ICBF</w:t>
      </w:r>
    </w:p>
    <w:p w:rsidR="002A6E8C" w:rsidRDefault="002A6E8C" w:rsidP="007D41AB">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D0C51" w:rsidRDefault="002A6E8C" w:rsidP="0048249D">
      <w:pPr>
        <w:pStyle w:val="Ttulo2"/>
        <w:numPr>
          <w:ilvl w:val="1"/>
          <w:numId w:val="10"/>
        </w:numPr>
        <w:jc w:val="both"/>
        <w:rPr>
          <w:color w:val="auto"/>
          <w:lang w:eastAsia="es-ES"/>
        </w:rPr>
      </w:pPr>
      <w:bookmarkStart w:id="19" w:name="_Toc315681388"/>
      <w:r w:rsidRPr="005D0C51">
        <w:rPr>
          <w:color w:val="auto"/>
          <w:lang w:eastAsia="es-ES"/>
        </w:rPr>
        <w:t>Proporción de adolescentes atendidos por las defensorías de familia según rango de edad</w:t>
      </w:r>
      <w:bookmarkEnd w:id="19"/>
    </w:p>
    <w:p w:rsidR="002A6E8C" w:rsidRDefault="002A6E8C" w:rsidP="00B67CFB">
      <w:pPr>
        <w:rPr>
          <w:lang w:val="es-MX"/>
        </w:rPr>
      </w:pPr>
    </w:p>
    <w:p w:rsidR="002A6E8C" w:rsidRPr="00B67CFB" w:rsidRDefault="008C2FF4" w:rsidP="00166452">
      <w:pPr>
        <w:spacing w:after="120"/>
        <w:jc w:val="center"/>
        <w:rPr>
          <w:lang w:val="es-MX"/>
        </w:rPr>
      </w:pPr>
      <w:r>
        <w:rPr>
          <w:noProof/>
        </w:rPr>
        <w:lastRenderedPageBreak/>
        <w:drawing>
          <wp:inline distT="0" distB="0" distL="0" distR="0">
            <wp:extent cx="4895850" cy="288607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95850" cy="2886075"/>
                    </a:xfrm>
                    <a:prstGeom prst="rect">
                      <a:avLst/>
                    </a:prstGeom>
                    <a:noFill/>
                    <a:ln>
                      <a:noFill/>
                    </a:ln>
                  </pic:spPr>
                </pic:pic>
              </a:graphicData>
            </a:graphic>
          </wp:inline>
        </w:drawing>
      </w:r>
    </w:p>
    <w:p w:rsidR="002A6E8C" w:rsidRDefault="002A6E8C" w:rsidP="007D41AB">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Instituto </w:t>
      </w:r>
      <w:r>
        <w:rPr>
          <w:rFonts w:ascii="Arial" w:hAnsi="Arial" w:cs="Arial"/>
          <w:sz w:val="16"/>
          <w:szCs w:val="16"/>
          <w:lang w:val="es-MX"/>
        </w:rPr>
        <w:t>Colombiano de Bienestar Familiar – ICBF</w:t>
      </w:r>
    </w:p>
    <w:p w:rsidR="002A6E8C" w:rsidRDefault="002A6E8C" w:rsidP="007D41AB">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7D41AB">
      <w:pPr>
        <w:spacing w:after="0" w:line="240" w:lineRule="auto"/>
        <w:jc w:val="center"/>
        <w:rPr>
          <w:rFonts w:ascii="Arial" w:hAnsi="Arial" w:cs="Arial"/>
          <w:sz w:val="16"/>
          <w:szCs w:val="16"/>
          <w:lang w:val="es-MX"/>
        </w:rPr>
      </w:pPr>
    </w:p>
    <w:p w:rsidR="002A6E8C" w:rsidRDefault="002A6E8C" w:rsidP="007D41AB">
      <w:pPr>
        <w:spacing w:after="0" w:line="240" w:lineRule="auto"/>
        <w:jc w:val="center"/>
        <w:rPr>
          <w:rFonts w:ascii="Arial" w:hAnsi="Arial" w:cs="Arial"/>
          <w:sz w:val="16"/>
          <w:szCs w:val="16"/>
          <w:lang w:val="es-MX"/>
        </w:rPr>
      </w:pPr>
    </w:p>
    <w:p w:rsidR="002A6E8C" w:rsidRDefault="002A6E8C" w:rsidP="007D41AB">
      <w:pPr>
        <w:spacing w:after="0" w:line="240" w:lineRule="auto"/>
        <w:jc w:val="center"/>
        <w:rPr>
          <w:rFonts w:ascii="Arial" w:hAnsi="Arial" w:cs="Arial"/>
          <w:sz w:val="16"/>
          <w:szCs w:val="16"/>
          <w:lang w:val="es-MX"/>
        </w:rPr>
      </w:pPr>
    </w:p>
    <w:p w:rsidR="002A6E8C" w:rsidRDefault="002A6E8C" w:rsidP="007D41AB">
      <w:pPr>
        <w:spacing w:after="0" w:line="240" w:lineRule="auto"/>
        <w:jc w:val="center"/>
        <w:rPr>
          <w:rFonts w:ascii="Arial" w:hAnsi="Arial" w:cs="Arial"/>
          <w:sz w:val="16"/>
          <w:szCs w:val="16"/>
          <w:lang w:val="es-MX"/>
        </w:rPr>
      </w:pPr>
    </w:p>
    <w:p w:rsidR="002A6E8C" w:rsidRPr="003A34CA" w:rsidRDefault="002A6E8C" w:rsidP="003A34CA">
      <w:pPr>
        <w:jc w:val="both"/>
        <w:rPr>
          <w:rFonts w:ascii="Arial" w:hAnsi="Arial" w:cs="Arial"/>
          <w:b/>
          <w:bCs/>
          <w:sz w:val="20"/>
          <w:szCs w:val="20"/>
          <w:lang w:val="es-MX"/>
        </w:rPr>
      </w:pPr>
      <w:r w:rsidRPr="003A34CA">
        <w:rPr>
          <w:rFonts w:ascii="Arial" w:hAnsi="Arial" w:cs="Arial"/>
          <w:b/>
          <w:bCs/>
          <w:sz w:val="20"/>
          <w:szCs w:val="20"/>
          <w:lang w:val="es-MX"/>
        </w:rPr>
        <w:t>Total de adolescentes atendidos por las defensorías de familia según  rango de edad</w:t>
      </w:r>
    </w:p>
    <w:p w:rsidR="002A6E8C" w:rsidRPr="00A02182" w:rsidRDefault="008C2FF4" w:rsidP="00166452">
      <w:pPr>
        <w:spacing w:after="120"/>
        <w:jc w:val="center"/>
      </w:pPr>
      <w:r>
        <w:rPr>
          <w:noProof/>
        </w:rPr>
        <w:drawing>
          <wp:inline distT="0" distB="0" distL="0" distR="0">
            <wp:extent cx="5048250" cy="3076575"/>
            <wp:effectExtent l="0" t="0" r="0"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8250" cy="3076575"/>
                    </a:xfrm>
                    <a:prstGeom prst="rect">
                      <a:avLst/>
                    </a:prstGeom>
                    <a:noFill/>
                    <a:ln>
                      <a:noFill/>
                    </a:ln>
                  </pic:spPr>
                </pic:pic>
              </a:graphicData>
            </a:graphic>
          </wp:inline>
        </w:drawing>
      </w:r>
    </w:p>
    <w:p w:rsidR="002A6E8C" w:rsidRDefault="002A6E8C" w:rsidP="007D41AB">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Instituto </w:t>
      </w:r>
      <w:r>
        <w:rPr>
          <w:rFonts w:ascii="Arial" w:hAnsi="Arial" w:cs="Arial"/>
          <w:sz w:val="16"/>
          <w:szCs w:val="16"/>
          <w:lang w:val="es-MX"/>
        </w:rPr>
        <w:t>Colombiano de Bienestar Familiar – ICBF</w:t>
      </w:r>
    </w:p>
    <w:p w:rsidR="002A6E8C" w:rsidRDefault="002A6E8C" w:rsidP="007D41AB">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D0C51" w:rsidRDefault="002A6E8C" w:rsidP="0048249D">
      <w:pPr>
        <w:pStyle w:val="Ttulo2"/>
        <w:numPr>
          <w:ilvl w:val="1"/>
          <w:numId w:val="10"/>
        </w:numPr>
        <w:jc w:val="both"/>
        <w:rPr>
          <w:color w:val="auto"/>
          <w:lang w:eastAsia="es-ES"/>
        </w:rPr>
      </w:pPr>
      <w:bookmarkStart w:id="20" w:name="_Toc315681389"/>
      <w:r w:rsidRPr="005D0C51">
        <w:rPr>
          <w:color w:val="auto"/>
          <w:lang w:eastAsia="es-ES"/>
        </w:rPr>
        <w:lastRenderedPageBreak/>
        <w:t>Proporción de sanciones aplicadas a los adolescentes por rango de edad</w:t>
      </w:r>
      <w:bookmarkEnd w:id="20"/>
    </w:p>
    <w:p w:rsidR="002A6E8C" w:rsidRPr="00A02182" w:rsidRDefault="002A6E8C" w:rsidP="00A02182">
      <w:pPr>
        <w:jc w:val="both"/>
        <w:rPr>
          <w:rFonts w:ascii="Arial" w:hAnsi="Arial" w:cs="Arial"/>
          <w:lang w:eastAsia="es-ES"/>
        </w:rPr>
      </w:pPr>
      <w:r w:rsidRPr="00A02182">
        <w:rPr>
          <w:rFonts w:ascii="Arial" w:hAnsi="Arial" w:cs="Arial"/>
        </w:rPr>
        <w:t>El indicador de Total de sanciones aplicadas por edad puede ser suministrado sólo a partir del 2012, ya que en el año 2010 no se requirió esa información.</w:t>
      </w:r>
    </w:p>
    <w:p w:rsidR="002A6E8C" w:rsidRPr="005D0C51" w:rsidRDefault="002A6E8C" w:rsidP="0048249D">
      <w:pPr>
        <w:pStyle w:val="Ttulo2"/>
        <w:numPr>
          <w:ilvl w:val="1"/>
          <w:numId w:val="10"/>
        </w:numPr>
        <w:jc w:val="both"/>
        <w:rPr>
          <w:color w:val="auto"/>
          <w:lang w:eastAsia="es-ES"/>
        </w:rPr>
      </w:pPr>
      <w:bookmarkStart w:id="21" w:name="_Toc315681390"/>
      <w:r w:rsidRPr="005D0C51">
        <w:rPr>
          <w:color w:val="auto"/>
          <w:lang w:eastAsia="es-ES"/>
        </w:rPr>
        <w:t>Proporción de sanciones aplicadas a los adolescentes por nivel de escolaridad</w:t>
      </w:r>
      <w:bookmarkEnd w:id="21"/>
    </w:p>
    <w:p w:rsidR="002A6E8C" w:rsidRPr="00A02182" w:rsidRDefault="002A6E8C" w:rsidP="00A02182">
      <w:pPr>
        <w:jc w:val="both"/>
        <w:rPr>
          <w:rFonts w:ascii="Arial" w:hAnsi="Arial" w:cs="Arial"/>
        </w:rPr>
      </w:pPr>
      <w:r w:rsidRPr="00A02182">
        <w:rPr>
          <w:rFonts w:ascii="Arial" w:hAnsi="Arial" w:cs="Arial"/>
        </w:rPr>
        <w:t xml:space="preserve">El indicador de Total de sanciones aplicadas por escolaridad no puede ser suministrado, ya que esa categoría no se está recogiendo. </w:t>
      </w:r>
    </w:p>
    <w:p w:rsidR="002A6E8C" w:rsidRDefault="002A6E8C" w:rsidP="0048249D">
      <w:pPr>
        <w:pStyle w:val="Ttulo2"/>
        <w:numPr>
          <w:ilvl w:val="1"/>
          <w:numId w:val="10"/>
        </w:numPr>
        <w:jc w:val="both"/>
        <w:rPr>
          <w:color w:val="auto"/>
          <w:lang w:eastAsia="es-ES"/>
        </w:rPr>
      </w:pPr>
      <w:bookmarkStart w:id="22" w:name="_Toc315681391"/>
      <w:r w:rsidRPr="005D0C51">
        <w:rPr>
          <w:color w:val="auto"/>
          <w:lang w:eastAsia="es-ES"/>
        </w:rPr>
        <w:t>Proporción de adolescentes atendidos por las defensorías de familia según genero</w:t>
      </w:r>
      <w:bookmarkEnd w:id="22"/>
    </w:p>
    <w:p w:rsidR="002A6E8C" w:rsidRPr="00372516" w:rsidRDefault="002A6E8C" w:rsidP="00372516">
      <w:pPr>
        <w:rPr>
          <w:lang w:eastAsia="es-ES"/>
        </w:rPr>
      </w:pPr>
    </w:p>
    <w:p w:rsidR="002A6E8C" w:rsidRPr="003A34CA" w:rsidRDefault="002A6E8C" w:rsidP="00372516">
      <w:pPr>
        <w:jc w:val="both"/>
        <w:rPr>
          <w:rFonts w:ascii="Arial" w:hAnsi="Arial" w:cs="Arial"/>
          <w:b/>
          <w:bCs/>
          <w:sz w:val="20"/>
          <w:szCs w:val="20"/>
          <w:lang w:val="es-MX"/>
        </w:rPr>
      </w:pPr>
      <w:r w:rsidRPr="003A34CA">
        <w:rPr>
          <w:rFonts w:ascii="Arial" w:hAnsi="Arial" w:cs="Arial"/>
          <w:b/>
          <w:bCs/>
          <w:sz w:val="20"/>
          <w:szCs w:val="20"/>
          <w:lang w:val="es-MX"/>
        </w:rPr>
        <w:t>Indicador adicionado por ICBF</w:t>
      </w:r>
    </w:p>
    <w:p w:rsidR="002A6E8C" w:rsidRPr="00372516" w:rsidRDefault="002A6E8C" w:rsidP="00372516">
      <w:pPr>
        <w:jc w:val="both"/>
        <w:rPr>
          <w:rFonts w:ascii="Arial" w:hAnsi="Arial" w:cs="Arial"/>
        </w:rPr>
      </w:pPr>
      <w:r w:rsidRPr="00372516">
        <w:rPr>
          <w:rFonts w:ascii="Arial" w:hAnsi="Arial" w:cs="Arial"/>
        </w:rPr>
        <w:t>Se adiciona información para un nuevo indicador: Total de adolescentes atendidos por las defensorías de familia por género.</w:t>
      </w:r>
    </w:p>
    <w:p w:rsidR="002A6E8C" w:rsidRDefault="008C2FF4" w:rsidP="00AE64BE">
      <w:pPr>
        <w:pStyle w:val="Prrafodelista"/>
        <w:rPr>
          <w:lang w:val="es-MX"/>
        </w:rPr>
      </w:pPr>
      <w:r>
        <w:rPr>
          <w:noProof/>
        </w:rPr>
        <w:drawing>
          <wp:inline distT="0" distB="0" distL="0" distR="0">
            <wp:extent cx="4591050" cy="2762250"/>
            <wp:effectExtent l="0" t="0" r="0" b="0"/>
            <wp:docPr id="77"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rsidR="002A6E8C" w:rsidRDefault="002A6E8C" w:rsidP="007D41AB">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Instituto </w:t>
      </w:r>
      <w:r>
        <w:rPr>
          <w:rFonts w:ascii="Arial" w:hAnsi="Arial" w:cs="Arial"/>
          <w:sz w:val="16"/>
          <w:szCs w:val="16"/>
          <w:lang w:val="es-MX"/>
        </w:rPr>
        <w:t>Colombiano de Bienestar Familiar – ICBF</w:t>
      </w:r>
    </w:p>
    <w:p w:rsidR="002A6E8C" w:rsidRDefault="002A6E8C" w:rsidP="007D41AB">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AE64BE" w:rsidRDefault="002A6E8C" w:rsidP="00AE64BE">
      <w:pPr>
        <w:pStyle w:val="Prrafodelista"/>
        <w:rPr>
          <w:lang w:val="es-MX"/>
        </w:rPr>
      </w:pPr>
    </w:p>
    <w:p w:rsidR="002A6E8C" w:rsidRDefault="002A6E8C" w:rsidP="006859FD">
      <w:pPr>
        <w:pStyle w:val="Ttulo1"/>
        <w:rPr>
          <w:lang w:val="es-MX"/>
        </w:rPr>
        <w:sectPr w:rsidR="002A6E8C" w:rsidSect="0064416F">
          <w:pgSz w:w="12240" w:h="15840" w:code="1"/>
          <w:pgMar w:top="1417" w:right="1701" w:bottom="1417" w:left="1701" w:header="708" w:footer="708" w:gutter="0"/>
          <w:cols w:space="708"/>
          <w:docGrid w:linePitch="360"/>
        </w:sectPr>
      </w:pPr>
    </w:p>
    <w:p w:rsidR="002A6E8C" w:rsidRPr="00937508" w:rsidRDefault="002A6E8C" w:rsidP="00B45FA4">
      <w:pPr>
        <w:pStyle w:val="Ttulo1"/>
        <w:numPr>
          <w:ilvl w:val="0"/>
          <w:numId w:val="10"/>
        </w:numPr>
        <w:rPr>
          <w:color w:val="800080"/>
          <w:u w:val="single"/>
          <w:lang w:val="es-MX"/>
        </w:rPr>
      </w:pPr>
      <w:bookmarkStart w:id="23" w:name="_Toc315681392"/>
      <w:r w:rsidRPr="00937508">
        <w:rPr>
          <w:color w:val="800080"/>
          <w:u w:val="single"/>
          <w:lang w:val="es-MX"/>
        </w:rPr>
        <w:lastRenderedPageBreak/>
        <w:t>INFORME  CONSEJO SUPERIOR DE LA JUDICATURA</w:t>
      </w:r>
      <w:bookmarkEnd w:id="23"/>
    </w:p>
    <w:p w:rsidR="002A6E8C" w:rsidRPr="00372516" w:rsidRDefault="002A6E8C" w:rsidP="00372516">
      <w:pPr>
        <w:rPr>
          <w:lang w:val="es-MX"/>
        </w:rPr>
      </w:pPr>
    </w:p>
    <w:p w:rsidR="002A6E8C" w:rsidRPr="005D0C51" w:rsidRDefault="002A6E8C" w:rsidP="0048249D">
      <w:pPr>
        <w:pStyle w:val="Ttulo2"/>
        <w:numPr>
          <w:ilvl w:val="1"/>
          <w:numId w:val="10"/>
        </w:numPr>
        <w:jc w:val="both"/>
        <w:rPr>
          <w:color w:val="auto"/>
          <w:lang w:eastAsia="es-ES"/>
        </w:rPr>
      </w:pPr>
      <w:bookmarkStart w:id="24" w:name="_Toc315681393"/>
      <w:r w:rsidRPr="005D0C51">
        <w:rPr>
          <w:color w:val="auto"/>
          <w:lang w:eastAsia="es-ES"/>
        </w:rPr>
        <w:t>Distribución de la Demanda en la especialidad penal por clase de Proceso</w:t>
      </w:r>
      <w:bookmarkEnd w:id="24"/>
    </w:p>
    <w:p w:rsidR="002A6E8C" w:rsidRDefault="008C2FF4" w:rsidP="00166452">
      <w:pPr>
        <w:spacing w:after="120"/>
        <w:jc w:val="center"/>
        <w:rPr>
          <w:lang w:val="es-MX"/>
        </w:rPr>
      </w:pPr>
      <w:r>
        <w:rPr>
          <w:noProof/>
        </w:rPr>
        <w:drawing>
          <wp:inline distT="0" distB="0" distL="0" distR="0">
            <wp:extent cx="5210175" cy="305752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10175" cy="3057525"/>
                    </a:xfrm>
                    <a:prstGeom prst="rect">
                      <a:avLst/>
                    </a:prstGeom>
                    <a:noFill/>
                    <a:ln>
                      <a:noFill/>
                    </a:ln>
                  </pic:spPr>
                </pic:pic>
              </a:graphicData>
            </a:graphic>
          </wp:inline>
        </w:drawing>
      </w:r>
    </w:p>
    <w:p w:rsidR="002A6E8C" w:rsidRDefault="002A6E8C" w:rsidP="00C366A1">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Consejo Superior de la Judicatura – CSJ</w:t>
      </w:r>
    </w:p>
    <w:p w:rsidR="002A6E8C" w:rsidRDefault="002A6E8C" w:rsidP="007D41AB">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2F75AD">
      <w:pPr>
        <w:rPr>
          <w:lang w:val="es-MX"/>
        </w:rPr>
      </w:pPr>
    </w:p>
    <w:p w:rsidR="002A6E8C" w:rsidRDefault="002A6E8C" w:rsidP="0048249D">
      <w:pPr>
        <w:pStyle w:val="Ttulo2"/>
        <w:numPr>
          <w:ilvl w:val="1"/>
          <w:numId w:val="10"/>
        </w:numPr>
        <w:jc w:val="both"/>
        <w:rPr>
          <w:color w:val="auto"/>
          <w:lang w:eastAsia="es-ES"/>
        </w:rPr>
      </w:pPr>
      <w:bookmarkStart w:id="25" w:name="_Toc315681394"/>
      <w:r w:rsidRPr="005D0C51">
        <w:rPr>
          <w:color w:val="auto"/>
          <w:lang w:eastAsia="es-ES"/>
        </w:rPr>
        <w:t>Índice de Demanda en la especialidad penal según instancia</w:t>
      </w:r>
      <w:bookmarkEnd w:id="25"/>
    </w:p>
    <w:p w:rsidR="002A6E8C" w:rsidRPr="00372516" w:rsidRDefault="008C2FF4" w:rsidP="00372516">
      <w:pPr>
        <w:spacing w:after="120"/>
        <w:jc w:val="center"/>
        <w:rPr>
          <w:lang w:eastAsia="es-ES"/>
        </w:rPr>
      </w:pPr>
      <w:r>
        <w:rPr>
          <w:noProof/>
        </w:rPr>
        <w:drawing>
          <wp:inline distT="0" distB="0" distL="0" distR="0">
            <wp:extent cx="4362450" cy="2524125"/>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62450" cy="2524125"/>
                    </a:xfrm>
                    <a:prstGeom prst="rect">
                      <a:avLst/>
                    </a:prstGeom>
                    <a:noFill/>
                    <a:ln>
                      <a:noFill/>
                    </a:ln>
                  </pic:spPr>
                </pic:pic>
              </a:graphicData>
            </a:graphic>
          </wp:inline>
        </w:drawing>
      </w:r>
    </w:p>
    <w:p w:rsidR="002A6E8C" w:rsidRDefault="002A6E8C" w:rsidP="007D41AB">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Consejo Superior de la Judicatura – CSJ</w:t>
      </w:r>
    </w:p>
    <w:p w:rsidR="002A6E8C" w:rsidRDefault="002A6E8C" w:rsidP="007D41AB">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D0C51" w:rsidRDefault="002A6E8C" w:rsidP="0048249D">
      <w:pPr>
        <w:pStyle w:val="Ttulo2"/>
        <w:numPr>
          <w:ilvl w:val="1"/>
          <w:numId w:val="10"/>
        </w:numPr>
        <w:jc w:val="both"/>
        <w:rPr>
          <w:color w:val="auto"/>
          <w:lang w:eastAsia="es-ES"/>
        </w:rPr>
      </w:pPr>
      <w:bookmarkStart w:id="26" w:name="_Toc315681395"/>
      <w:r w:rsidRPr="005D0C51">
        <w:rPr>
          <w:color w:val="auto"/>
          <w:lang w:eastAsia="es-ES"/>
        </w:rPr>
        <w:lastRenderedPageBreak/>
        <w:t>Índice de Participación de la Demanda en la especialidad penal según instancia i</w:t>
      </w:r>
      <w:bookmarkEnd w:id="26"/>
    </w:p>
    <w:p w:rsidR="002A6E8C" w:rsidRPr="002F75AD" w:rsidRDefault="008C2FF4" w:rsidP="00BB2154">
      <w:pPr>
        <w:spacing w:after="120"/>
        <w:jc w:val="center"/>
        <w:rPr>
          <w:lang w:val="es-MX"/>
        </w:rPr>
      </w:pPr>
      <w:r>
        <w:rPr>
          <w:noProof/>
        </w:rPr>
        <w:drawing>
          <wp:inline distT="0" distB="0" distL="0" distR="0">
            <wp:extent cx="4591050" cy="2657475"/>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91050" cy="2657475"/>
                    </a:xfrm>
                    <a:prstGeom prst="rect">
                      <a:avLst/>
                    </a:prstGeom>
                    <a:noFill/>
                    <a:ln>
                      <a:noFill/>
                    </a:ln>
                  </pic:spPr>
                </pic:pic>
              </a:graphicData>
            </a:graphic>
          </wp:inline>
        </w:drawing>
      </w:r>
    </w:p>
    <w:p w:rsidR="002A6E8C" w:rsidRDefault="002A6E8C" w:rsidP="007D41AB">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Consejo Superior de la Judicatura – CSJ</w:t>
      </w:r>
    </w:p>
    <w:p w:rsidR="002A6E8C" w:rsidRDefault="002A6E8C" w:rsidP="007D41AB">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D47A62" w:rsidRDefault="002A6E8C" w:rsidP="00D47A62">
      <w:pPr>
        <w:rPr>
          <w:lang w:eastAsia="es-ES"/>
        </w:rPr>
      </w:pPr>
    </w:p>
    <w:p w:rsidR="002A6E8C" w:rsidRDefault="002A6E8C" w:rsidP="0048249D">
      <w:pPr>
        <w:pStyle w:val="Ttulo2"/>
        <w:numPr>
          <w:ilvl w:val="1"/>
          <w:numId w:val="10"/>
        </w:numPr>
        <w:jc w:val="both"/>
        <w:rPr>
          <w:color w:val="auto"/>
          <w:lang w:eastAsia="es-ES"/>
        </w:rPr>
      </w:pPr>
      <w:bookmarkStart w:id="27" w:name="_Toc315681396"/>
      <w:r w:rsidRPr="005D0C51">
        <w:rPr>
          <w:color w:val="auto"/>
          <w:lang w:eastAsia="es-ES"/>
        </w:rPr>
        <w:t>Distribución de los Egresos Totales en la especialidad penal por clase de Proceso</w:t>
      </w:r>
      <w:bookmarkEnd w:id="27"/>
    </w:p>
    <w:p w:rsidR="002A6E8C" w:rsidRPr="00BB2154" w:rsidRDefault="002A6E8C" w:rsidP="00BB2154">
      <w:pPr>
        <w:rPr>
          <w:lang w:eastAsia="es-ES"/>
        </w:rPr>
      </w:pPr>
    </w:p>
    <w:p w:rsidR="002A6E8C" w:rsidRPr="00BB2154" w:rsidRDefault="008C2FF4" w:rsidP="00166452">
      <w:pPr>
        <w:spacing w:after="120"/>
        <w:jc w:val="center"/>
        <w:rPr>
          <w:lang w:eastAsia="es-ES"/>
        </w:rPr>
      </w:pPr>
      <w:r>
        <w:rPr>
          <w:noProof/>
        </w:rPr>
        <w:drawing>
          <wp:inline distT="0" distB="0" distL="0" distR="0">
            <wp:extent cx="5400675" cy="3181350"/>
            <wp:effectExtent l="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675" cy="3181350"/>
                    </a:xfrm>
                    <a:prstGeom prst="rect">
                      <a:avLst/>
                    </a:prstGeom>
                    <a:noFill/>
                    <a:ln>
                      <a:noFill/>
                    </a:ln>
                  </pic:spPr>
                </pic:pic>
              </a:graphicData>
            </a:graphic>
          </wp:inline>
        </w:drawing>
      </w:r>
    </w:p>
    <w:p w:rsidR="002A6E8C" w:rsidRDefault="002A6E8C" w:rsidP="007D41AB">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Consejo Superior de la Judicatura – CSJ</w:t>
      </w:r>
    </w:p>
    <w:p w:rsidR="002A6E8C" w:rsidRDefault="002A6E8C" w:rsidP="007D41AB">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2F75AD" w:rsidRDefault="002A6E8C" w:rsidP="002F75AD">
      <w:pPr>
        <w:rPr>
          <w:lang w:val="es-MX"/>
        </w:rPr>
      </w:pPr>
    </w:p>
    <w:p w:rsidR="002A6E8C" w:rsidRPr="00166452" w:rsidRDefault="002A6E8C" w:rsidP="00B45FA4">
      <w:pPr>
        <w:pStyle w:val="Ttulo1"/>
        <w:numPr>
          <w:ilvl w:val="0"/>
          <w:numId w:val="10"/>
        </w:numPr>
        <w:rPr>
          <w:color w:val="800080"/>
          <w:u w:val="single"/>
          <w:lang w:val="es-MX"/>
        </w:rPr>
      </w:pPr>
      <w:bookmarkStart w:id="28" w:name="_Toc315681397"/>
      <w:r w:rsidRPr="00166452">
        <w:rPr>
          <w:color w:val="800080"/>
          <w:u w:val="single"/>
          <w:lang w:val="es-MX"/>
        </w:rPr>
        <w:lastRenderedPageBreak/>
        <w:t>INFORME  FISCALIA GENERAL DE LA NACI</w:t>
      </w:r>
      <w:r>
        <w:rPr>
          <w:color w:val="800080"/>
          <w:u w:val="single"/>
          <w:lang w:val="es-MX"/>
        </w:rPr>
        <w:t>Ó</w:t>
      </w:r>
      <w:r w:rsidRPr="00166452">
        <w:rPr>
          <w:color w:val="800080"/>
          <w:u w:val="single"/>
          <w:lang w:val="es-MX"/>
        </w:rPr>
        <w:t>N</w:t>
      </w:r>
      <w:bookmarkEnd w:id="28"/>
      <w:r w:rsidRPr="00166452">
        <w:rPr>
          <w:color w:val="800080"/>
          <w:u w:val="single"/>
          <w:lang w:val="es-MX"/>
        </w:rPr>
        <w:t xml:space="preserve"> </w:t>
      </w:r>
    </w:p>
    <w:p w:rsidR="002A6E8C" w:rsidRDefault="002A6E8C" w:rsidP="00193E51">
      <w:pPr>
        <w:rPr>
          <w:lang w:val="es-MX"/>
        </w:rPr>
      </w:pPr>
    </w:p>
    <w:p w:rsidR="002A6E8C" w:rsidRPr="00166452" w:rsidRDefault="002A6E8C" w:rsidP="003A34CA">
      <w:pPr>
        <w:pStyle w:val="Ttulo2"/>
        <w:numPr>
          <w:ilvl w:val="1"/>
          <w:numId w:val="10"/>
        </w:numPr>
        <w:jc w:val="both"/>
        <w:rPr>
          <w:color w:val="auto"/>
          <w:lang w:eastAsia="es-ES"/>
        </w:rPr>
      </w:pPr>
      <w:bookmarkStart w:id="29" w:name="_Toc315681398"/>
      <w:r w:rsidRPr="005D0C51">
        <w:rPr>
          <w:color w:val="auto"/>
          <w:lang w:eastAsia="es-ES"/>
        </w:rPr>
        <w:t>Distribución de los E</w:t>
      </w:r>
      <w:r>
        <w:rPr>
          <w:color w:val="auto"/>
          <w:lang w:eastAsia="es-ES"/>
        </w:rPr>
        <w:t xml:space="preserve">ntradas y Salidas a la Fiscalía General de la Nación </w:t>
      </w:r>
      <w:r w:rsidRPr="00166452">
        <w:rPr>
          <w:color w:val="auto"/>
          <w:lang w:eastAsia="es-ES"/>
        </w:rPr>
        <w:t>Ley 906</w:t>
      </w:r>
      <w:bookmarkEnd w:id="29"/>
    </w:p>
    <w:tbl>
      <w:tblPr>
        <w:tblW w:w="0" w:type="auto"/>
        <w:jc w:val="center"/>
        <w:tblCellMar>
          <w:left w:w="70" w:type="dxa"/>
          <w:right w:w="70" w:type="dxa"/>
        </w:tblCellMar>
        <w:tblLook w:val="00A0" w:firstRow="1" w:lastRow="0" w:firstColumn="1" w:lastColumn="0" w:noHBand="0" w:noVBand="0"/>
      </w:tblPr>
      <w:tblGrid>
        <w:gridCol w:w="971"/>
        <w:gridCol w:w="2021"/>
        <w:gridCol w:w="941"/>
        <w:gridCol w:w="941"/>
        <w:gridCol w:w="941"/>
        <w:gridCol w:w="791"/>
        <w:gridCol w:w="938"/>
        <w:gridCol w:w="793"/>
      </w:tblGrid>
      <w:tr w:rsidR="002A6E8C" w:rsidRPr="00166452" w:rsidTr="00254703">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No. Etapa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Etapa</w:t>
            </w:r>
          </w:p>
        </w:tc>
        <w:tc>
          <w:tcPr>
            <w:tcW w:w="0" w:type="auto"/>
            <w:gridSpan w:val="2"/>
            <w:tcBorders>
              <w:top w:val="single" w:sz="4" w:space="0" w:color="auto"/>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Entradas</w:t>
            </w:r>
          </w:p>
        </w:tc>
        <w:tc>
          <w:tcPr>
            <w:tcW w:w="0" w:type="auto"/>
            <w:gridSpan w:val="2"/>
            <w:tcBorders>
              <w:top w:val="single" w:sz="4" w:space="0" w:color="auto"/>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Salidas</w:t>
            </w:r>
          </w:p>
        </w:tc>
        <w:tc>
          <w:tcPr>
            <w:tcW w:w="0" w:type="auto"/>
            <w:gridSpan w:val="2"/>
            <w:tcBorders>
              <w:top w:val="single" w:sz="4" w:space="0" w:color="auto"/>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Crecimiento Anual</w:t>
            </w:r>
          </w:p>
        </w:tc>
      </w:tr>
      <w:tr w:rsidR="002A6E8C" w:rsidRPr="00166452" w:rsidTr="00254703">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A6E8C" w:rsidRPr="00166452" w:rsidRDefault="002A6E8C" w:rsidP="00CC7AA9">
            <w:pPr>
              <w:spacing w:after="0" w:line="240" w:lineRule="auto"/>
              <w:rPr>
                <w:rFonts w:ascii="Arial" w:hAnsi="Arial" w:cs="Arial"/>
                <w:b/>
                <w:bCs/>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A6E8C" w:rsidRPr="00166452" w:rsidRDefault="002A6E8C" w:rsidP="00CC7AA9">
            <w:pPr>
              <w:spacing w:after="0" w:line="240" w:lineRule="auto"/>
              <w:rPr>
                <w:rFonts w:ascii="Arial" w:hAnsi="Arial" w:cs="Arial"/>
                <w:b/>
                <w:bCs/>
                <w:color w:val="000000"/>
                <w:sz w:val="18"/>
                <w:szCs w:val="18"/>
                <w:lang w:eastAsia="es-ES"/>
              </w:rPr>
            </w:pPr>
          </w:p>
        </w:tc>
        <w:tc>
          <w:tcPr>
            <w:tcW w:w="0" w:type="auto"/>
            <w:tcBorders>
              <w:top w:val="nil"/>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2010</w:t>
            </w:r>
          </w:p>
        </w:tc>
        <w:tc>
          <w:tcPr>
            <w:tcW w:w="0" w:type="auto"/>
            <w:tcBorders>
              <w:top w:val="nil"/>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2011</w:t>
            </w:r>
          </w:p>
        </w:tc>
        <w:tc>
          <w:tcPr>
            <w:tcW w:w="0" w:type="auto"/>
            <w:tcBorders>
              <w:top w:val="nil"/>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2010</w:t>
            </w:r>
          </w:p>
        </w:tc>
        <w:tc>
          <w:tcPr>
            <w:tcW w:w="0" w:type="auto"/>
            <w:tcBorders>
              <w:top w:val="nil"/>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2011</w:t>
            </w:r>
          </w:p>
        </w:tc>
        <w:tc>
          <w:tcPr>
            <w:tcW w:w="0" w:type="auto"/>
            <w:tcBorders>
              <w:top w:val="nil"/>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Entradas</w:t>
            </w:r>
          </w:p>
        </w:tc>
        <w:tc>
          <w:tcPr>
            <w:tcW w:w="0" w:type="auto"/>
            <w:tcBorders>
              <w:top w:val="nil"/>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Salidas</w:t>
            </w:r>
          </w:p>
        </w:tc>
      </w:tr>
      <w:tr w:rsidR="002A6E8C" w:rsidRPr="00166452" w:rsidTr="00254703">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1</w:t>
            </w:r>
          </w:p>
        </w:tc>
        <w:tc>
          <w:tcPr>
            <w:tcW w:w="0" w:type="auto"/>
            <w:tcBorders>
              <w:top w:val="single" w:sz="4" w:space="0" w:color="auto"/>
              <w:left w:val="nil"/>
              <w:bottom w:val="single" w:sz="4" w:space="0" w:color="auto"/>
              <w:right w:val="single" w:sz="4" w:space="0" w:color="auto"/>
            </w:tcBorders>
            <w:noWrap/>
            <w:vAlign w:val="center"/>
          </w:tcPr>
          <w:p w:rsidR="002A6E8C" w:rsidRPr="00166452" w:rsidRDefault="002A6E8C" w:rsidP="00CC7AA9">
            <w:pPr>
              <w:spacing w:after="0" w:line="240" w:lineRule="auto"/>
              <w:rPr>
                <w:rFonts w:ascii="Arial" w:hAnsi="Arial" w:cs="Arial"/>
                <w:color w:val="000000"/>
                <w:sz w:val="18"/>
                <w:szCs w:val="18"/>
                <w:lang w:eastAsia="es-ES"/>
              </w:rPr>
            </w:pPr>
            <w:r w:rsidRPr="00166452">
              <w:rPr>
                <w:rFonts w:ascii="Arial" w:hAnsi="Arial" w:cs="Arial"/>
                <w:color w:val="000000"/>
                <w:sz w:val="18"/>
                <w:szCs w:val="18"/>
                <w:lang w:eastAsia="es-ES"/>
              </w:rPr>
              <w:t>Querellable</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188.478</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273.548</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206.737</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218.641</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45,1</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5,8</w:t>
            </w:r>
          </w:p>
        </w:tc>
      </w:tr>
      <w:tr w:rsidR="002A6E8C" w:rsidRPr="00166452" w:rsidTr="00254703">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2</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rPr>
                <w:rFonts w:ascii="Arial" w:hAnsi="Arial" w:cs="Arial"/>
                <w:color w:val="000000"/>
                <w:sz w:val="18"/>
                <w:szCs w:val="18"/>
                <w:lang w:eastAsia="es-ES"/>
              </w:rPr>
            </w:pPr>
            <w:r w:rsidRPr="00166452">
              <w:rPr>
                <w:rFonts w:ascii="Arial" w:hAnsi="Arial" w:cs="Arial"/>
                <w:color w:val="000000"/>
                <w:sz w:val="18"/>
                <w:szCs w:val="18"/>
                <w:lang w:eastAsia="es-ES"/>
              </w:rPr>
              <w:t>Terminación Anticipada</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3.723</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5.115</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1.871</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1.582</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37,4</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-15,4</w:t>
            </w:r>
          </w:p>
        </w:tc>
      </w:tr>
      <w:tr w:rsidR="002A6E8C" w:rsidRPr="00166452" w:rsidTr="00254703">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3</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rPr>
                <w:rFonts w:ascii="Arial" w:hAnsi="Arial" w:cs="Arial"/>
                <w:color w:val="000000"/>
                <w:sz w:val="18"/>
                <w:szCs w:val="18"/>
                <w:lang w:eastAsia="es-ES"/>
              </w:rPr>
            </w:pPr>
            <w:r w:rsidRPr="00166452">
              <w:rPr>
                <w:rFonts w:ascii="Arial" w:hAnsi="Arial" w:cs="Arial"/>
                <w:color w:val="000000"/>
                <w:sz w:val="18"/>
                <w:szCs w:val="18"/>
                <w:lang w:eastAsia="es-ES"/>
              </w:rPr>
              <w:t>Indagación</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797.789</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780.527</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793.998</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705.229</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-2,2</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-11,2</w:t>
            </w:r>
          </w:p>
        </w:tc>
      </w:tr>
      <w:tr w:rsidR="002A6E8C" w:rsidRPr="00166452" w:rsidTr="00254703">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4</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rPr>
                <w:rFonts w:ascii="Arial" w:hAnsi="Arial" w:cs="Arial"/>
                <w:color w:val="000000"/>
                <w:sz w:val="18"/>
                <w:szCs w:val="18"/>
                <w:lang w:eastAsia="es-ES"/>
              </w:rPr>
            </w:pPr>
            <w:r w:rsidRPr="00166452">
              <w:rPr>
                <w:rFonts w:ascii="Arial" w:hAnsi="Arial" w:cs="Arial"/>
                <w:color w:val="000000"/>
                <w:sz w:val="18"/>
                <w:szCs w:val="18"/>
                <w:lang w:eastAsia="es-ES"/>
              </w:rPr>
              <w:t>Investigación</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10.233</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17.118</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8.589</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6.432</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67,3</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-25,1</w:t>
            </w:r>
          </w:p>
        </w:tc>
      </w:tr>
      <w:tr w:rsidR="002A6E8C" w:rsidRPr="00166452" w:rsidTr="00254703">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5</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rPr>
                <w:rFonts w:ascii="Arial" w:hAnsi="Arial" w:cs="Arial"/>
                <w:color w:val="000000"/>
                <w:sz w:val="18"/>
                <w:szCs w:val="18"/>
                <w:lang w:eastAsia="es-ES"/>
              </w:rPr>
            </w:pPr>
            <w:r w:rsidRPr="00166452">
              <w:rPr>
                <w:rFonts w:ascii="Arial" w:hAnsi="Arial" w:cs="Arial"/>
                <w:color w:val="000000"/>
                <w:sz w:val="18"/>
                <w:szCs w:val="18"/>
                <w:lang w:eastAsia="es-ES"/>
              </w:rPr>
              <w:t>Juicio</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19.124</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20.880</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17.468</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12.051</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9,2</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-31,0</w:t>
            </w:r>
          </w:p>
        </w:tc>
      </w:tr>
      <w:tr w:rsidR="002A6E8C" w:rsidRPr="00166452" w:rsidTr="00254703">
        <w:trPr>
          <w:trHeight w:val="300"/>
          <w:jc w:val="center"/>
        </w:trPr>
        <w:tc>
          <w:tcPr>
            <w:tcW w:w="0" w:type="auto"/>
            <w:tcBorders>
              <w:top w:val="nil"/>
              <w:left w:val="single" w:sz="4" w:space="0" w:color="auto"/>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6</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rPr>
                <w:rFonts w:ascii="Arial" w:hAnsi="Arial" w:cs="Arial"/>
                <w:color w:val="000000"/>
                <w:sz w:val="18"/>
                <w:szCs w:val="18"/>
                <w:lang w:eastAsia="es-ES"/>
              </w:rPr>
            </w:pPr>
            <w:r w:rsidRPr="00166452">
              <w:rPr>
                <w:rFonts w:ascii="Arial" w:hAnsi="Arial" w:cs="Arial"/>
                <w:color w:val="000000"/>
                <w:sz w:val="18"/>
                <w:szCs w:val="18"/>
                <w:lang w:eastAsia="es-ES"/>
              </w:rPr>
              <w:t>Ejecución de Penas</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52.074</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26.835</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80.147</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right"/>
              <w:rPr>
                <w:rFonts w:ascii="Arial" w:hAnsi="Arial" w:cs="Arial"/>
                <w:color w:val="000000"/>
                <w:sz w:val="18"/>
                <w:szCs w:val="18"/>
                <w:lang w:eastAsia="es-ES"/>
              </w:rPr>
            </w:pPr>
            <w:r w:rsidRPr="00166452">
              <w:rPr>
                <w:rFonts w:ascii="Arial" w:hAnsi="Arial" w:cs="Arial"/>
                <w:color w:val="000000"/>
                <w:sz w:val="18"/>
                <w:szCs w:val="18"/>
                <w:lang w:eastAsia="es-ES"/>
              </w:rPr>
              <w:t>54.095</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-48,5</w:t>
            </w:r>
          </w:p>
        </w:tc>
        <w:tc>
          <w:tcPr>
            <w:tcW w:w="0" w:type="auto"/>
            <w:tcBorders>
              <w:top w:val="nil"/>
              <w:left w:val="nil"/>
              <w:bottom w:val="single" w:sz="4" w:space="0" w:color="auto"/>
              <w:right w:val="single" w:sz="4" w:space="0" w:color="auto"/>
            </w:tcBorders>
            <w:noWrap/>
            <w:vAlign w:val="center"/>
          </w:tcPr>
          <w:p w:rsidR="002A6E8C" w:rsidRPr="00166452" w:rsidRDefault="002A6E8C" w:rsidP="00CC7AA9">
            <w:pPr>
              <w:spacing w:after="0" w:line="240" w:lineRule="auto"/>
              <w:jc w:val="center"/>
              <w:rPr>
                <w:rFonts w:ascii="Arial" w:hAnsi="Arial" w:cs="Arial"/>
                <w:color w:val="000000"/>
                <w:sz w:val="18"/>
                <w:szCs w:val="18"/>
                <w:lang w:eastAsia="es-ES"/>
              </w:rPr>
            </w:pPr>
            <w:r w:rsidRPr="00166452">
              <w:rPr>
                <w:rFonts w:ascii="Arial" w:hAnsi="Arial" w:cs="Arial"/>
                <w:color w:val="000000"/>
                <w:sz w:val="18"/>
                <w:szCs w:val="18"/>
                <w:lang w:eastAsia="es-ES"/>
              </w:rPr>
              <w:t>-32,5</w:t>
            </w:r>
          </w:p>
        </w:tc>
      </w:tr>
      <w:tr w:rsidR="002A6E8C" w:rsidRPr="00166452" w:rsidTr="00254703">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Total</w:t>
            </w:r>
          </w:p>
        </w:tc>
        <w:tc>
          <w:tcPr>
            <w:tcW w:w="0" w:type="auto"/>
            <w:tcBorders>
              <w:top w:val="nil"/>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right"/>
              <w:rPr>
                <w:rFonts w:ascii="Arial" w:hAnsi="Arial" w:cs="Arial"/>
                <w:b/>
                <w:bCs/>
                <w:color w:val="000000"/>
                <w:sz w:val="18"/>
                <w:szCs w:val="18"/>
                <w:lang w:eastAsia="es-ES"/>
              </w:rPr>
            </w:pPr>
            <w:r w:rsidRPr="00166452">
              <w:rPr>
                <w:rFonts w:ascii="Arial" w:hAnsi="Arial" w:cs="Arial"/>
                <w:b/>
                <w:bCs/>
                <w:color w:val="000000"/>
                <w:sz w:val="18"/>
                <w:szCs w:val="18"/>
                <w:lang w:eastAsia="es-ES"/>
              </w:rPr>
              <w:t>1.071.421</w:t>
            </w:r>
          </w:p>
        </w:tc>
        <w:tc>
          <w:tcPr>
            <w:tcW w:w="0" w:type="auto"/>
            <w:tcBorders>
              <w:top w:val="nil"/>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right"/>
              <w:rPr>
                <w:rFonts w:ascii="Arial" w:hAnsi="Arial" w:cs="Arial"/>
                <w:b/>
                <w:bCs/>
                <w:color w:val="000000"/>
                <w:sz w:val="18"/>
                <w:szCs w:val="18"/>
                <w:lang w:eastAsia="es-ES"/>
              </w:rPr>
            </w:pPr>
            <w:r w:rsidRPr="00166452">
              <w:rPr>
                <w:rFonts w:ascii="Arial" w:hAnsi="Arial" w:cs="Arial"/>
                <w:b/>
                <w:bCs/>
                <w:color w:val="000000"/>
                <w:sz w:val="18"/>
                <w:szCs w:val="18"/>
                <w:lang w:eastAsia="es-ES"/>
              </w:rPr>
              <w:t>1.124.023</w:t>
            </w:r>
          </w:p>
        </w:tc>
        <w:tc>
          <w:tcPr>
            <w:tcW w:w="0" w:type="auto"/>
            <w:tcBorders>
              <w:top w:val="nil"/>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right"/>
              <w:rPr>
                <w:rFonts w:ascii="Arial" w:hAnsi="Arial" w:cs="Arial"/>
                <w:b/>
                <w:bCs/>
                <w:color w:val="000000"/>
                <w:sz w:val="18"/>
                <w:szCs w:val="18"/>
                <w:lang w:eastAsia="es-ES"/>
              </w:rPr>
            </w:pPr>
            <w:r w:rsidRPr="00166452">
              <w:rPr>
                <w:rFonts w:ascii="Arial" w:hAnsi="Arial" w:cs="Arial"/>
                <w:b/>
                <w:bCs/>
                <w:color w:val="000000"/>
                <w:sz w:val="18"/>
                <w:szCs w:val="18"/>
                <w:lang w:eastAsia="es-ES"/>
              </w:rPr>
              <w:t>1.108.810</w:t>
            </w:r>
          </w:p>
        </w:tc>
        <w:tc>
          <w:tcPr>
            <w:tcW w:w="0" w:type="auto"/>
            <w:tcBorders>
              <w:top w:val="nil"/>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right"/>
              <w:rPr>
                <w:rFonts w:ascii="Arial" w:hAnsi="Arial" w:cs="Arial"/>
                <w:b/>
                <w:bCs/>
                <w:color w:val="000000"/>
                <w:sz w:val="18"/>
                <w:szCs w:val="18"/>
                <w:lang w:eastAsia="es-ES"/>
              </w:rPr>
            </w:pPr>
            <w:r w:rsidRPr="00166452">
              <w:rPr>
                <w:rFonts w:ascii="Arial" w:hAnsi="Arial" w:cs="Arial"/>
                <w:b/>
                <w:bCs/>
                <w:color w:val="000000"/>
                <w:sz w:val="18"/>
                <w:szCs w:val="18"/>
                <w:lang w:eastAsia="es-ES"/>
              </w:rPr>
              <w:t>998.030</w:t>
            </w:r>
          </w:p>
        </w:tc>
        <w:tc>
          <w:tcPr>
            <w:tcW w:w="0" w:type="auto"/>
            <w:tcBorders>
              <w:top w:val="nil"/>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4,9</w:t>
            </w:r>
          </w:p>
        </w:tc>
        <w:tc>
          <w:tcPr>
            <w:tcW w:w="0" w:type="auto"/>
            <w:tcBorders>
              <w:top w:val="nil"/>
              <w:left w:val="nil"/>
              <w:bottom w:val="single" w:sz="4" w:space="0" w:color="auto"/>
              <w:right w:val="single" w:sz="4" w:space="0" w:color="auto"/>
            </w:tcBorders>
            <w:shd w:val="clear" w:color="000000" w:fill="D8D8D8"/>
            <w:noWrap/>
            <w:vAlign w:val="center"/>
          </w:tcPr>
          <w:p w:rsidR="002A6E8C" w:rsidRPr="00166452" w:rsidRDefault="002A6E8C" w:rsidP="00CC7AA9">
            <w:pPr>
              <w:spacing w:after="0" w:line="240" w:lineRule="auto"/>
              <w:jc w:val="center"/>
              <w:rPr>
                <w:rFonts w:ascii="Arial" w:hAnsi="Arial" w:cs="Arial"/>
                <w:b/>
                <w:bCs/>
                <w:color w:val="000000"/>
                <w:sz w:val="18"/>
                <w:szCs w:val="18"/>
                <w:lang w:eastAsia="es-ES"/>
              </w:rPr>
            </w:pPr>
            <w:r w:rsidRPr="00166452">
              <w:rPr>
                <w:rFonts w:ascii="Arial" w:hAnsi="Arial" w:cs="Arial"/>
                <w:b/>
                <w:bCs/>
                <w:color w:val="000000"/>
                <w:sz w:val="18"/>
                <w:szCs w:val="18"/>
                <w:lang w:eastAsia="es-ES"/>
              </w:rPr>
              <w:t>-10,0</w:t>
            </w:r>
          </w:p>
        </w:tc>
      </w:tr>
    </w:tbl>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48249D">
      <w:pPr>
        <w:pStyle w:val="Ttulo2"/>
        <w:numPr>
          <w:ilvl w:val="1"/>
          <w:numId w:val="10"/>
        </w:numPr>
        <w:jc w:val="both"/>
        <w:rPr>
          <w:color w:val="auto"/>
          <w:lang w:eastAsia="es-ES"/>
        </w:rPr>
      </w:pPr>
      <w:bookmarkStart w:id="30" w:name="_Toc315681399"/>
      <w:r w:rsidRPr="005D0C51">
        <w:rPr>
          <w:color w:val="auto"/>
          <w:lang w:eastAsia="es-ES"/>
        </w:rPr>
        <w:t>Distribución de los E</w:t>
      </w:r>
      <w:r>
        <w:rPr>
          <w:color w:val="auto"/>
          <w:lang w:eastAsia="es-ES"/>
        </w:rPr>
        <w:t>ntradas a la Fiscalía General de la Nación</w:t>
      </w:r>
      <w:bookmarkEnd w:id="30"/>
    </w:p>
    <w:p w:rsidR="002A6E8C" w:rsidRPr="00193E51" w:rsidRDefault="008C2FF4" w:rsidP="00166452">
      <w:pPr>
        <w:jc w:val="center"/>
      </w:pPr>
      <w:r>
        <w:rPr>
          <w:noProof/>
        </w:rPr>
        <w:drawing>
          <wp:inline distT="0" distB="0" distL="0" distR="0">
            <wp:extent cx="5381625" cy="4305300"/>
            <wp:effectExtent l="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81625" cy="430530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824290" w:rsidRDefault="002A6E8C" w:rsidP="00824290">
      <w:pPr>
        <w:pStyle w:val="Ttulo2"/>
        <w:numPr>
          <w:ilvl w:val="1"/>
          <w:numId w:val="10"/>
        </w:numPr>
        <w:jc w:val="both"/>
        <w:rPr>
          <w:color w:val="auto"/>
          <w:lang w:eastAsia="es-ES"/>
        </w:rPr>
      </w:pPr>
      <w:bookmarkStart w:id="31" w:name="_Toc315681400"/>
      <w:r w:rsidRPr="00CC7AA9">
        <w:rPr>
          <w:color w:val="auto"/>
          <w:lang w:eastAsia="es-ES"/>
        </w:rPr>
        <w:lastRenderedPageBreak/>
        <w:t xml:space="preserve">Total de </w:t>
      </w:r>
      <w:r w:rsidRPr="00824290">
        <w:rPr>
          <w:color w:val="auto"/>
          <w:lang w:eastAsia="es-ES"/>
        </w:rPr>
        <w:t>Entradas</w:t>
      </w:r>
      <w:r w:rsidRPr="00CC7AA9">
        <w:rPr>
          <w:color w:val="auto"/>
          <w:lang w:eastAsia="es-ES"/>
        </w:rPr>
        <w:t xml:space="preserve"> - Ley 906 por etapa del proceso</w:t>
      </w:r>
      <w:bookmarkEnd w:id="31"/>
    </w:p>
    <w:p w:rsidR="002A6E8C" w:rsidRDefault="002A6E8C" w:rsidP="00CC7AA9">
      <w:pPr>
        <w:spacing w:after="0" w:line="240" w:lineRule="auto"/>
        <w:rPr>
          <w:b/>
          <w:bCs/>
          <w:color w:val="000000"/>
          <w:sz w:val="24"/>
          <w:szCs w:val="24"/>
          <w:lang w:eastAsia="es-ES"/>
        </w:rPr>
      </w:pPr>
    </w:p>
    <w:p w:rsidR="002A6E8C" w:rsidRDefault="008C2FF4" w:rsidP="00663E9E">
      <w:pPr>
        <w:spacing w:after="120" w:line="240" w:lineRule="auto"/>
        <w:rPr>
          <w:b/>
          <w:bCs/>
          <w:color w:val="000000"/>
          <w:sz w:val="24"/>
          <w:szCs w:val="24"/>
          <w:lang w:eastAsia="es-ES"/>
        </w:rPr>
      </w:pPr>
      <w:r>
        <w:rPr>
          <w:noProof/>
          <w:szCs w:val="24"/>
        </w:rPr>
        <w:drawing>
          <wp:inline distT="0" distB="0" distL="0" distR="0">
            <wp:extent cx="5372100" cy="27051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72100" cy="2705100"/>
                    </a:xfrm>
                    <a:prstGeom prst="rect">
                      <a:avLst/>
                    </a:prstGeom>
                    <a:noFill/>
                    <a:ln>
                      <a:noFill/>
                    </a:ln>
                  </pic:spPr>
                </pic:pic>
              </a:graphicData>
            </a:graphic>
          </wp:inline>
        </w:drawing>
      </w:r>
    </w:p>
    <w:p w:rsidR="002A6E8C" w:rsidRDefault="002A6E8C" w:rsidP="00663E9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663E9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663E9E" w:rsidRDefault="002A6E8C" w:rsidP="00CC7AA9">
      <w:pPr>
        <w:spacing w:after="0" w:line="240" w:lineRule="auto"/>
        <w:rPr>
          <w:b/>
          <w:bCs/>
          <w:color w:val="000000"/>
          <w:sz w:val="24"/>
          <w:szCs w:val="24"/>
          <w:lang w:val="es-MX" w:eastAsia="es-ES"/>
        </w:rPr>
      </w:pPr>
    </w:p>
    <w:p w:rsidR="002A6E8C" w:rsidRDefault="002A6E8C" w:rsidP="00CC7AA9">
      <w:pPr>
        <w:spacing w:after="0" w:line="240" w:lineRule="auto"/>
        <w:rPr>
          <w:b/>
          <w:bCs/>
          <w:color w:val="000000"/>
          <w:sz w:val="24"/>
          <w:szCs w:val="24"/>
          <w:lang w:eastAsia="es-ES"/>
        </w:rPr>
      </w:pPr>
    </w:p>
    <w:p w:rsidR="002A6E8C" w:rsidRPr="00824290" w:rsidRDefault="002A6E8C" w:rsidP="00824290">
      <w:pPr>
        <w:pStyle w:val="Ttulo2"/>
        <w:numPr>
          <w:ilvl w:val="1"/>
          <w:numId w:val="10"/>
        </w:numPr>
        <w:jc w:val="both"/>
        <w:rPr>
          <w:color w:val="auto"/>
          <w:lang w:eastAsia="es-ES"/>
        </w:rPr>
      </w:pPr>
      <w:bookmarkStart w:id="32" w:name="_Toc315681401"/>
      <w:r w:rsidRPr="00CC7AA9">
        <w:rPr>
          <w:color w:val="auto"/>
          <w:lang w:eastAsia="es-ES"/>
        </w:rPr>
        <w:t xml:space="preserve">Total de </w:t>
      </w:r>
      <w:r w:rsidRPr="00824290">
        <w:rPr>
          <w:color w:val="auto"/>
          <w:lang w:eastAsia="es-ES"/>
        </w:rPr>
        <w:t>Entradas</w:t>
      </w:r>
      <w:r w:rsidRPr="00CC7AA9">
        <w:rPr>
          <w:color w:val="auto"/>
          <w:lang w:eastAsia="es-ES"/>
        </w:rPr>
        <w:t xml:space="preserve"> - Ley 906 por etapa del proceso</w:t>
      </w:r>
      <w:r w:rsidRPr="00824290">
        <w:rPr>
          <w:color w:val="auto"/>
          <w:lang w:eastAsia="es-ES"/>
        </w:rPr>
        <w:t xml:space="preserve"> y tipo de delito</w:t>
      </w:r>
      <w:bookmarkEnd w:id="32"/>
    </w:p>
    <w:p w:rsidR="002A6E8C" w:rsidRDefault="002A6E8C" w:rsidP="006B5B16">
      <w:pPr>
        <w:rPr>
          <w:b/>
          <w:bC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 la protección de la información y de los datos</w:t>
      </w:r>
    </w:p>
    <w:p w:rsidR="002A6E8C" w:rsidRDefault="008C2FF4" w:rsidP="006B5B16">
      <w:pPr>
        <w:jc w:val="center"/>
      </w:pPr>
      <w:r>
        <w:rPr>
          <w:noProof/>
        </w:rPr>
        <w:drawing>
          <wp:inline distT="0" distB="0" distL="0" distR="0">
            <wp:extent cx="4648200" cy="2581275"/>
            <wp:effectExtent l="0" t="0" r="0"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48200" cy="25812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6B5B16">
      <w:pPr>
        <w:jc w:val="center"/>
        <w:rPr>
          <w:lang w:val="es-MX"/>
        </w:rPr>
      </w:pPr>
    </w:p>
    <w:p w:rsidR="002A6E8C" w:rsidRDefault="002A6E8C" w:rsidP="006B5B16">
      <w:pPr>
        <w:jc w:val="cente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 los delitos contra el régimen constitucional y legal</w:t>
      </w:r>
    </w:p>
    <w:p w:rsidR="002A6E8C" w:rsidRDefault="008C2FF4" w:rsidP="006B5B16">
      <w:pPr>
        <w:jc w:val="center"/>
      </w:pPr>
      <w:r>
        <w:rPr>
          <w:noProof/>
        </w:rPr>
        <w:drawing>
          <wp:inline distT="0" distB="0" distL="0" distR="0">
            <wp:extent cx="4752975" cy="2409825"/>
            <wp:effectExtent l="0" t="0" r="9525"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52975" cy="240982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6B5B16">
      <w:pPr>
        <w:jc w:val="center"/>
        <w:rPr>
          <w:lang w:val="es-MX"/>
        </w:rPr>
      </w:pPr>
    </w:p>
    <w:p w:rsidR="002A6E8C" w:rsidRPr="0055796E" w:rsidRDefault="002A6E8C" w:rsidP="006B5B16">
      <w:pPr>
        <w:jc w:val="cente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 los delitos contra la salud pública</w:t>
      </w:r>
    </w:p>
    <w:p w:rsidR="002A6E8C" w:rsidRDefault="008C2FF4" w:rsidP="006B5B16">
      <w:pPr>
        <w:jc w:val="center"/>
      </w:pPr>
      <w:r>
        <w:rPr>
          <w:noProof/>
        </w:rPr>
        <w:drawing>
          <wp:inline distT="0" distB="0" distL="0" distR="0">
            <wp:extent cx="4810125" cy="2438400"/>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10125" cy="243840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6B5B16">
      <w:pPr>
        <w:jc w:val="center"/>
        <w:rPr>
          <w:lang w:val="es-MX"/>
        </w:rPr>
      </w:pPr>
    </w:p>
    <w:p w:rsidR="002A6E8C" w:rsidRPr="006B5B16" w:rsidRDefault="002A6E8C" w:rsidP="00193E51"/>
    <w:p w:rsidR="002A6E8C" w:rsidRDefault="002A6E8C" w:rsidP="006B5B16">
      <w:pPr>
        <w:rPr>
          <w:b/>
          <w:bCs/>
        </w:rPr>
      </w:pPr>
    </w:p>
    <w:p w:rsidR="002A6E8C" w:rsidRDefault="002A6E8C" w:rsidP="006B5B16">
      <w:pPr>
        <w:rPr>
          <w:b/>
          <w:bC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 los delitos contra los derechos de autor</w:t>
      </w:r>
    </w:p>
    <w:p w:rsidR="002A6E8C" w:rsidRDefault="008C2FF4" w:rsidP="006B5B16">
      <w:pPr>
        <w:jc w:val="center"/>
      </w:pPr>
      <w:r>
        <w:rPr>
          <w:noProof/>
        </w:rPr>
        <w:drawing>
          <wp:inline distT="0" distB="0" distL="0" distR="0">
            <wp:extent cx="4867275" cy="2466975"/>
            <wp:effectExtent l="0" t="0" r="9525"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67275" cy="24669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6B5B16">
      <w:pPr>
        <w:jc w:val="center"/>
        <w:rPr>
          <w:lang w:val="es-MX"/>
        </w:rPr>
      </w:pPr>
    </w:p>
    <w:p w:rsidR="002A6E8C" w:rsidRDefault="002A6E8C" w:rsidP="00193E51">
      <w:pP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 los delitos contra los recursos naturales y el medio ambiente</w:t>
      </w:r>
    </w:p>
    <w:p w:rsidR="002A6E8C" w:rsidRDefault="008C2FF4" w:rsidP="00254703">
      <w:pPr>
        <w:jc w:val="center"/>
      </w:pPr>
      <w:r>
        <w:rPr>
          <w:noProof/>
        </w:rPr>
        <w:drawing>
          <wp:inline distT="0" distB="0" distL="0" distR="0">
            <wp:extent cx="5086350" cy="2581275"/>
            <wp:effectExtent l="0" t="0" r="0" b="95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86350" cy="25812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193E51">
      <w:pPr>
        <w:rPr>
          <w:lang w:val="es-MX"/>
        </w:rPr>
      </w:pPr>
    </w:p>
    <w:p w:rsidR="002A6E8C" w:rsidRDefault="002A6E8C" w:rsidP="00193E51">
      <w:pPr>
        <w:rPr>
          <w:lang w:val="es-MX"/>
        </w:rPr>
      </w:pPr>
    </w:p>
    <w:p w:rsidR="002A6E8C" w:rsidRDefault="002A6E8C" w:rsidP="00193E51">
      <w:pPr>
        <w:rPr>
          <w:lang w:val="es-MX"/>
        </w:rPr>
      </w:pPr>
    </w:p>
    <w:p w:rsidR="002A6E8C" w:rsidRDefault="002A6E8C" w:rsidP="00193E51">
      <w:pP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Decretos</w:t>
      </w:r>
    </w:p>
    <w:p w:rsidR="002A6E8C" w:rsidRDefault="008C2FF4" w:rsidP="006B5B16">
      <w:pPr>
        <w:jc w:val="center"/>
        <w:rPr>
          <w:lang w:val="es-MX"/>
        </w:rPr>
      </w:pPr>
      <w:r>
        <w:rPr>
          <w:noProof/>
        </w:rPr>
        <w:drawing>
          <wp:inline distT="0" distB="0" distL="0" distR="0">
            <wp:extent cx="5076825" cy="2581275"/>
            <wp:effectExtent l="0" t="0" r="9525" b="9525"/>
            <wp:docPr id="8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76825" cy="25812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6B5B16">
      <w:pPr>
        <w:jc w:val="center"/>
        <w:rPr>
          <w:lang w:val="es-MX"/>
        </w:rPr>
      </w:pPr>
    </w:p>
    <w:p w:rsidR="002A6E8C" w:rsidRDefault="002A6E8C" w:rsidP="00193E51">
      <w:pPr>
        <w:rPr>
          <w:lang w:val="es-MX"/>
        </w:rPr>
      </w:pPr>
    </w:p>
    <w:p w:rsidR="002A6E8C" w:rsidRDefault="002A6E8C" w:rsidP="00193E51">
      <w:pP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el orden económico social</w:t>
      </w:r>
    </w:p>
    <w:p w:rsidR="002A6E8C" w:rsidRDefault="008C2FF4" w:rsidP="00254703">
      <w:pPr>
        <w:jc w:val="center"/>
      </w:pPr>
      <w:r>
        <w:rPr>
          <w:noProof/>
        </w:rPr>
        <w:drawing>
          <wp:inline distT="0" distB="0" distL="0" distR="0">
            <wp:extent cx="5362575" cy="2790825"/>
            <wp:effectExtent l="0" t="0" r="9525"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279082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193E51">
      <w:pPr>
        <w:rPr>
          <w:lang w:val="es-MX"/>
        </w:rPr>
      </w:pPr>
    </w:p>
    <w:p w:rsidR="002A6E8C" w:rsidRDefault="002A6E8C" w:rsidP="00193E51">
      <w:pPr>
        <w:rPr>
          <w:noProof/>
          <w:lang w:eastAsia="es-E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el patrimonio económico</w:t>
      </w:r>
    </w:p>
    <w:p w:rsidR="002A6E8C" w:rsidRDefault="008C2FF4" w:rsidP="00254703">
      <w:pPr>
        <w:jc w:val="center"/>
        <w:rPr>
          <w:lang w:val="es-MX"/>
        </w:rPr>
      </w:pPr>
      <w:r>
        <w:rPr>
          <w:noProof/>
        </w:rPr>
        <w:drawing>
          <wp:inline distT="0" distB="0" distL="0" distR="0">
            <wp:extent cx="5362575" cy="2819400"/>
            <wp:effectExtent l="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62575" cy="281940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193E51">
      <w:pPr>
        <w:rPr>
          <w:lang w:val="es-MX"/>
        </w:rPr>
      </w:pPr>
    </w:p>
    <w:p w:rsidR="002A6E8C" w:rsidRDefault="002A6E8C" w:rsidP="00193E51">
      <w:pPr>
        <w:rPr>
          <w:noProof/>
          <w:lang w:eastAsia="es-E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la administración de pública</w:t>
      </w:r>
    </w:p>
    <w:p w:rsidR="002A6E8C" w:rsidRDefault="008C2FF4" w:rsidP="00254703">
      <w:pPr>
        <w:jc w:val="center"/>
      </w:pPr>
      <w:r>
        <w:rPr>
          <w:noProof/>
        </w:rPr>
        <w:drawing>
          <wp:inline distT="0" distB="0" distL="0" distR="0">
            <wp:extent cx="5343525" cy="2819400"/>
            <wp:effectExtent l="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43525" cy="281940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193E51">
      <w:pPr>
        <w:rPr>
          <w:lang w:val="es-MX"/>
        </w:rPr>
      </w:pPr>
    </w:p>
    <w:p w:rsidR="002A6E8C" w:rsidRDefault="002A6E8C" w:rsidP="001F60D7">
      <w:pPr>
        <w:rPr>
          <w:b/>
          <w:bC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la eficaz y recta impartición de justicia</w:t>
      </w:r>
    </w:p>
    <w:p w:rsidR="002A6E8C" w:rsidRDefault="008C2FF4" w:rsidP="00254703">
      <w:pPr>
        <w:jc w:val="center"/>
      </w:pPr>
      <w:r>
        <w:rPr>
          <w:noProof/>
        </w:rPr>
        <w:drawing>
          <wp:inline distT="0" distB="0" distL="0" distR="0">
            <wp:extent cx="5400675" cy="26765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675" cy="267652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193E51">
      <w:pPr>
        <w:rPr>
          <w:lang w:val="es-MX"/>
        </w:rPr>
      </w:pPr>
    </w:p>
    <w:p w:rsidR="002A6E8C" w:rsidRDefault="002A6E8C" w:rsidP="00193E51"/>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la existencia y seguridad del estado</w:t>
      </w:r>
    </w:p>
    <w:p w:rsidR="002A6E8C" w:rsidRDefault="008C2FF4" w:rsidP="00254703">
      <w:pPr>
        <w:jc w:val="center"/>
      </w:pPr>
      <w:r>
        <w:rPr>
          <w:noProof/>
        </w:rPr>
        <w:drawing>
          <wp:inline distT="0" distB="0" distL="0" distR="0">
            <wp:extent cx="5133975" cy="2647950"/>
            <wp:effectExtent l="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33975" cy="264795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193E51">
      <w:pPr>
        <w:rPr>
          <w:lang w:val="es-MX"/>
        </w:rPr>
      </w:pPr>
    </w:p>
    <w:p w:rsidR="002A6E8C" w:rsidRDefault="002A6E8C" w:rsidP="00193E51"/>
    <w:p w:rsidR="002A6E8C" w:rsidRDefault="002A6E8C" w:rsidP="00193E51">
      <w:pPr>
        <w:rPr>
          <w:rFonts w:ascii="Arial" w:hAnsi="Arial" w:cs="Arial"/>
          <w:b/>
          <w:bCs/>
          <w:i/>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la familia</w:t>
      </w:r>
    </w:p>
    <w:p w:rsidR="002A6E8C" w:rsidRDefault="008C2FF4" w:rsidP="00254703">
      <w:pPr>
        <w:jc w:val="center"/>
      </w:pPr>
      <w:r>
        <w:rPr>
          <w:noProof/>
        </w:rPr>
        <w:drawing>
          <wp:inline distT="0" distB="0" distL="0" distR="0">
            <wp:extent cx="5391150" cy="2581275"/>
            <wp:effectExtent l="0" t="0" r="0" b="9525"/>
            <wp:docPr id="9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1150" cy="25812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1F60D7">
      <w:pPr>
        <w:rPr>
          <w:lang w:val="es-MX"/>
        </w:rPr>
      </w:pPr>
    </w:p>
    <w:p w:rsidR="002A6E8C" w:rsidRDefault="002A6E8C" w:rsidP="00193E51">
      <w:pPr>
        <w:rPr>
          <w:noProof/>
          <w:lang w:eastAsia="es-ES"/>
        </w:rPr>
      </w:pPr>
    </w:p>
    <w:p w:rsidR="002A6E8C" w:rsidRDefault="002A6E8C" w:rsidP="00193E51">
      <w:pPr>
        <w:rPr>
          <w:noProof/>
          <w:lang w:eastAsia="es-E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la fe publica</w:t>
      </w:r>
    </w:p>
    <w:p w:rsidR="002A6E8C" w:rsidRDefault="008C2FF4" w:rsidP="00254703">
      <w:pPr>
        <w:jc w:val="center"/>
        <w:rPr>
          <w:lang w:val="es-MX"/>
        </w:rPr>
      </w:pPr>
      <w:r>
        <w:rPr>
          <w:noProof/>
        </w:rPr>
        <w:drawing>
          <wp:inline distT="0" distB="0" distL="0" distR="0">
            <wp:extent cx="5400675" cy="2733675"/>
            <wp:effectExtent l="0" t="0" r="9525"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675" cy="27336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193E51">
      <w:pPr>
        <w:rPr>
          <w:lang w:val="es-MX"/>
        </w:rPr>
      </w:pPr>
    </w:p>
    <w:p w:rsidR="002A6E8C" w:rsidRDefault="002A6E8C" w:rsidP="00193E51">
      <w:pP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la integridad moral</w:t>
      </w:r>
    </w:p>
    <w:p w:rsidR="002A6E8C" w:rsidRDefault="008C2FF4" w:rsidP="00254703">
      <w:pPr>
        <w:jc w:val="center"/>
        <w:rPr>
          <w:lang w:val="es-MX"/>
        </w:rPr>
      </w:pPr>
      <w:r>
        <w:rPr>
          <w:noProof/>
        </w:rPr>
        <w:drawing>
          <wp:inline distT="0" distB="0" distL="0" distR="0">
            <wp:extent cx="5343525" cy="2847975"/>
            <wp:effectExtent l="0" t="0" r="9525"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43525" cy="28479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193E51">
      <w:pPr>
        <w:rPr>
          <w:lang w:val="es-MX"/>
        </w:rPr>
      </w:pPr>
    </w:p>
    <w:p w:rsidR="002A6E8C" w:rsidRDefault="002A6E8C" w:rsidP="00193E51">
      <w:pPr>
        <w:rPr>
          <w:noProof/>
          <w:lang w:eastAsia="es-ES"/>
        </w:rPr>
      </w:pPr>
    </w:p>
    <w:p w:rsidR="002A6E8C" w:rsidRDefault="002A6E8C" w:rsidP="00193E51">
      <w:pPr>
        <w:rPr>
          <w:noProof/>
          <w:lang w:eastAsia="es-E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la libertad individual y otras garantías</w:t>
      </w:r>
    </w:p>
    <w:p w:rsidR="002A6E8C" w:rsidRDefault="008C2FF4" w:rsidP="00254703">
      <w:pPr>
        <w:jc w:val="center"/>
      </w:pPr>
      <w:r>
        <w:rPr>
          <w:noProof/>
        </w:rPr>
        <w:drawing>
          <wp:inline distT="0" distB="0" distL="0" distR="0">
            <wp:extent cx="5362575" cy="2705100"/>
            <wp:effectExtent l="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62575" cy="270510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193E51">
      <w:pP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la libertad, integridad y formación sexuales</w:t>
      </w:r>
    </w:p>
    <w:p w:rsidR="002A6E8C" w:rsidRDefault="008C2FF4" w:rsidP="00254703">
      <w:pPr>
        <w:jc w:val="center"/>
      </w:pPr>
      <w:r>
        <w:rPr>
          <w:noProof/>
        </w:rPr>
        <w:drawing>
          <wp:inline distT="0" distB="0" distL="0" distR="0">
            <wp:extent cx="5362575" cy="2676525"/>
            <wp:effectExtent l="0" t="0" r="9525"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62575" cy="267652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193E51">
      <w:pPr>
        <w:rPr>
          <w:lang w:val="es-MX"/>
        </w:rPr>
      </w:pPr>
    </w:p>
    <w:p w:rsidR="002A6E8C" w:rsidRDefault="002A6E8C" w:rsidP="00193E51">
      <w:pPr>
        <w:rPr>
          <w:lang w:val="es-MX"/>
        </w:rPr>
      </w:pPr>
    </w:p>
    <w:p w:rsidR="002A6E8C" w:rsidRDefault="002A6E8C" w:rsidP="00193E51">
      <w:pP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la seguridad p</w:t>
      </w:r>
      <w:r>
        <w:rPr>
          <w:rFonts w:ascii="Arial" w:hAnsi="Arial" w:cs="Arial"/>
          <w:b/>
          <w:bCs/>
          <w:i/>
          <w:sz w:val="20"/>
          <w:szCs w:val="20"/>
          <w:lang w:val="es-MX"/>
        </w:rPr>
        <w:t>ú</w:t>
      </w:r>
      <w:r w:rsidRPr="003A34CA">
        <w:rPr>
          <w:rFonts w:ascii="Arial" w:hAnsi="Arial" w:cs="Arial"/>
          <w:b/>
          <w:bCs/>
          <w:i/>
          <w:sz w:val="20"/>
          <w:szCs w:val="20"/>
          <w:lang w:val="es-MX"/>
        </w:rPr>
        <w:t>blica</w:t>
      </w:r>
    </w:p>
    <w:p w:rsidR="002A6E8C" w:rsidRDefault="008C2FF4" w:rsidP="00254703">
      <w:pPr>
        <w:jc w:val="center"/>
        <w:rPr>
          <w:lang w:val="es-MX"/>
        </w:rPr>
      </w:pPr>
      <w:r>
        <w:rPr>
          <w:noProof/>
        </w:rPr>
        <w:drawing>
          <wp:inline distT="0" distB="0" distL="0" distR="0">
            <wp:extent cx="5353050" cy="2733675"/>
            <wp:effectExtent l="0" t="0" r="0"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53050" cy="27336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4E08C8">
      <w:pPr>
        <w:rPr>
          <w:lang w:val="es-MX"/>
        </w:rPr>
      </w:pPr>
    </w:p>
    <w:p w:rsidR="002A6E8C" w:rsidRDefault="002A6E8C" w:rsidP="004E08C8">
      <w:pP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la vida y la integridad personal</w:t>
      </w:r>
    </w:p>
    <w:p w:rsidR="002A6E8C" w:rsidRDefault="008C2FF4" w:rsidP="00254703">
      <w:pPr>
        <w:jc w:val="center"/>
      </w:pPr>
      <w:r>
        <w:rPr>
          <w:noProof/>
        </w:rPr>
        <w:drawing>
          <wp:inline distT="0" distB="0" distL="0" distR="0">
            <wp:extent cx="5353050" cy="27051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53050" cy="270510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193E51">
      <w:pPr>
        <w:rPr>
          <w:lang w:val="es-MX"/>
        </w:rPr>
      </w:pPr>
    </w:p>
    <w:p w:rsidR="002A6E8C" w:rsidRDefault="002A6E8C" w:rsidP="00193E51">
      <w:pPr>
        <w:rPr>
          <w:lang w:val="es-MX"/>
        </w:rPr>
      </w:pPr>
    </w:p>
    <w:p w:rsidR="002A6E8C" w:rsidRDefault="002A6E8C" w:rsidP="00193E51">
      <w:pP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las personas y bienes protegidos por el derecho</w:t>
      </w:r>
    </w:p>
    <w:p w:rsidR="002A6E8C" w:rsidRDefault="008C2FF4" w:rsidP="00254703">
      <w:pPr>
        <w:jc w:val="center"/>
      </w:pPr>
      <w:r>
        <w:rPr>
          <w:noProof/>
        </w:rPr>
        <w:drawing>
          <wp:inline distT="0" distB="0" distL="0" distR="0">
            <wp:extent cx="5381625" cy="2733675"/>
            <wp:effectExtent l="0" t="0" r="9525"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81625" cy="27336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4E08C8">
      <w:pPr>
        <w:rPr>
          <w:lang w:val="es-MX"/>
        </w:rPr>
      </w:pPr>
    </w:p>
    <w:p w:rsidR="002A6E8C" w:rsidRDefault="002A6E8C" w:rsidP="003A34CA">
      <w:pPr>
        <w:jc w:val="both"/>
        <w:rPr>
          <w:rFonts w:ascii="Arial" w:hAnsi="Arial" w:cs="Arial"/>
          <w:b/>
          <w:bCs/>
          <w:i/>
          <w:sz w:val="20"/>
          <w:szCs w:val="20"/>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mecanismos de participación democrática</w:t>
      </w:r>
    </w:p>
    <w:p w:rsidR="002A6E8C" w:rsidRDefault="008C2FF4" w:rsidP="00254703">
      <w:pPr>
        <w:jc w:val="center"/>
      </w:pPr>
      <w:r>
        <w:rPr>
          <w:noProof/>
        </w:rPr>
        <w:drawing>
          <wp:inline distT="0" distB="0" distL="0" distR="0">
            <wp:extent cx="5400675" cy="2733675"/>
            <wp:effectExtent l="0" t="0" r="9525" b="9525"/>
            <wp:docPr id="10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675" cy="27336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193E51">
      <w:pPr>
        <w:rPr>
          <w:lang w:val="es-MX"/>
        </w:rPr>
      </w:pPr>
    </w:p>
    <w:p w:rsidR="002A6E8C" w:rsidRDefault="002A6E8C" w:rsidP="0048249D">
      <w:pPr>
        <w:pStyle w:val="Ttulo2"/>
        <w:numPr>
          <w:ilvl w:val="1"/>
          <w:numId w:val="10"/>
        </w:numPr>
        <w:jc w:val="both"/>
        <w:rPr>
          <w:color w:val="auto"/>
          <w:lang w:eastAsia="es-ES"/>
        </w:rPr>
      </w:pPr>
      <w:bookmarkStart w:id="33" w:name="_Toc315681402"/>
      <w:r w:rsidRPr="005D0C51">
        <w:rPr>
          <w:color w:val="auto"/>
          <w:lang w:eastAsia="es-ES"/>
        </w:rPr>
        <w:t>Distribución de l</w:t>
      </w:r>
      <w:r>
        <w:rPr>
          <w:color w:val="auto"/>
          <w:lang w:eastAsia="es-ES"/>
        </w:rPr>
        <w:t>a</w:t>
      </w:r>
      <w:r w:rsidRPr="005D0C51">
        <w:rPr>
          <w:color w:val="auto"/>
          <w:lang w:eastAsia="es-ES"/>
        </w:rPr>
        <w:t xml:space="preserve">s </w:t>
      </w:r>
      <w:r>
        <w:rPr>
          <w:color w:val="auto"/>
          <w:lang w:eastAsia="es-ES"/>
        </w:rPr>
        <w:t>Salidas  a la Fiscalía General de la Nación</w:t>
      </w:r>
      <w:bookmarkEnd w:id="33"/>
    </w:p>
    <w:p w:rsidR="002A6E8C" w:rsidRPr="00652289" w:rsidRDefault="002A6E8C" w:rsidP="00193E51"/>
    <w:p w:rsidR="002A6E8C" w:rsidRDefault="008C2FF4" w:rsidP="00254703">
      <w:pPr>
        <w:jc w:val="center"/>
        <w:rPr>
          <w:lang w:val="es-MX"/>
        </w:rPr>
      </w:pPr>
      <w:r>
        <w:rPr>
          <w:noProof/>
        </w:rPr>
        <w:drawing>
          <wp:inline distT="0" distB="0" distL="0" distR="0">
            <wp:extent cx="5381625" cy="3486150"/>
            <wp:effectExtent l="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81625" cy="348615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824290" w:rsidRDefault="002A6E8C" w:rsidP="00824290">
      <w:pPr>
        <w:pStyle w:val="Ttulo2"/>
        <w:numPr>
          <w:ilvl w:val="1"/>
          <w:numId w:val="10"/>
        </w:numPr>
        <w:jc w:val="both"/>
        <w:rPr>
          <w:color w:val="auto"/>
          <w:lang w:eastAsia="es-ES"/>
        </w:rPr>
      </w:pPr>
      <w:bookmarkStart w:id="34" w:name="_Toc315681403"/>
      <w:r w:rsidRPr="00824290">
        <w:rPr>
          <w:color w:val="auto"/>
          <w:lang w:eastAsia="es-ES"/>
        </w:rPr>
        <w:lastRenderedPageBreak/>
        <w:t>Total de salidas - Ley 906 por etapa del proceso</w:t>
      </w:r>
      <w:bookmarkEnd w:id="34"/>
    </w:p>
    <w:p w:rsidR="002A6E8C" w:rsidRDefault="008C2FF4" w:rsidP="00254703">
      <w:pPr>
        <w:jc w:val="center"/>
        <w:rPr>
          <w:lang w:val="es-MX"/>
        </w:rPr>
      </w:pPr>
      <w:r>
        <w:rPr>
          <w:noProof/>
        </w:rPr>
        <w:drawing>
          <wp:inline distT="0" distB="0" distL="0" distR="0">
            <wp:extent cx="5372100" cy="27051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72100" cy="270510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193E51">
      <w:pPr>
        <w:rPr>
          <w:lang w:val="es-MX"/>
        </w:rPr>
      </w:pPr>
    </w:p>
    <w:p w:rsidR="002A6E8C" w:rsidRDefault="002A6E8C" w:rsidP="00F6518F">
      <w:pPr>
        <w:spacing w:after="0" w:line="240" w:lineRule="auto"/>
        <w:rPr>
          <w:b/>
          <w:bCs/>
          <w:color w:val="000000"/>
          <w:sz w:val="24"/>
          <w:szCs w:val="24"/>
          <w:lang w:eastAsia="es-ES"/>
        </w:rPr>
      </w:pPr>
    </w:p>
    <w:p w:rsidR="002A6E8C" w:rsidRPr="00824290" w:rsidRDefault="002A6E8C" w:rsidP="00824290">
      <w:pPr>
        <w:pStyle w:val="Ttulo2"/>
        <w:numPr>
          <w:ilvl w:val="1"/>
          <w:numId w:val="10"/>
        </w:numPr>
        <w:jc w:val="both"/>
        <w:rPr>
          <w:color w:val="auto"/>
          <w:lang w:eastAsia="es-ES"/>
        </w:rPr>
      </w:pPr>
      <w:bookmarkStart w:id="35" w:name="_Toc315681404"/>
      <w:r w:rsidRPr="00CC7AA9">
        <w:rPr>
          <w:color w:val="auto"/>
          <w:lang w:eastAsia="es-ES"/>
        </w:rPr>
        <w:t xml:space="preserve">Total de </w:t>
      </w:r>
      <w:r w:rsidRPr="00824290">
        <w:rPr>
          <w:color w:val="auto"/>
          <w:lang w:eastAsia="es-ES"/>
        </w:rPr>
        <w:t>Salidas</w:t>
      </w:r>
      <w:r w:rsidRPr="00CC7AA9">
        <w:rPr>
          <w:color w:val="auto"/>
          <w:lang w:eastAsia="es-ES"/>
        </w:rPr>
        <w:t xml:space="preserve"> - Ley 906 por etapa del proceso</w:t>
      </w:r>
      <w:r w:rsidRPr="00824290">
        <w:rPr>
          <w:color w:val="auto"/>
          <w:lang w:eastAsia="es-ES"/>
        </w:rPr>
        <w:t xml:space="preserve"> y tipo de delito</w:t>
      </w:r>
      <w:bookmarkEnd w:id="35"/>
    </w:p>
    <w:p w:rsidR="002A6E8C" w:rsidRDefault="002A6E8C" w:rsidP="00F6518F">
      <w:pPr>
        <w:rPr>
          <w:b/>
          <w:bC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 la protección de la información y de los datos</w:t>
      </w:r>
    </w:p>
    <w:p w:rsidR="002A6E8C" w:rsidRDefault="008C2FF4" w:rsidP="00F6518F">
      <w:pPr>
        <w:jc w:val="center"/>
      </w:pPr>
      <w:r>
        <w:rPr>
          <w:noProof/>
        </w:rPr>
        <w:drawing>
          <wp:inline distT="0" distB="0" distL="0" distR="0">
            <wp:extent cx="5381625" cy="2952750"/>
            <wp:effectExtent l="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81625" cy="295275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 los delitos contra el régimen constitucional y legal</w:t>
      </w:r>
    </w:p>
    <w:p w:rsidR="002A6E8C" w:rsidRDefault="008C2FF4" w:rsidP="00F6518F">
      <w:pPr>
        <w:jc w:val="center"/>
      </w:pPr>
      <w:r>
        <w:rPr>
          <w:noProof/>
        </w:rPr>
        <w:drawing>
          <wp:inline distT="0" distB="0" distL="0" distR="0">
            <wp:extent cx="5314950" cy="2762250"/>
            <wp:effectExtent l="0" t="0" r="0" b="0"/>
            <wp:docPr id="10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14950" cy="276225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F6518F">
      <w:pPr>
        <w:jc w:val="center"/>
        <w:rPr>
          <w:lang w:val="es-MX"/>
        </w:rPr>
      </w:pPr>
    </w:p>
    <w:p w:rsidR="002A6E8C" w:rsidRDefault="002A6E8C" w:rsidP="00F6518F">
      <w:pPr>
        <w:jc w:val="center"/>
        <w:rPr>
          <w:lang w:val="es-MX"/>
        </w:rPr>
      </w:pPr>
    </w:p>
    <w:p w:rsidR="002A6E8C" w:rsidRPr="0055796E" w:rsidRDefault="002A6E8C" w:rsidP="00F6518F">
      <w:pPr>
        <w:jc w:val="cente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 los delitos contra la salud pública</w:t>
      </w:r>
    </w:p>
    <w:p w:rsidR="002A6E8C" w:rsidRDefault="008C2FF4" w:rsidP="00F6518F">
      <w:pPr>
        <w:jc w:val="center"/>
      </w:pPr>
      <w:r>
        <w:rPr>
          <w:noProof/>
        </w:rPr>
        <w:drawing>
          <wp:inline distT="0" distB="0" distL="0" distR="0">
            <wp:extent cx="5314950" cy="2762250"/>
            <wp:effectExtent l="0" t="0" r="0" b="0"/>
            <wp:docPr id="10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14950" cy="276225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F6518F">
      <w:pPr>
        <w:jc w:val="cente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 los delitos contra los derechos de autor</w:t>
      </w:r>
    </w:p>
    <w:p w:rsidR="002A6E8C" w:rsidRDefault="008C2FF4" w:rsidP="00F6518F">
      <w:pPr>
        <w:jc w:val="center"/>
      </w:pPr>
      <w:r>
        <w:rPr>
          <w:noProof/>
        </w:rPr>
        <w:drawing>
          <wp:inline distT="0" distB="0" distL="0" distR="0">
            <wp:extent cx="5314950" cy="2762250"/>
            <wp:effectExtent l="0" t="0" r="0" b="0"/>
            <wp:docPr id="10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14950" cy="276225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F6518F">
      <w:pPr>
        <w:jc w:val="center"/>
        <w:rPr>
          <w:lang w:val="es-MX"/>
        </w:rPr>
      </w:pPr>
    </w:p>
    <w:p w:rsidR="002A6E8C" w:rsidRDefault="002A6E8C" w:rsidP="00F6518F">
      <w:pPr>
        <w:rPr>
          <w:noProof/>
          <w:lang w:eastAsia="es-ES"/>
        </w:rPr>
      </w:pPr>
    </w:p>
    <w:p w:rsidR="002A6E8C" w:rsidRPr="003A34CA" w:rsidRDefault="002A6E8C" w:rsidP="003A34CA">
      <w:pPr>
        <w:jc w:val="both"/>
        <w:rPr>
          <w:rFonts w:ascii="Arial" w:hAnsi="Arial" w:cs="Arial"/>
          <w:b/>
          <w:bCs/>
          <w:i/>
          <w:sz w:val="20"/>
          <w:szCs w:val="20"/>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 los delitos contra los recursos naturales y el medio ambiente</w:t>
      </w:r>
    </w:p>
    <w:p w:rsidR="002A6E8C" w:rsidRDefault="008C2FF4" w:rsidP="00254703">
      <w:pPr>
        <w:jc w:val="center"/>
      </w:pPr>
      <w:r>
        <w:rPr>
          <w:noProof/>
        </w:rPr>
        <w:drawing>
          <wp:inline distT="0" distB="0" distL="0" distR="0">
            <wp:extent cx="5305425" cy="2762250"/>
            <wp:effectExtent l="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05425" cy="276225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B24B85">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B24B85">
      <w:pPr>
        <w:spacing w:after="0" w:line="240" w:lineRule="auto"/>
        <w:jc w:val="center"/>
        <w:rPr>
          <w:rFonts w:ascii="Arial" w:hAnsi="Arial" w:cs="Arial"/>
          <w:sz w:val="16"/>
          <w:szCs w:val="16"/>
          <w:lang w:val="es-MX"/>
        </w:rPr>
      </w:pPr>
    </w:p>
    <w:p w:rsidR="002A6E8C" w:rsidRDefault="002A6E8C" w:rsidP="00B24B85">
      <w:pPr>
        <w:spacing w:after="0" w:line="240" w:lineRule="auto"/>
        <w:jc w:val="center"/>
        <w:rPr>
          <w:rFonts w:ascii="Arial" w:hAnsi="Arial" w:cs="Arial"/>
          <w:sz w:val="16"/>
          <w:szCs w:val="16"/>
          <w:lang w:val="es-MX"/>
        </w:rPr>
      </w:pPr>
    </w:p>
    <w:p w:rsidR="002A6E8C" w:rsidRDefault="002A6E8C" w:rsidP="00B24B85">
      <w:pPr>
        <w:spacing w:after="0" w:line="240" w:lineRule="auto"/>
        <w:jc w:val="center"/>
        <w:rPr>
          <w:rFonts w:ascii="Arial" w:hAnsi="Arial" w:cs="Arial"/>
          <w:sz w:val="16"/>
          <w:szCs w:val="16"/>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Decretos</w:t>
      </w:r>
    </w:p>
    <w:p w:rsidR="002A6E8C" w:rsidRDefault="008C2FF4" w:rsidP="00254703">
      <w:pPr>
        <w:jc w:val="center"/>
      </w:pPr>
      <w:r>
        <w:rPr>
          <w:noProof/>
        </w:rPr>
        <w:drawing>
          <wp:inline distT="0" distB="0" distL="0" distR="0">
            <wp:extent cx="5295900" cy="2762250"/>
            <wp:effectExtent l="0" t="0" r="0" b="0"/>
            <wp:docPr id="11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95900" cy="276225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F6518F">
      <w:pPr>
        <w:rPr>
          <w:lang w:val="es-MX"/>
        </w:rPr>
      </w:pPr>
    </w:p>
    <w:p w:rsidR="002A6E8C" w:rsidRDefault="002A6E8C" w:rsidP="00F6518F">
      <w:pPr>
        <w:jc w:val="center"/>
        <w:rPr>
          <w:lang w:val="es-MX"/>
        </w:rPr>
      </w:pPr>
    </w:p>
    <w:p w:rsidR="002A6E8C" w:rsidRDefault="002A6E8C" w:rsidP="00F6518F">
      <w:pPr>
        <w:rPr>
          <w:lang w:val="es-MX"/>
        </w:rPr>
      </w:pPr>
    </w:p>
    <w:p w:rsidR="002A6E8C" w:rsidRDefault="002A6E8C" w:rsidP="00F6518F">
      <w:pP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el orden económico social</w:t>
      </w:r>
    </w:p>
    <w:p w:rsidR="002A6E8C" w:rsidRDefault="008C2FF4" w:rsidP="00254703">
      <w:pPr>
        <w:jc w:val="center"/>
      </w:pPr>
      <w:r>
        <w:rPr>
          <w:noProof/>
        </w:rPr>
        <w:drawing>
          <wp:inline distT="0" distB="0" distL="0" distR="0">
            <wp:extent cx="5362575" cy="2790825"/>
            <wp:effectExtent l="0" t="0" r="9525" b="9525"/>
            <wp:docPr id="11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62575" cy="279082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el patrimonio económico</w:t>
      </w:r>
    </w:p>
    <w:p w:rsidR="002A6E8C" w:rsidRDefault="008C2FF4" w:rsidP="00254703">
      <w:pPr>
        <w:jc w:val="center"/>
        <w:rPr>
          <w:lang w:val="es-MX"/>
        </w:rPr>
      </w:pPr>
      <w:r>
        <w:rPr>
          <w:noProof/>
        </w:rPr>
        <w:drawing>
          <wp:inline distT="0" distB="0" distL="0" distR="0">
            <wp:extent cx="5362575" cy="2819400"/>
            <wp:effectExtent l="0" t="0" r="952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62575" cy="281940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F6518F">
      <w:pPr>
        <w:rPr>
          <w:lang w:val="es-MX"/>
        </w:rPr>
      </w:pPr>
    </w:p>
    <w:p w:rsidR="002A6E8C" w:rsidRDefault="002A6E8C" w:rsidP="00F6518F">
      <w:pPr>
        <w:rPr>
          <w:noProof/>
          <w:lang w:eastAsia="es-ES"/>
        </w:rPr>
      </w:pPr>
    </w:p>
    <w:p w:rsidR="002A6E8C" w:rsidRDefault="002A6E8C" w:rsidP="00F6518F">
      <w:pPr>
        <w:rPr>
          <w:noProof/>
          <w:lang w:eastAsia="es-E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la administración de pública</w:t>
      </w:r>
    </w:p>
    <w:p w:rsidR="002A6E8C" w:rsidRDefault="008C2FF4" w:rsidP="00254703">
      <w:pPr>
        <w:jc w:val="center"/>
      </w:pPr>
      <w:r>
        <w:rPr>
          <w:noProof/>
        </w:rPr>
        <w:drawing>
          <wp:inline distT="0" distB="0" distL="0" distR="0">
            <wp:extent cx="5343525" cy="2819400"/>
            <wp:effectExtent l="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43525" cy="281940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F6518F">
      <w:pPr>
        <w:rPr>
          <w:b/>
          <w:bC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la eficaz y recta impartición de justicia</w:t>
      </w:r>
    </w:p>
    <w:p w:rsidR="002A6E8C" w:rsidRDefault="008C2FF4" w:rsidP="00254703">
      <w:pPr>
        <w:jc w:val="center"/>
      </w:pPr>
      <w:r>
        <w:rPr>
          <w:noProof/>
        </w:rPr>
        <w:drawing>
          <wp:inline distT="0" distB="0" distL="0" distR="0">
            <wp:extent cx="5400675" cy="2676525"/>
            <wp:effectExtent l="0" t="0" r="9525"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675" cy="267652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F6518F">
      <w:pPr>
        <w:rPr>
          <w:lang w:val="es-MX"/>
        </w:rPr>
      </w:pPr>
    </w:p>
    <w:p w:rsidR="002A6E8C" w:rsidRDefault="002A6E8C" w:rsidP="00F6518F"/>
    <w:p w:rsidR="002A6E8C" w:rsidRPr="004B2079" w:rsidRDefault="002A6E8C" w:rsidP="00F6518F">
      <w:pPr>
        <w:rPr>
          <w:rFonts w:ascii="Arial" w:hAnsi="Arial" w:cs="Arial"/>
          <w:b/>
          <w:bCs/>
          <w:i/>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la existencia y seguridad del estado</w:t>
      </w:r>
    </w:p>
    <w:p w:rsidR="002A6E8C" w:rsidRDefault="008C2FF4" w:rsidP="00254703">
      <w:pPr>
        <w:jc w:val="center"/>
        <w:rPr>
          <w:b/>
          <w:bCs/>
        </w:rPr>
      </w:pPr>
      <w:r>
        <w:rPr>
          <w:noProof/>
        </w:rPr>
        <w:drawing>
          <wp:inline distT="0" distB="0" distL="0" distR="0">
            <wp:extent cx="5133975" cy="2647950"/>
            <wp:effectExtent l="0" t="0" r="9525" b="0"/>
            <wp:docPr id="11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33975" cy="264795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F6518F">
      <w:pPr>
        <w:rPr>
          <w:b/>
          <w:bCs/>
          <w:lang w:val="es-MX"/>
        </w:rPr>
      </w:pPr>
    </w:p>
    <w:p w:rsidR="002A6E8C" w:rsidRDefault="002A6E8C" w:rsidP="00F6518F"/>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la familia</w:t>
      </w:r>
    </w:p>
    <w:p w:rsidR="002A6E8C" w:rsidRDefault="008C2FF4" w:rsidP="00254703">
      <w:pPr>
        <w:jc w:val="center"/>
      </w:pPr>
      <w:r>
        <w:rPr>
          <w:noProof/>
        </w:rPr>
        <w:drawing>
          <wp:inline distT="0" distB="0" distL="0" distR="0">
            <wp:extent cx="5391150" cy="2581275"/>
            <wp:effectExtent l="0" t="0" r="0" b="9525"/>
            <wp:docPr id="117"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91150" cy="25812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F6518F">
      <w:pPr>
        <w:rPr>
          <w:lang w:val="es-MX"/>
        </w:rPr>
      </w:pPr>
    </w:p>
    <w:p w:rsidR="002A6E8C" w:rsidRDefault="002A6E8C" w:rsidP="00F6518F">
      <w:pPr>
        <w:rPr>
          <w:noProof/>
          <w:lang w:eastAsia="es-E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la fe p</w:t>
      </w:r>
      <w:r>
        <w:rPr>
          <w:rFonts w:ascii="Arial" w:hAnsi="Arial" w:cs="Arial"/>
          <w:b/>
          <w:bCs/>
          <w:i/>
          <w:sz w:val="20"/>
          <w:szCs w:val="20"/>
          <w:lang w:val="es-MX"/>
        </w:rPr>
        <w:t>ú</w:t>
      </w:r>
      <w:r w:rsidRPr="003A34CA">
        <w:rPr>
          <w:rFonts w:ascii="Arial" w:hAnsi="Arial" w:cs="Arial"/>
          <w:b/>
          <w:bCs/>
          <w:i/>
          <w:sz w:val="20"/>
          <w:szCs w:val="20"/>
          <w:lang w:val="es-MX"/>
        </w:rPr>
        <w:t>blica</w:t>
      </w:r>
    </w:p>
    <w:p w:rsidR="002A6E8C" w:rsidRDefault="008C2FF4" w:rsidP="00254703">
      <w:pPr>
        <w:jc w:val="center"/>
        <w:rPr>
          <w:b/>
          <w:bCs/>
        </w:rPr>
      </w:pPr>
      <w:r>
        <w:rPr>
          <w:noProof/>
        </w:rPr>
        <w:drawing>
          <wp:inline distT="0" distB="0" distL="0" distR="0">
            <wp:extent cx="5400675" cy="2733675"/>
            <wp:effectExtent l="0" t="0" r="9525" b="9525"/>
            <wp:docPr id="11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0675" cy="27336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F6518F">
      <w:pPr>
        <w:rPr>
          <w:b/>
          <w:bCs/>
          <w:lang w:val="es-MX"/>
        </w:rPr>
      </w:pPr>
    </w:p>
    <w:p w:rsidR="002A6E8C" w:rsidRDefault="002A6E8C" w:rsidP="00F6518F"/>
    <w:p w:rsidR="002A6E8C" w:rsidRDefault="002A6E8C" w:rsidP="00F6518F"/>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la integridad moral</w:t>
      </w:r>
    </w:p>
    <w:p w:rsidR="002A6E8C" w:rsidRDefault="008C2FF4" w:rsidP="00254703">
      <w:pPr>
        <w:jc w:val="center"/>
        <w:rPr>
          <w:lang w:val="es-MX"/>
        </w:rPr>
      </w:pPr>
      <w:r>
        <w:rPr>
          <w:noProof/>
        </w:rPr>
        <w:drawing>
          <wp:inline distT="0" distB="0" distL="0" distR="0">
            <wp:extent cx="5295900" cy="2647950"/>
            <wp:effectExtent l="0" t="0" r="0" b="0"/>
            <wp:docPr id="11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95900" cy="264795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F6518F">
      <w:pPr>
        <w:rPr>
          <w:lang w:val="es-MX"/>
        </w:rPr>
      </w:pPr>
    </w:p>
    <w:p w:rsidR="002A6E8C" w:rsidRDefault="002A6E8C" w:rsidP="00F6518F">
      <w:pPr>
        <w:rPr>
          <w:noProof/>
          <w:lang w:eastAsia="es-ES"/>
        </w:rPr>
      </w:pPr>
    </w:p>
    <w:p w:rsidR="002A6E8C" w:rsidRDefault="002A6E8C" w:rsidP="00F6518F">
      <w:pPr>
        <w:rPr>
          <w:noProof/>
          <w:lang w:eastAsia="es-E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la libertad individual y otras garantías</w:t>
      </w:r>
    </w:p>
    <w:p w:rsidR="002A6E8C" w:rsidRDefault="008C2FF4" w:rsidP="00254703">
      <w:pPr>
        <w:jc w:val="center"/>
      </w:pPr>
      <w:r>
        <w:rPr>
          <w:noProof/>
        </w:rPr>
        <w:drawing>
          <wp:inline distT="0" distB="0" distL="0" distR="0">
            <wp:extent cx="5362575" cy="2705100"/>
            <wp:effectExtent l="0" t="0" r="9525" b="0"/>
            <wp:docPr id="12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62575" cy="270510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F6518F">
      <w:pPr>
        <w:rPr>
          <w:lang w:val="es-MX"/>
        </w:rPr>
      </w:pPr>
    </w:p>
    <w:p w:rsidR="002A6E8C" w:rsidRDefault="002A6E8C" w:rsidP="00F6518F">
      <w:pPr>
        <w:rPr>
          <w:noProof/>
          <w:lang w:eastAsia="es-E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la libertad, integridad y formación sexuales</w:t>
      </w:r>
    </w:p>
    <w:p w:rsidR="002A6E8C" w:rsidRDefault="008C2FF4" w:rsidP="00254703">
      <w:pPr>
        <w:jc w:val="center"/>
      </w:pPr>
      <w:r>
        <w:rPr>
          <w:noProof/>
        </w:rPr>
        <w:drawing>
          <wp:inline distT="0" distB="0" distL="0" distR="0">
            <wp:extent cx="5362575" cy="2676525"/>
            <wp:effectExtent l="0" t="0" r="9525" b="9525"/>
            <wp:docPr id="12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62575" cy="267652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F6518F">
      <w:pPr>
        <w:rPr>
          <w:lang w:val="es-MX"/>
        </w:rPr>
      </w:pPr>
    </w:p>
    <w:p w:rsidR="002A6E8C" w:rsidRDefault="002A6E8C" w:rsidP="00F6518F">
      <w:pPr>
        <w:rPr>
          <w:lang w:val="es-MX"/>
        </w:rPr>
      </w:pPr>
    </w:p>
    <w:p w:rsidR="002A6E8C" w:rsidRDefault="002A6E8C" w:rsidP="00F6518F">
      <w:pP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la seguridad p</w:t>
      </w:r>
      <w:r>
        <w:rPr>
          <w:rFonts w:ascii="Arial" w:hAnsi="Arial" w:cs="Arial"/>
          <w:b/>
          <w:bCs/>
          <w:i/>
          <w:sz w:val="20"/>
          <w:szCs w:val="20"/>
          <w:lang w:val="es-MX"/>
        </w:rPr>
        <w:t>ú</w:t>
      </w:r>
      <w:r w:rsidRPr="003A34CA">
        <w:rPr>
          <w:rFonts w:ascii="Arial" w:hAnsi="Arial" w:cs="Arial"/>
          <w:b/>
          <w:bCs/>
          <w:i/>
          <w:sz w:val="20"/>
          <w:szCs w:val="20"/>
          <w:lang w:val="es-MX"/>
        </w:rPr>
        <w:t>blica</w:t>
      </w:r>
    </w:p>
    <w:p w:rsidR="002A6E8C" w:rsidRDefault="008C2FF4" w:rsidP="00254703">
      <w:pPr>
        <w:jc w:val="center"/>
        <w:rPr>
          <w:lang w:val="es-MX"/>
        </w:rPr>
      </w:pPr>
      <w:r>
        <w:rPr>
          <w:noProof/>
        </w:rPr>
        <w:drawing>
          <wp:inline distT="0" distB="0" distL="0" distR="0">
            <wp:extent cx="5353050" cy="2733675"/>
            <wp:effectExtent l="0" t="0" r="0" b="9525"/>
            <wp:docPr id="12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53050" cy="27336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F6518F">
      <w:pPr>
        <w:rPr>
          <w:lang w:val="es-MX"/>
        </w:rPr>
      </w:pPr>
    </w:p>
    <w:p w:rsidR="002A6E8C" w:rsidRDefault="002A6E8C" w:rsidP="00F6518F">
      <w:pPr>
        <w:rPr>
          <w:b/>
          <w:bCs/>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la vida y la integridad personal</w:t>
      </w:r>
    </w:p>
    <w:p w:rsidR="002A6E8C" w:rsidRDefault="008C2FF4" w:rsidP="00254703">
      <w:pPr>
        <w:jc w:val="center"/>
      </w:pPr>
      <w:r>
        <w:rPr>
          <w:noProof/>
        </w:rPr>
        <w:drawing>
          <wp:inline distT="0" distB="0" distL="0" distR="0">
            <wp:extent cx="5353050" cy="2705100"/>
            <wp:effectExtent l="0" t="0" r="0" b="0"/>
            <wp:docPr id="12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53050" cy="270510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F6518F">
      <w:pPr>
        <w:rPr>
          <w:lang w:val="es-MX"/>
        </w:rPr>
      </w:pPr>
    </w:p>
    <w:p w:rsidR="002A6E8C" w:rsidRDefault="002A6E8C" w:rsidP="00F6518F">
      <w:pPr>
        <w:rPr>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t>Delitos contra las personas y bienes protegidos por el derecho</w:t>
      </w:r>
    </w:p>
    <w:p w:rsidR="002A6E8C" w:rsidRDefault="008C2FF4" w:rsidP="00254703">
      <w:pPr>
        <w:jc w:val="center"/>
      </w:pPr>
      <w:r>
        <w:rPr>
          <w:noProof/>
        </w:rPr>
        <w:drawing>
          <wp:inline distT="0" distB="0" distL="0" distR="0">
            <wp:extent cx="5381625" cy="2733675"/>
            <wp:effectExtent l="0" t="0" r="9525" b="9525"/>
            <wp:docPr id="12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81625" cy="27336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F6518F">
      <w:pPr>
        <w:rPr>
          <w:lang w:val="es-MX"/>
        </w:rPr>
      </w:pPr>
    </w:p>
    <w:p w:rsidR="002A6E8C" w:rsidRDefault="002A6E8C" w:rsidP="00F6518F">
      <w:pPr>
        <w:rPr>
          <w:lang w:val="es-MX"/>
        </w:rPr>
      </w:pPr>
    </w:p>
    <w:p w:rsidR="002A6E8C" w:rsidRDefault="002A6E8C" w:rsidP="003A34CA">
      <w:pPr>
        <w:jc w:val="both"/>
        <w:rPr>
          <w:rFonts w:ascii="Arial" w:hAnsi="Arial" w:cs="Arial"/>
          <w:b/>
          <w:bCs/>
          <w:i/>
          <w:sz w:val="20"/>
          <w:szCs w:val="20"/>
          <w:lang w:val="es-MX"/>
        </w:rPr>
      </w:pPr>
    </w:p>
    <w:p w:rsidR="002A6E8C" w:rsidRPr="003A34CA" w:rsidRDefault="002A6E8C" w:rsidP="003A34CA">
      <w:pPr>
        <w:jc w:val="both"/>
        <w:rPr>
          <w:rFonts w:ascii="Arial" w:hAnsi="Arial" w:cs="Arial"/>
          <w:b/>
          <w:bCs/>
          <w:i/>
          <w:sz w:val="20"/>
          <w:szCs w:val="20"/>
          <w:lang w:val="es-MX"/>
        </w:rPr>
      </w:pPr>
      <w:r w:rsidRPr="003A34CA">
        <w:rPr>
          <w:rFonts w:ascii="Arial" w:hAnsi="Arial" w:cs="Arial"/>
          <w:b/>
          <w:bCs/>
          <w:i/>
          <w:sz w:val="20"/>
          <w:szCs w:val="20"/>
          <w:lang w:val="es-MX"/>
        </w:rPr>
        <w:lastRenderedPageBreak/>
        <w:t>Delitos contra mecanismos de participación democrática</w:t>
      </w:r>
    </w:p>
    <w:p w:rsidR="002A6E8C" w:rsidRDefault="008C2FF4" w:rsidP="00254703">
      <w:pPr>
        <w:jc w:val="center"/>
      </w:pPr>
      <w:r>
        <w:rPr>
          <w:noProof/>
        </w:rPr>
        <w:drawing>
          <wp:inline distT="0" distB="0" distL="0" distR="0">
            <wp:extent cx="5400675" cy="2733675"/>
            <wp:effectExtent l="0" t="0" r="9525" b="9525"/>
            <wp:docPr id="12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00675" cy="2733675"/>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Bases de Datos entregadas por la Fiscalía General de la Nación – FGN</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55796E" w:rsidRDefault="002A6E8C" w:rsidP="00F6518F">
      <w:pPr>
        <w:rPr>
          <w:lang w:val="es-MX"/>
        </w:rPr>
      </w:pPr>
    </w:p>
    <w:p w:rsidR="002A6E8C" w:rsidRDefault="002A6E8C" w:rsidP="00193E51">
      <w:pPr>
        <w:rPr>
          <w:lang w:val="es-MX"/>
        </w:rPr>
      </w:pPr>
    </w:p>
    <w:p w:rsidR="002A6E8C" w:rsidRDefault="002A6E8C" w:rsidP="00193E51">
      <w:pPr>
        <w:rPr>
          <w:lang w:val="es-MX"/>
        </w:rPr>
      </w:pPr>
    </w:p>
    <w:p w:rsidR="002A6E8C" w:rsidRDefault="002A6E8C" w:rsidP="00193E51">
      <w:pPr>
        <w:rPr>
          <w:lang w:val="es-MX"/>
        </w:rPr>
      </w:pPr>
    </w:p>
    <w:p w:rsidR="002A6E8C" w:rsidRDefault="002A6E8C" w:rsidP="00193E51">
      <w:pPr>
        <w:rPr>
          <w:lang w:val="es-MX"/>
        </w:rPr>
      </w:pPr>
    </w:p>
    <w:p w:rsidR="002A6E8C" w:rsidRDefault="002A6E8C" w:rsidP="00193E51">
      <w:pPr>
        <w:rPr>
          <w:lang w:val="es-MX"/>
        </w:rPr>
      </w:pPr>
    </w:p>
    <w:p w:rsidR="002A6E8C" w:rsidRDefault="002A6E8C" w:rsidP="00193E51">
      <w:pPr>
        <w:rPr>
          <w:lang w:val="es-MX"/>
        </w:rPr>
      </w:pPr>
    </w:p>
    <w:p w:rsidR="002A6E8C" w:rsidRDefault="002A6E8C" w:rsidP="00193E51">
      <w:pPr>
        <w:rPr>
          <w:lang w:val="es-MX"/>
        </w:rPr>
      </w:pPr>
    </w:p>
    <w:p w:rsidR="002A6E8C" w:rsidRDefault="002A6E8C" w:rsidP="00193E51">
      <w:pPr>
        <w:rPr>
          <w:lang w:val="es-MX"/>
        </w:rPr>
        <w:sectPr w:rsidR="002A6E8C" w:rsidSect="0064416F">
          <w:pgSz w:w="12240" w:h="15840" w:code="1"/>
          <w:pgMar w:top="1417" w:right="1701" w:bottom="1417" w:left="1701" w:header="708" w:footer="708" w:gutter="0"/>
          <w:cols w:space="708"/>
          <w:docGrid w:linePitch="360"/>
        </w:sectPr>
      </w:pPr>
    </w:p>
    <w:p w:rsidR="002A6E8C" w:rsidRPr="00166452" w:rsidRDefault="002A6E8C" w:rsidP="00B45FA4">
      <w:pPr>
        <w:pStyle w:val="Ttulo1"/>
        <w:numPr>
          <w:ilvl w:val="0"/>
          <w:numId w:val="10"/>
        </w:numPr>
        <w:rPr>
          <w:color w:val="800080"/>
          <w:u w:val="single"/>
          <w:lang w:val="es-MX"/>
        </w:rPr>
      </w:pPr>
      <w:bookmarkStart w:id="36" w:name="_Toc315681405"/>
      <w:r w:rsidRPr="00166452">
        <w:rPr>
          <w:color w:val="800080"/>
          <w:u w:val="single"/>
          <w:lang w:val="es-MX"/>
        </w:rPr>
        <w:lastRenderedPageBreak/>
        <w:t>INFORME  MINISTERIO DE JUSTICIA</w:t>
      </w:r>
      <w:bookmarkEnd w:id="36"/>
    </w:p>
    <w:p w:rsidR="002A6E8C" w:rsidRDefault="002A6E8C" w:rsidP="00166452">
      <w:pPr>
        <w:jc w:val="both"/>
        <w:rPr>
          <w:rFonts w:ascii="Arial" w:hAnsi="Arial" w:cs="Arial"/>
          <w:lang w:val="es-MX"/>
        </w:rPr>
      </w:pPr>
    </w:p>
    <w:p w:rsidR="002A6E8C" w:rsidRPr="00166452" w:rsidRDefault="002A6E8C" w:rsidP="00166452">
      <w:pPr>
        <w:jc w:val="both"/>
        <w:rPr>
          <w:lang w:eastAsia="es-ES"/>
        </w:rPr>
      </w:pPr>
      <w:r w:rsidRPr="00166452">
        <w:rPr>
          <w:rFonts w:ascii="Arial" w:hAnsi="Arial" w:cs="Arial"/>
          <w:lang w:val="es-MX"/>
        </w:rPr>
        <w:t>El ministerio de justicia hace entrega de información para 2 indicadores en el periodo 2007 a 2011.</w:t>
      </w:r>
    </w:p>
    <w:p w:rsidR="002A6E8C" w:rsidRPr="00166452" w:rsidRDefault="002A6E8C" w:rsidP="00166452">
      <w:pPr>
        <w:jc w:val="both"/>
        <w:rPr>
          <w:rFonts w:ascii="Arial" w:hAnsi="Arial" w:cs="Arial"/>
          <w:lang w:val="es-MX"/>
        </w:rPr>
      </w:pPr>
      <w:r w:rsidRPr="00166452">
        <w:rPr>
          <w:rFonts w:ascii="Arial" w:hAnsi="Arial" w:cs="Arial"/>
          <w:lang w:val="es-MX"/>
        </w:rPr>
        <w:t>Los indicadores que aún están pendientes por la entrega de los datos son:</w:t>
      </w:r>
    </w:p>
    <w:p w:rsidR="002A6E8C" w:rsidRPr="00166452" w:rsidRDefault="002A6E8C" w:rsidP="00166452">
      <w:pPr>
        <w:pStyle w:val="Prrafodelista"/>
        <w:numPr>
          <w:ilvl w:val="0"/>
          <w:numId w:val="13"/>
        </w:numPr>
        <w:jc w:val="both"/>
        <w:rPr>
          <w:rFonts w:ascii="Arial" w:hAnsi="Arial" w:cs="Arial"/>
          <w:sz w:val="20"/>
          <w:szCs w:val="20"/>
          <w:lang w:val="es-MX"/>
        </w:rPr>
      </w:pPr>
      <w:r w:rsidRPr="00166452">
        <w:rPr>
          <w:rFonts w:ascii="Arial" w:hAnsi="Arial" w:cs="Arial"/>
          <w:sz w:val="20"/>
          <w:szCs w:val="20"/>
          <w:lang w:val="es-MX"/>
        </w:rPr>
        <w:t>Porcentaje de trámites de conciliación en materia penal según rango edad del solicitante</w:t>
      </w:r>
    </w:p>
    <w:p w:rsidR="002A6E8C" w:rsidRPr="00166452" w:rsidRDefault="002A6E8C" w:rsidP="00166452">
      <w:pPr>
        <w:pStyle w:val="Prrafodelista"/>
        <w:numPr>
          <w:ilvl w:val="0"/>
          <w:numId w:val="13"/>
        </w:numPr>
        <w:jc w:val="both"/>
        <w:rPr>
          <w:rFonts w:ascii="Arial" w:hAnsi="Arial" w:cs="Arial"/>
          <w:sz w:val="20"/>
          <w:szCs w:val="20"/>
          <w:lang w:val="es-MX"/>
        </w:rPr>
      </w:pPr>
      <w:r w:rsidRPr="00166452">
        <w:rPr>
          <w:rFonts w:ascii="Arial" w:hAnsi="Arial" w:cs="Arial"/>
          <w:sz w:val="20"/>
          <w:szCs w:val="20"/>
          <w:lang w:val="es-MX"/>
        </w:rPr>
        <w:t>Porcentaje de trámites de conciliación en materia penal según nivel de escolaridad del solicitante</w:t>
      </w:r>
    </w:p>
    <w:p w:rsidR="002A6E8C" w:rsidRPr="00166452" w:rsidRDefault="002A6E8C" w:rsidP="00166452">
      <w:pPr>
        <w:pStyle w:val="Prrafodelista"/>
        <w:numPr>
          <w:ilvl w:val="0"/>
          <w:numId w:val="13"/>
        </w:numPr>
        <w:jc w:val="both"/>
        <w:rPr>
          <w:rFonts w:ascii="Arial" w:hAnsi="Arial" w:cs="Arial"/>
          <w:sz w:val="20"/>
          <w:szCs w:val="20"/>
          <w:lang w:val="es-MX"/>
        </w:rPr>
      </w:pPr>
      <w:r w:rsidRPr="00166452">
        <w:rPr>
          <w:rFonts w:ascii="Arial" w:hAnsi="Arial" w:cs="Arial"/>
          <w:sz w:val="20"/>
          <w:szCs w:val="20"/>
          <w:lang w:val="es-MX"/>
        </w:rPr>
        <w:t>Porcentaje de trámites de conciliación en materia penal según sexo del solicitante</w:t>
      </w:r>
    </w:p>
    <w:p w:rsidR="002A6E8C" w:rsidRPr="00166452" w:rsidRDefault="002A6E8C" w:rsidP="00166452">
      <w:pPr>
        <w:jc w:val="both"/>
        <w:rPr>
          <w:rFonts w:ascii="Arial" w:hAnsi="Arial" w:cs="Arial"/>
          <w:lang w:val="es-MX"/>
        </w:rPr>
      </w:pPr>
      <w:r w:rsidRPr="00166452">
        <w:rPr>
          <w:rFonts w:ascii="Arial" w:hAnsi="Arial" w:cs="Arial"/>
          <w:lang w:val="es-MX"/>
        </w:rPr>
        <w:t>A continuación se detallan los dos indicadores de los cuales se reportan datos.</w:t>
      </w:r>
    </w:p>
    <w:p w:rsidR="002A6E8C" w:rsidRPr="00824290" w:rsidRDefault="002A6E8C" w:rsidP="00824290">
      <w:pPr>
        <w:pStyle w:val="Ttulo2"/>
        <w:numPr>
          <w:ilvl w:val="1"/>
          <w:numId w:val="10"/>
        </w:numPr>
        <w:jc w:val="both"/>
        <w:rPr>
          <w:color w:val="auto"/>
          <w:lang w:eastAsia="es-ES"/>
        </w:rPr>
      </w:pPr>
      <w:bookmarkStart w:id="37" w:name="_Toc315681406"/>
      <w:r w:rsidRPr="00824290">
        <w:rPr>
          <w:color w:val="auto"/>
          <w:lang w:eastAsia="es-ES"/>
        </w:rPr>
        <w:t>Porcentaje de trámites de conciliación en materia penal según tipo penal</w:t>
      </w:r>
      <w:bookmarkEnd w:id="37"/>
    </w:p>
    <w:p w:rsidR="002A6E8C" w:rsidRDefault="002A6E8C">
      <w:pPr>
        <w:rPr>
          <w:rFonts w:ascii="Arial" w:hAnsi="Arial" w:cs="Arial"/>
          <w:b/>
          <w:bCs/>
          <w:sz w:val="20"/>
          <w:szCs w:val="20"/>
          <w:lang w:val="es-MX"/>
        </w:rPr>
      </w:pPr>
    </w:p>
    <w:p w:rsidR="002A6E8C" w:rsidRPr="00166452" w:rsidRDefault="002A6E8C" w:rsidP="00166452">
      <w:pPr>
        <w:rPr>
          <w:noProof/>
          <w:szCs w:val="24"/>
          <w:lang w:val="es-MX" w:eastAsia="en-US"/>
        </w:rPr>
        <w:sectPr w:rsidR="002A6E8C" w:rsidRPr="00166452" w:rsidSect="0064416F">
          <w:pgSz w:w="12240" w:h="15840" w:code="1"/>
          <w:pgMar w:top="1417" w:right="1701" w:bottom="1417" w:left="1701" w:header="708" w:footer="708" w:gutter="0"/>
          <w:cols w:space="708"/>
          <w:docGrid w:linePitch="360"/>
        </w:sectPr>
      </w:pPr>
      <w:r>
        <w:rPr>
          <w:rFonts w:ascii="Arial" w:hAnsi="Arial" w:cs="Arial"/>
          <w:b/>
          <w:bCs/>
          <w:sz w:val="20"/>
          <w:szCs w:val="20"/>
          <w:lang w:val="es-MX"/>
        </w:rPr>
        <w:t>Distribución del t</w:t>
      </w:r>
      <w:r w:rsidRPr="003A34CA">
        <w:rPr>
          <w:rFonts w:ascii="Arial" w:hAnsi="Arial" w:cs="Arial"/>
          <w:b/>
          <w:bCs/>
          <w:sz w:val="20"/>
          <w:szCs w:val="20"/>
          <w:lang w:val="es-MX"/>
        </w:rPr>
        <w:t>otal de trámites de conciliación en materia</w:t>
      </w:r>
      <w:r w:rsidRPr="00166452">
        <w:rPr>
          <w:rFonts w:ascii="Arial" w:hAnsi="Arial" w:cs="Arial"/>
          <w:b/>
          <w:bCs/>
          <w:sz w:val="20"/>
          <w:szCs w:val="20"/>
          <w:lang w:val="es-MX"/>
        </w:rPr>
        <w:t xml:space="preserve"> Penal</w:t>
      </w:r>
      <w:r>
        <w:rPr>
          <w:rFonts w:ascii="Arial" w:hAnsi="Arial" w:cs="Arial"/>
          <w:b/>
          <w:bCs/>
          <w:sz w:val="20"/>
          <w:szCs w:val="20"/>
          <w:lang w:val="es-MX"/>
        </w:rPr>
        <w:t xml:space="preserve"> (Izq.) y crecimiento anual del t</w:t>
      </w:r>
      <w:r w:rsidRPr="003A34CA">
        <w:rPr>
          <w:rFonts w:ascii="Arial" w:hAnsi="Arial" w:cs="Arial"/>
          <w:b/>
          <w:bCs/>
          <w:sz w:val="20"/>
          <w:szCs w:val="20"/>
          <w:lang w:val="es-MX"/>
        </w:rPr>
        <w:t>otal de trámites de conciliación en materia</w:t>
      </w:r>
      <w:r w:rsidRPr="00166452">
        <w:rPr>
          <w:rFonts w:ascii="Arial" w:hAnsi="Arial" w:cs="Arial"/>
          <w:b/>
          <w:bCs/>
          <w:sz w:val="20"/>
          <w:szCs w:val="20"/>
          <w:lang w:val="es-MX"/>
        </w:rPr>
        <w:t xml:space="preserve"> Penal</w:t>
      </w:r>
      <w:r>
        <w:rPr>
          <w:rFonts w:ascii="Arial" w:hAnsi="Arial" w:cs="Arial"/>
          <w:b/>
          <w:bCs/>
          <w:sz w:val="20"/>
          <w:szCs w:val="20"/>
          <w:lang w:val="es-MX"/>
        </w:rPr>
        <w:t xml:space="preserve"> </w:t>
      </w:r>
      <w:r w:rsidRPr="00166452">
        <w:rPr>
          <w:b/>
          <w:noProof/>
          <w:szCs w:val="24"/>
          <w:lang w:val="es-MX" w:eastAsia="en-US"/>
        </w:rPr>
        <w:t>(Der)</w:t>
      </w:r>
    </w:p>
    <w:p w:rsidR="002A6E8C" w:rsidRDefault="008C2FF4" w:rsidP="00166452">
      <w:pPr>
        <w:ind w:left="-284"/>
        <w:jc w:val="center"/>
        <w:rPr>
          <w:noProof/>
          <w:szCs w:val="24"/>
          <w:lang w:val="en-US" w:eastAsia="en-US"/>
        </w:rPr>
      </w:pPr>
      <w:r>
        <w:rPr>
          <w:noProof/>
          <w:szCs w:val="24"/>
        </w:rPr>
        <w:lastRenderedPageBreak/>
        <w:drawing>
          <wp:inline distT="0" distB="0" distL="0" distR="0">
            <wp:extent cx="2981325" cy="1847850"/>
            <wp:effectExtent l="0" t="0" r="9525" b="0"/>
            <wp:docPr id="12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81325" cy="1847850"/>
                    </a:xfrm>
                    <a:prstGeom prst="rect">
                      <a:avLst/>
                    </a:prstGeom>
                    <a:noFill/>
                    <a:ln>
                      <a:noFill/>
                    </a:ln>
                  </pic:spPr>
                </pic:pic>
              </a:graphicData>
            </a:graphic>
          </wp:inline>
        </w:drawing>
      </w:r>
    </w:p>
    <w:p w:rsidR="002A6E8C" w:rsidRDefault="008C2FF4" w:rsidP="00166452">
      <w:pPr>
        <w:jc w:val="center"/>
        <w:rPr>
          <w:rFonts w:ascii="Arial" w:hAnsi="Arial" w:cs="Arial"/>
          <w:sz w:val="24"/>
          <w:szCs w:val="24"/>
        </w:rPr>
      </w:pPr>
      <w:r>
        <w:rPr>
          <w:noProof/>
          <w:szCs w:val="24"/>
        </w:rPr>
        <w:lastRenderedPageBreak/>
        <w:drawing>
          <wp:inline distT="0" distB="0" distL="0" distR="0">
            <wp:extent cx="2847975" cy="184785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47975" cy="1847850"/>
                    </a:xfrm>
                    <a:prstGeom prst="rect">
                      <a:avLst/>
                    </a:prstGeom>
                    <a:noFill/>
                    <a:ln>
                      <a:noFill/>
                    </a:ln>
                  </pic:spPr>
                </pic:pic>
              </a:graphicData>
            </a:graphic>
          </wp:inline>
        </w:drawing>
      </w:r>
    </w:p>
    <w:p w:rsidR="002A6E8C" w:rsidRDefault="002A6E8C" w:rsidP="0055796E">
      <w:pPr>
        <w:spacing w:after="0" w:line="240" w:lineRule="auto"/>
        <w:jc w:val="center"/>
        <w:rPr>
          <w:rFonts w:ascii="Arial" w:hAnsi="Arial" w:cs="Arial"/>
          <w:sz w:val="16"/>
          <w:szCs w:val="16"/>
          <w:lang w:val="es-MX"/>
        </w:rPr>
        <w:sectPr w:rsidR="002A6E8C" w:rsidSect="00166452">
          <w:type w:val="continuous"/>
          <w:pgSz w:w="12240" w:h="15840" w:code="1"/>
          <w:pgMar w:top="1417" w:right="1325" w:bottom="1417" w:left="1701" w:header="708" w:footer="708" w:gutter="0"/>
          <w:cols w:num="2" w:space="142"/>
          <w:docGrid w:linePitch="360"/>
        </w:sectPr>
      </w:pPr>
    </w:p>
    <w:p w:rsidR="002A6E8C" w:rsidRDefault="002A6E8C" w:rsidP="0055796E">
      <w:pPr>
        <w:spacing w:after="0" w:line="240" w:lineRule="auto"/>
        <w:jc w:val="center"/>
        <w:rPr>
          <w:rFonts w:ascii="Arial" w:hAnsi="Arial" w:cs="Arial"/>
          <w:sz w:val="16"/>
          <w:szCs w:val="16"/>
          <w:lang w:val="es-MX"/>
        </w:rPr>
      </w:pPr>
      <w:r w:rsidRPr="003147B1">
        <w:rPr>
          <w:rFonts w:ascii="Arial" w:hAnsi="Arial" w:cs="Arial"/>
          <w:sz w:val="16"/>
          <w:szCs w:val="16"/>
          <w:lang w:val="es-MX"/>
        </w:rPr>
        <w:lastRenderedPageBreak/>
        <w:t xml:space="preserve">Fuente: </w:t>
      </w:r>
      <w:r>
        <w:rPr>
          <w:rFonts w:ascii="Arial" w:hAnsi="Arial" w:cs="Arial"/>
          <w:sz w:val="16"/>
          <w:szCs w:val="16"/>
          <w:lang w:val="es-MX"/>
        </w:rPr>
        <w:t xml:space="preserve">Ministerio de Justicia </w:t>
      </w:r>
    </w:p>
    <w:p w:rsidR="002A6E8C" w:rsidRDefault="002A6E8C" w:rsidP="0055796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Pr="00166452" w:rsidRDefault="002A6E8C" w:rsidP="00166452">
      <w:pPr>
        <w:rPr>
          <w:rFonts w:ascii="Arial" w:hAnsi="Arial" w:cs="Arial"/>
          <w:b/>
          <w:bCs/>
          <w:sz w:val="20"/>
          <w:szCs w:val="20"/>
          <w:lang w:val="es-MX"/>
        </w:rPr>
      </w:pPr>
      <w:r w:rsidRPr="00166452">
        <w:rPr>
          <w:rFonts w:ascii="Arial" w:hAnsi="Arial" w:cs="Arial"/>
          <w:b/>
          <w:bCs/>
          <w:sz w:val="20"/>
          <w:szCs w:val="20"/>
          <w:lang w:val="es-MX"/>
        </w:rPr>
        <w:t>Porcentaje de trámites de conciliación en materia penal según tipo penal – Año 2010</w:t>
      </w:r>
    </w:p>
    <w:p w:rsidR="002A6E8C" w:rsidRDefault="002A6E8C" w:rsidP="00820FBD">
      <w:pPr>
        <w:spacing w:after="0" w:line="240" w:lineRule="auto"/>
        <w:jc w:val="center"/>
        <w:rPr>
          <w:rFonts w:ascii="Arial" w:hAnsi="Arial" w:cs="Arial"/>
          <w:sz w:val="16"/>
          <w:szCs w:val="16"/>
          <w:lang w:val="es-MX"/>
        </w:rPr>
      </w:pPr>
    </w:p>
    <w:p w:rsidR="002A6E8C" w:rsidRDefault="008C2FF4" w:rsidP="00820FBD">
      <w:pPr>
        <w:spacing w:after="0" w:line="240" w:lineRule="auto"/>
        <w:jc w:val="center"/>
        <w:rPr>
          <w:rFonts w:ascii="Arial" w:hAnsi="Arial" w:cs="Arial"/>
          <w:sz w:val="16"/>
          <w:szCs w:val="16"/>
          <w:lang w:val="es-MX"/>
        </w:rPr>
      </w:pPr>
      <w:r>
        <w:rPr>
          <w:noProof/>
          <w:szCs w:val="16"/>
        </w:rPr>
        <w:drawing>
          <wp:inline distT="0" distB="0" distL="0" distR="0">
            <wp:extent cx="5391150" cy="5772150"/>
            <wp:effectExtent l="0" t="0" r="0" b="0"/>
            <wp:docPr id="12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91150" cy="5772150"/>
                    </a:xfrm>
                    <a:prstGeom prst="rect">
                      <a:avLst/>
                    </a:prstGeom>
                    <a:noFill/>
                    <a:ln>
                      <a:noFill/>
                    </a:ln>
                  </pic:spPr>
                </pic:pic>
              </a:graphicData>
            </a:graphic>
          </wp:inline>
        </w:drawing>
      </w:r>
    </w:p>
    <w:p w:rsidR="002A6E8C" w:rsidRDefault="002A6E8C" w:rsidP="00820FBD">
      <w:pPr>
        <w:spacing w:after="0" w:line="240" w:lineRule="auto"/>
        <w:jc w:val="center"/>
        <w:rPr>
          <w:rFonts w:ascii="Arial" w:hAnsi="Arial" w:cs="Arial"/>
          <w:sz w:val="16"/>
          <w:szCs w:val="16"/>
          <w:lang w:val="es-MX"/>
        </w:rPr>
      </w:pPr>
    </w:p>
    <w:p w:rsidR="002A6E8C" w:rsidRDefault="002A6E8C" w:rsidP="00A378CE">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Ministerio de Justicia y Paz</w:t>
      </w:r>
    </w:p>
    <w:p w:rsidR="002A6E8C" w:rsidRDefault="002A6E8C" w:rsidP="00A378CE">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Default="002A6E8C" w:rsidP="00820FBD">
      <w:pPr>
        <w:spacing w:after="0" w:line="240" w:lineRule="auto"/>
        <w:jc w:val="center"/>
        <w:rPr>
          <w:rFonts w:ascii="Arial" w:hAnsi="Arial" w:cs="Arial"/>
          <w:sz w:val="16"/>
          <w:szCs w:val="16"/>
          <w:lang w:val="es-MX"/>
        </w:rPr>
      </w:pPr>
    </w:p>
    <w:p w:rsidR="002A6E8C" w:rsidRDefault="002A6E8C" w:rsidP="00820FBD">
      <w:pPr>
        <w:spacing w:after="0" w:line="240" w:lineRule="auto"/>
        <w:jc w:val="center"/>
        <w:rPr>
          <w:rFonts w:ascii="Arial" w:hAnsi="Arial" w:cs="Arial"/>
          <w:sz w:val="16"/>
          <w:szCs w:val="16"/>
          <w:lang w:val="es-MX"/>
        </w:rPr>
      </w:pPr>
    </w:p>
    <w:p w:rsidR="002A6E8C" w:rsidRPr="00820FBD" w:rsidRDefault="002A6E8C" w:rsidP="0055796E">
      <w:pPr>
        <w:jc w:val="center"/>
        <w:rPr>
          <w:rFonts w:ascii="Arial" w:hAnsi="Arial" w:cs="Arial"/>
          <w:sz w:val="24"/>
          <w:szCs w:val="24"/>
          <w:lang w:val="es-MX"/>
        </w:rPr>
      </w:pPr>
    </w:p>
    <w:p w:rsidR="002A6E8C" w:rsidRDefault="002A6E8C" w:rsidP="0055796E">
      <w:pPr>
        <w:jc w:val="center"/>
        <w:rPr>
          <w:rFonts w:ascii="Arial" w:hAnsi="Arial" w:cs="Arial"/>
          <w:sz w:val="24"/>
          <w:szCs w:val="24"/>
        </w:rPr>
      </w:pPr>
    </w:p>
    <w:p w:rsidR="002A6E8C" w:rsidRDefault="002A6E8C" w:rsidP="0055796E">
      <w:pPr>
        <w:jc w:val="center"/>
        <w:rPr>
          <w:rFonts w:ascii="Arial" w:hAnsi="Arial" w:cs="Arial"/>
          <w:sz w:val="24"/>
          <w:szCs w:val="24"/>
        </w:rPr>
      </w:pPr>
    </w:p>
    <w:p w:rsidR="002A6E8C" w:rsidRDefault="002A6E8C" w:rsidP="00824290">
      <w:pPr>
        <w:pStyle w:val="Ttulo2"/>
        <w:numPr>
          <w:ilvl w:val="1"/>
          <w:numId w:val="10"/>
        </w:numPr>
        <w:jc w:val="both"/>
        <w:rPr>
          <w:color w:val="auto"/>
          <w:lang w:eastAsia="es-ES"/>
        </w:rPr>
      </w:pPr>
      <w:bookmarkStart w:id="38" w:name="_Toc315681407"/>
      <w:r w:rsidRPr="00824290">
        <w:rPr>
          <w:color w:val="auto"/>
          <w:lang w:eastAsia="es-ES"/>
        </w:rPr>
        <w:t>Porcentaje de trámites de conciliación en materia penal según tipo de salida</w:t>
      </w:r>
      <w:bookmarkEnd w:id="38"/>
    </w:p>
    <w:p w:rsidR="002A6E8C" w:rsidRDefault="002A6E8C" w:rsidP="00A378CE">
      <w:pPr>
        <w:rPr>
          <w:lang w:eastAsia="es-ES"/>
        </w:rPr>
      </w:pPr>
    </w:p>
    <w:p w:rsidR="002A6E8C" w:rsidRDefault="008C2FF4" w:rsidP="0091176D">
      <w:pPr>
        <w:jc w:val="center"/>
        <w:rPr>
          <w:lang w:eastAsia="es-ES"/>
        </w:rPr>
      </w:pPr>
      <w:r>
        <w:rPr>
          <w:noProof/>
        </w:rPr>
        <w:lastRenderedPageBreak/>
        <w:drawing>
          <wp:inline distT="0" distB="0" distL="0" distR="0">
            <wp:extent cx="5353050" cy="2686050"/>
            <wp:effectExtent l="0" t="0" r="0" b="0"/>
            <wp:docPr id="129"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53050" cy="2686050"/>
                    </a:xfrm>
                    <a:prstGeom prst="rect">
                      <a:avLst/>
                    </a:prstGeom>
                    <a:noFill/>
                    <a:ln>
                      <a:noFill/>
                    </a:ln>
                  </pic:spPr>
                </pic:pic>
              </a:graphicData>
            </a:graphic>
          </wp:inline>
        </w:drawing>
      </w:r>
    </w:p>
    <w:p w:rsidR="002A6E8C" w:rsidRDefault="002A6E8C" w:rsidP="0091176D">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Ministerio de Justicia y Paz</w:t>
      </w:r>
    </w:p>
    <w:p w:rsidR="002A6E8C" w:rsidRDefault="002A6E8C" w:rsidP="0091176D">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91176D" w:rsidRDefault="002A6E8C" w:rsidP="00A378CE">
      <w:pPr>
        <w:rPr>
          <w:lang w:val="es-MX" w:eastAsia="es-ES"/>
        </w:rPr>
      </w:pPr>
    </w:p>
    <w:p w:rsidR="002A6E8C" w:rsidRPr="0091176D" w:rsidRDefault="002A6E8C" w:rsidP="00A378CE">
      <w:pPr>
        <w:rPr>
          <w:rFonts w:ascii="Arial" w:hAnsi="Arial" w:cs="Arial"/>
          <w:bCs/>
          <w:sz w:val="20"/>
          <w:szCs w:val="20"/>
          <w:lang w:val="es-MX"/>
        </w:rPr>
      </w:pPr>
      <w:r>
        <w:rPr>
          <w:rFonts w:ascii="Arial" w:hAnsi="Arial" w:cs="Arial"/>
          <w:bCs/>
          <w:sz w:val="20"/>
          <w:szCs w:val="20"/>
          <w:lang w:val="es-MX"/>
        </w:rPr>
        <w:t>El comportamiento para el año 2010 en el p</w:t>
      </w:r>
      <w:r w:rsidRPr="0091176D">
        <w:rPr>
          <w:rFonts w:ascii="Arial" w:hAnsi="Arial" w:cs="Arial"/>
          <w:bCs/>
          <w:sz w:val="20"/>
          <w:szCs w:val="20"/>
          <w:lang w:val="es-MX"/>
        </w:rPr>
        <w:t>orcentaje de trámites de conciliación en materia penal según tipo de salida</w:t>
      </w:r>
      <w:r>
        <w:rPr>
          <w:rFonts w:ascii="Arial" w:hAnsi="Arial" w:cs="Arial"/>
          <w:bCs/>
          <w:sz w:val="20"/>
          <w:szCs w:val="20"/>
          <w:lang w:val="es-MX"/>
        </w:rPr>
        <w:t>, se ve reflejado en el siguiente gráfico.</w:t>
      </w:r>
    </w:p>
    <w:p w:rsidR="002A6E8C" w:rsidRDefault="008C2FF4" w:rsidP="0091176D">
      <w:pPr>
        <w:jc w:val="center"/>
        <w:rPr>
          <w:noProof/>
          <w:lang w:val="en-US" w:eastAsia="en-US"/>
        </w:rPr>
      </w:pPr>
      <w:r>
        <w:rPr>
          <w:noProof/>
        </w:rPr>
        <w:drawing>
          <wp:inline distT="0" distB="0" distL="0" distR="0">
            <wp:extent cx="4572635" cy="2746375"/>
            <wp:effectExtent l="0" t="0" r="18415" b="15875"/>
            <wp:docPr id="130"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2A6E8C" w:rsidRDefault="002A6E8C" w:rsidP="0091176D">
      <w:pPr>
        <w:spacing w:after="0" w:line="240" w:lineRule="auto"/>
        <w:jc w:val="center"/>
        <w:rPr>
          <w:rFonts w:ascii="Arial" w:hAnsi="Arial" w:cs="Arial"/>
          <w:sz w:val="16"/>
          <w:szCs w:val="16"/>
          <w:lang w:val="es-MX"/>
        </w:rPr>
      </w:pPr>
      <w:r w:rsidRPr="003147B1">
        <w:rPr>
          <w:rFonts w:ascii="Arial" w:hAnsi="Arial" w:cs="Arial"/>
          <w:sz w:val="16"/>
          <w:szCs w:val="16"/>
          <w:lang w:val="es-MX"/>
        </w:rPr>
        <w:t xml:space="preserve">Fuente: </w:t>
      </w:r>
      <w:r>
        <w:rPr>
          <w:rFonts w:ascii="Arial" w:hAnsi="Arial" w:cs="Arial"/>
          <w:sz w:val="16"/>
          <w:szCs w:val="16"/>
          <w:lang w:val="es-MX"/>
        </w:rPr>
        <w:t>Ministerio de Justicia y Paz</w:t>
      </w:r>
    </w:p>
    <w:p w:rsidR="002A6E8C" w:rsidRDefault="002A6E8C" w:rsidP="0091176D">
      <w:pPr>
        <w:spacing w:after="0" w:line="240" w:lineRule="auto"/>
        <w:jc w:val="center"/>
        <w:rPr>
          <w:rFonts w:ascii="Arial" w:hAnsi="Arial" w:cs="Arial"/>
          <w:sz w:val="16"/>
          <w:szCs w:val="16"/>
          <w:lang w:val="es-MX"/>
        </w:rPr>
      </w:pPr>
      <w:r>
        <w:rPr>
          <w:rFonts w:ascii="Arial" w:hAnsi="Arial" w:cs="Arial"/>
          <w:sz w:val="16"/>
          <w:szCs w:val="16"/>
          <w:lang w:val="es-MX"/>
        </w:rPr>
        <w:t>Cálculos realizados por Unidad de Desarrollo</w:t>
      </w:r>
    </w:p>
    <w:p w:rsidR="002A6E8C" w:rsidRPr="0091176D" w:rsidRDefault="002A6E8C" w:rsidP="00A378CE">
      <w:pPr>
        <w:rPr>
          <w:lang w:val="es-MX" w:eastAsia="es-ES"/>
        </w:rPr>
      </w:pPr>
    </w:p>
    <w:sectPr w:rsidR="002A6E8C" w:rsidRPr="0091176D" w:rsidSect="00166452">
      <w:type w:val="continuous"/>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D8D" w:rsidRDefault="00D22D8D" w:rsidP="00915CFB">
      <w:pPr>
        <w:spacing w:after="0" w:line="240" w:lineRule="auto"/>
      </w:pPr>
      <w:r>
        <w:separator/>
      </w:r>
    </w:p>
  </w:endnote>
  <w:endnote w:type="continuationSeparator" w:id="0">
    <w:p w:rsidR="00D22D8D" w:rsidRDefault="00D22D8D" w:rsidP="00915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E8C" w:rsidRPr="00284A1B" w:rsidRDefault="002A6E8C">
    <w:pPr>
      <w:pStyle w:val="Piedepgina"/>
      <w:jc w:val="right"/>
      <w:rPr>
        <w:rFonts w:ascii="Arial" w:hAnsi="Arial" w:cs="Arial"/>
        <w:sz w:val="20"/>
        <w:szCs w:val="20"/>
      </w:rPr>
    </w:pPr>
    <w:r w:rsidRPr="00284A1B">
      <w:rPr>
        <w:rFonts w:ascii="Arial" w:hAnsi="Arial" w:cs="Arial"/>
        <w:sz w:val="20"/>
        <w:szCs w:val="20"/>
      </w:rPr>
      <w:fldChar w:fldCharType="begin"/>
    </w:r>
    <w:r w:rsidRPr="00284A1B">
      <w:rPr>
        <w:rFonts w:ascii="Arial" w:hAnsi="Arial" w:cs="Arial"/>
        <w:sz w:val="20"/>
        <w:szCs w:val="20"/>
      </w:rPr>
      <w:instrText>PAGE   \* MERGEFORMAT</w:instrText>
    </w:r>
    <w:r w:rsidRPr="00284A1B">
      <w:rPr>
        <w:rFonts w:ascii="Arial" w:hAnsi="Arial" w:cs="Arial"/>
        <w:sz w:val="20"/>
        <w:szCs w:val="20"/>
      </w:rPr>
      <w:fldChar w:fldCharType="separate"/>
    </w:r>
    <w:r w:rsidR="00467437">
      <w:rPr>
        <w:rFonts w:ascii="Arial" w:hAnsi="Arial" w:cs="Arial"/>
        <w:noProof/>
        <w:sz w:val="20"/>
        <w:szCs w:val="20"/>
      </w:rPr>
      <w:t>1</w:t>
    </w:r>
    <w:r w:rsidRPr="00284A1B">
      <w:rPr>
        <w:rFonts w:ascii="Arial" w:hAnsi="Arial" w:cs="Arial"/>
        <w:sz w:val="20"/>
        <w:szCs w:val="20"/>
      </w:rPr>
      <w:fldChar w:fldCharType="end"/>
    </w:r>
  </w:p>
  <w:p w:rsidR="002A6E8C" w:rsidRDefault="002A6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D8D" w:rsidRDefault="00D22D8D" w:rsidP="00915CFB">
      <w:pPr>
        <w:spacing w:after="0" w:line="240" w:lineRule="auto"/>
      </w:pPr>
      <w:r>
        <w:separator/>
      </w:r>
    </w:p>
  </w:footnote>
  <w:footnote w:type="continuationSeparator" w:id="0">
    <w:p w:rsidR="00D22D8D" w:rsidRDefault="00D22D8D" w:rsidP="00915CFB">
      <w:pPr>
        <w:spacing w:after="0" w:line="240" w:lineRule="auto"/>
      </w:pPr>
      <w:r>
        <w:continuationSeparator/>
      </w:r>
    </w:p>
  </w:footnote>
  <w:footnote w:id="1">
    <w:p w:rsidR="002A6E8C" w:rsidRDefault="002A6E8C">
      <w:pPr>
        <w:pStyle w:val="Textonotapie"/>
      </w:pPr>
      <w:r>
        <w:rPr>
          <w:rStyle w:val="Refdenotaalpie"/>
        </w:rPr>
        <w:footnoteRef/>
      </w:r>
      <w:r w:rsidRPr="00532092">
        <w:rPr>
          <w:rFonts w:ascii="Arial" w:hAnsi="Arial" w:cs="Arial"/>
          <w:sz w:val="16"/>
          <w:szCs w:val="16"/>
          <w:lang w:val="es-MX"/>
        </w:rPr>
        <w:t>Corresponden a exámenes médico legales por presunto delito sexual</w:t>
      </w:r>
    </w:p>
  </w:footnote>
  <w:footnote w:id="2">
    <w:p w:rsidR="002A6E8C" w:rsidRDefault="002A6E8C" w:rsidP="00915CFB">
      <w:pPr>
        <w:pStyle w:val="Textonotapie"/>
        <w:jc w:val="both"/>
      </w:pPr>
      <w:r>
        <w:rPr>
          <w:rStyle w:val="Refdenotaalpie"/>
        </w:rPr>
        <w:footnoteRef/>
      </w:r>
      <w:r w:rsidRPr="00915CFB">
        <w:rPr>
          <w:rFonts w:ascii="Arial" w:hAnsi="Arial" w:cs="Arial"/>
          <w:sz w:val="16"/>
          <w:szCs w:val="16"/>
        </w:rPr>
        <w:t xml:space="preserve">La definición de homicidio aplicada por el INMLCF, desde el punto de vista médico legal es </w:t>
      </w:r>
      <w:r w:rsidRPr="00915CFB">
        <w:rPr>
          <w:rFonts w:ascii="Arial" w:hAnsi="Arial" w:cs="Arial"/>
          <w:i/>
          <w:sz w:val="16"/>
          <w:szCs w:val="16"/>
        </w:rPr>
        <w:t>“El que matare a otro”(Artículo 103, Cap. II, Código Penal Colombiano - Ley 599 de 2000);</w:t>
      </w:r>
      <w:r w:rsidRPr="00915CFB">
        <w:rPr>
          <w:rFonts w:ascii="Arial" w:hAnsi="Arial" w:cs="Arial"/>
          <w:sz w:val="16"/>
          <w:szCs w:val="16"/>
        </w:rPr>
        <w:t xml:space="preserve"> de forma intencional o no intencional.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A5FFE"/>
    <w:multiLevelType w:val="multilevel"/>
    <w:tmpl w:val="AEB0272A"/>
    <w:lvl w:ilvl="0">
      <w:start w:val="1"/>
      <w:numFmt w:val="decimal"/>
      <w:lvlText w:val="%1."/>
      <w:lvlJc w:val="left"/>
      <w:pPr>
        <w:ind w:left="720" w:hanging="360"/>
      </w:pPr>
      <w:rPr>
        <w:rFonts w:eastAsia="Times New Roman" w:cs="Times New Roman" w:hint="default"/>
        <w:i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0E9932CE"/>
    <w:multiLevelType w:val="multilevel"/>
    <w:tmpl w:val="AEB0272A"/>
    <w:lvl w:ilvl="0">
      <w:start w:val="1"/>
      <w:numFmt w:val="decimal"/>
      <w:lvlText w:val="%1."/>
      <w:lvlJc w:val="left"/>
      <w:pPr>
        <w:ind w:left="720" w:hanging="360"/>
      </w:pPr>
      <w:rPr>
        <w:rFonts w:eastAsia="Times New Roman" w:cs="Times New Roman" w:hint="default"/>
        <w:i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19B21EF"/>
    <w:multiLevelType w:val="multilevel"/>
    <w:tmpl w:val="AEB0272A"/>
    <w:lvl w:ilvl="0">
      <w:start w:val="1"/>
      <w:numFmt w:val="decimal"/>
      <w:lvlText w:val="%1."/>
      <w:lvlJc w:val="left"/>
      <w:pPr>
        <w:ind w:left="360" w:hanging="360"/>
      </w:pPr>
      <w:rPr>
        <w:rFonts w:eastAsia="Times New Roman" w:cs="Times New Roman" w:hint="default"/>
        <w:i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
    <w:nsid w:val="1A6F55C2"/>
    <w:multiLevelType w:val="multilevel"/>
    <w:tmpl w:val="AEB0272A"/>
    <w:lvl w:ilvl="0">
      <w:start w:val="1"/>
      <w:numFmt w:val="decimal"/>
      <w:lvlText w:val="%1."/>
      <w:lvlJc w:val="left"/>
      <w:pPr>
        <w:ind w:left="720" w:hanging="360"/>
      </w:pPr>
      <w:rPr>
        <w:rFonts w:eastAsia="Times New Roman" w:cs="Times New Roman" w:hint="default"/>
        <w:i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1D93410A"/>
    <w:multiLevelType w:val="hybridMultilevel"/>
    <w:tmpl w:val="97C49EA2"/>
    <w:lvl w:ilvl="0" w:tplc="0C0A0003">
      <w:start w:val="1"/>
      <w:numFmt w:val="bullet"/>
      <w:lvlText w:val="o"/>
      <w:lvlJc w:val="left"/>
      <w:pPr>
        <w:ind w:left="1428" w:hanging="360"/>
      </w:pPr>
      <w:rPr>
        <w:rFonts w:ascii="Courier New" w:hAnsi="Courier New"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1DFE53DB"/>
    <w:multiLevelType w:val="multilevel"/>
    <w:tmpl w:val="AEB0272A"/>
    <w:lvl w:ilvl="0">
      <w:start w:val="1"/>
      <w:numFmt w:val="decimal"/>
      <w:lvlText w:val="%1."/>
      <w:lvlJc w:val="left"/>
      <w:pPr>
        <w:ind w:left="720" w:hanging="360"/>
      </w:pPr>
      <w:rPr>
        <w:rFonts w:eastAsia="Times New Roman" w:cs="Times New Roman" w:hint="default"/>
        <w:i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497712FD"/>
    <w:multiLevelType w:val="hybridMultilevel"/>
    <w:tmpl w:val="9924A92E"/>
    <w:lvl w:ilvl="0" w:tplc="C3345EBA">
      <w:start w:val="1"/>
      <w:numFmt w:val="decimal"/>
      <w:lvlText w:val="%1."/>
      <w:lvlJc w:val="left"/>
      <w:pPr>
        <w:ind w:left="360" w:hanging="360"/>
      </w:pPr>
      <w:rPr>
        <w:rFonts w:cs="Times New Roman" w:hint="default"/>
        <w:b w:val="0"/>
        <w:i w:val="0"/>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7">
    <w:nsid w:val="4BFD6F19"/>
    <w:multiLevelType w:val="multilevel"/>
    <w:tmpl w:val="AEB0272A"/>
    <w:lvl w:ilvl="0">
      <w:start w:val="1"/>
      <w:numFmt w:val="decimal"/>
      <w:lvlText w:val="%1."/>
      <w:lvlJc w:val="left"/>
      <w:pPr>
        <w:ind w:left="720" w:hanging="360"/>
      </w:pPr>
      <w:rPr>
        <w:rFonts w:eastAsia="Times New Roman" w:cs="Times New Roman" w:hint="default"/>
        <w:i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5BA6262E"/>
    <w:multiLevelType w:val="hybridMultilevel"/>
    <w:tmpl w:val="D3D8A1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5D1D7CE7"/>
    <w:multiLevelType w:val="multilevel"/>
    <w:tmpl w:val="AEB0272A"/>
    <w:lvl w:ilvl="0">
      <w:start w:val="1"/>
      <w:numFmt w:val="decimal"/>
      <w:lvlText w:val="%1."/>
      <w:lvlJc w:val="left"/>
      <w:pPr>
        <w:ind w:left="360" w:hanging="360"/>
      </w:pPr>
      <w:rPr>
        <w:rFonts w:eastAsia="Times New Roman" w:cs="Times New Roman" w:hint="default"/>
        <w:i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
    <w:nsid w:val="60F01960"/>
    <w:multiLevelType w:val="multilevel"/>
    <w:tmpl w:val="57ACBBB4"/>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1">
    <w:nsid w:val="6A377D69"/>
    <w:multiLevelType w:val="multilevel"/>
    <w:tmpl w:val="AEB0272A"/>
    <w:lvl w:ilvl="0">
      <w:start w:val="1"/>
      <w:numFmt w:val="decimal"/>
      <w:lvlText w:val="%1."/>
      <w:lvlJc w:val="left"/>
      <w:pPr>
        <w:ind w:left="720" w:hanging="360"/>
      </w:pPr>
      <w:rPr>
        <w:rFonts w:eastAsia="Times New Roman" w:cs="Times New Roman" w:hint="default"/>
        <w:i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7E7D537E"/>
    <w:multiLevelType w:val="hybridMultilevel"/>
    <w:tmpl w:val="E7AEA1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
  </w:num>
  <w:num w:numId="4">
    <w:abstractNumId w:val="0"/>
  </w:num>
  <w:num w:numId="5">
    <w:abstractNumId w:val="11"/>
  </w:num>
  <w:num w:numId="6">
    <w:abstractNumId w:val="3"/>
  </w:num>
  <w:num w:numId="7">
    <w:abstractNumId w:val="1"/>
  </w:num>
  <w:num w:numId="8">
    <w:abstractNumId w:val="7"/>
  </w:num>
  <w:num w:numId="9">
    <w:abstractNumId w:val="5"/>
  </w:num>
  <w:num w:numId="10">
    <w:abstractNumId w:val="10"/>
  </w:num>
  <w:num w:numId="11">
    <w:abstractNumId w:val="12"/>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213"/>
    <w:rsid w:val="00010D2B"/>
    <w:rsid w:val="00014654"/>
    <w:rsid w:val="00043087"/>
    <w:rsid w:val="000613D5"/>
    <w:rsid w:val="000627DD"/>
    <w:rsid w:val="000667FD"/>
    <w:rsid w:val="000803B9"/>
    <w:rsid w:val="00085403"/>
    <w:rsid w:val="00092975"/>
    <w:rsid w:val="000A276A"/>
    <w:rsid w:val="000B39F1"/>
    <w:rsid w:val="000E0A05"/>
    <w:rsid w:val="001266B6"/>
    <w:rsid w:val="00135112"/>
    <w:rsid w:val="001511C2"/>
    <w:rsid w:val="00152E26"/>
    <w:rsid w:val="00166452"/>
    <w:rsid w:val="001725FA"/>
    <w:rsid w:val="00172672"/>
    <w:rsid w:val="0017582F"/>
    <w:rsid w:val="00193E51"/>
    <w:rsid w:val="001A4029"/>
    <w:rsid w:val="001A713E"/>
    <w:rsid w:val="001B0D63"/>
    <w:rsid w:val="001B2242"/>
    <w:rsid w:val="001B668E"/>
    <w:rsid w:val="001E2296"/>
    <w:rsid w:val="001F60D7"/>
    <w:rsid w:val="001F7504"/>
    <w:rsid w:val="001F756E"/>
    <w:rsid w:val="00254703"/>
    <w:rsid w:val="00261339"/>
    <w:rsid w:val="00261AD2"/>
    <w:rsid w:val="00275985"/>
    <w:rsid w:val="00281E4E"/>
    <w:rsid w:val="00282E60"/>
    <w:rsid w:val="00284A1B"/>
    <w:rsid w:val="00291FD3"/>
    <w:rsid w:val="002A6E8C"/>
    <w:rsid w:val="002F2ABA"/>
    <w:rsid w:val="002F75AD"/>
    <w:rsid w:val="0031074A"/>
    <w:rsid w:val="00313213"/>
    <w:rsid w:val="003147B1"/>
    <w:rsid w:val="00324717"/>
    <w:rsid w:val="00325757"/>
    <w:rsid w:val="00327CD8"/>
    <w:rsid w:val="00330559"/>
    <w:rsid w:val="00372516"/>
    <w:rsid w:val="00381110"/>
    <w:rsid w:val="00383C62"/>
    <w:rsid w:val="003879DE"/>
    <w:rsid w:val="003960CB"/>
    <w:rsid w:val="003A34CA"/>
    <w:rsid w:val="003C46AB"/>
    <w:rsid w:val="003F7EDB"/>
    <w:rsid w:val="00410379"/>
    <w:rsid w:val="00430E43"/>
    <w:rsid w:val="00436970"/>
    <w:rsid w:val="00437B15"/>
    <w:rsid w:val="00467437"/>
    <w:rsid w:val="00470E24"/>
    <w:rsid w:val="00471C64"/>
    <w:rsid w:val="00475313"/>
    <w:rsid w:val="0048249D"/>
    <w:rsid w:val="00486588"/>
    <w:rsid w:val="00494C7B"/>
    <w:rsid w:val="004B2079"/>
    <w:rsid w:val="004C556A"/>
    <w:rsid w:val="004D3A02"/>
    <w:rsid w:val="004E08C8"/>
    <w:rsid w:val="004F0C4D"/>
    <w:rsid w:val="00520DDB"/>
    <w:rsid w:val="00532092"/>
    <w:rsid w:val="00532F88"/>
    <w:rsid w:val="00537C87"/>
    <w:rsid w:val="0055796E"/>
    <w:rsid w:val="00573E67"/>
    <w:rsid w:val="00580F28"/>
    <w:rsid w:val="00582283"/>
    <w:rsid w:val="005B2D3A"/>
    <w:rsid w:val="005C1D7D"/>
    <w:rsid w:val="005C3AE7"/>
    <w:rsid w:val="005C6569"/>
    <w:rsid w:val="005D0C51"/>
    <w:rsid w:val="005E0C1A"/>
    <w:rsid w:val="00620BEF"/>
    <w:rsid w:val="0064416F"/>
    <w:rsid w:val="006472C8"/>
    <w:rsid w:val="00652289"/>
    <w:rsid w:val="00655A33"/>
    <w:rsid w:val="00656392"/>
    <w:rsid w:val="00660AA3"/>
    <w:rsid w:val="00663E9E"/>
    <w:rsid w:val="00672E20"/>
    <w:rsid w:val="00673B44"/>
    <w:rsid w:val="00683B7C"/>
    <w:rsid w:val="006859FD"/>
    <w:rsid w:val="006B5B16"/>
    <w:rsid w:val="006B61DC"/>
    <w:rsid w:val="006D37FD"/>
    <w:rsid w:val="006D6231"/>
    <w:rsid w:val="006F0C7C"/>
    <w:rsid w:val="006F1A8B"/>
    <w:rsid w:val="006F7CB9"/>
    <w:rsid w:val="00704EB7"/>
    <w:rsid w:val="007128FA"/>
    <w:rsid w:val="00712CB9"/>
    <w:rsid w:val="00724F7B"/>
    <w:rsid w:val="00730C68"/>
    <w:rsid w:val="00737212"/>
    <w:rsid w:val="007642A5"/>
    <w:rsid w:val="00765F34"/>
    <w:rsid w:val="00773241"/>
    <w:rsid w:val="00783468"/>
    <w:rsid w:val="007907E3"/>
    <w:rsid w:val="0079259D"/>
    <w:rsid w:val="00793364"/>
    <w:rsid w:val="007A41AF"/>
    <w:rsid w:val="007C13A5"/>
    <w:rsid w:val="007D0C62"/>
    <w:rsid w:val="007D2276"/>
    <w:rsid w:val="007D41AB"/>
    <w:rsid w:val="00810D38"/>
    <w:rsid w:val="00820FBD"/>
    <w:rsid w:val="00824290"/>
    <w:rsid w:val="008310DD"/>
    <w:rsid w:val="00843615"/>
    <w:rsid w:val="00843C91"/>
    <w:rsid w:val="0086232B"/>
    <w:rsid w:val="00862DE8"/>
    <w:rsid w:val="00863E78"/>
    <w:rsid w:val="00875EA8"/>
    <w:rsid w:val="008872FA"/>
    <w:rsid w:val="0089137D"/>
    <w:rsid w:val="00893B26"/>
    <w:rsid w:val="008B5FC0"/>
    <w:rsid w:val="008C2FF4"/>
    <w:rsid w:val="00906E94"/>
    <w:rsid w:val="00907983"/>
    <w:rsid w:val="0091176D"/>
    <w:rsid w:val="00912C94"/>
    <w:rsid w:val="00915CFB"/>
    <w:rsid w:val="00921C84"/>
    <w:rsid w:val="00933D10"/>
    <w:rsid w:val="00937508"/>
    <w:rsid w:val="00946333"/>
    <w:rsid w:val="00947189"/>
    <w:rsid w:val="0097533A"/>
    <w:rsid w:val="009835CB"/>
    <w:rsid w:val="00996E99"/>
    <w:rsid w:val="009A00CB"/>
    <w:rsid w:val="009A1B9E"/>
    <w:rsid w:val="009C0A35"/>
    <w:rsid w:val="009D5857"/>
    <w:rsid w:val="009E2A28"/>
    <w:rsid w:val="009E32B7"/>
    <w:rsid w:val="009E7EB7"/>
    <w:rsid w:val="009F3AEE"/>
    <w:rsid w:val="009F447B"/>
    <w:rsid w:val="009F6F15"/>
    <w:rsid w:val="00A02182"/>
    <w:rsid w:val="00A33FF7"/>
    <w:rsid w:val="00A376FE"/>
    <w:rsid w:val="00A378CE"/>
    <w:rsid w:val="00A41955"/>
    <w:rsid w:val="00A807E3"/>
    <w:rsid w:val="00A97E9C"/>
    <w:rsid w:val="00AA2099"/>
    <w:rsid w:val="00AA3900"/>
    <w:rsid w:val="00AB385C"/>
    <w:rsid w:val="00AE64BE"/>
    <w:rsid w:val="00B1472A"/>
    <w:rsid w:val="00B212BE"/>
    <w:rsid w:val="00B24B85"/>
    <w:rsid w:val="00B33A31"/>
    <w:rsid w:val="00B37587"/>
    <w:rsid w:val="00B455ED"/>
    <w:rsid w:val="00B45FA4"/>
    <w:rsid w:val="00B570AF"/>
    <w:rsid w:val="00B66F40"/>
    <w:rsid w:val="00B67CFB"/>
    <w:rsid w:val="00B73525"/>
    <w:rsid w:val="00B84B59"/>
    <w:rsid w:val="00B94942"/>
    <w:rsid w:val="00B957C1"/>
    <w:rsid w:val="00BB2154"/>
    <w:rsid w:val="00BC21F7"/>
    <w:rsid w:val="00BE5CD7"/>
    <w:rsid w:val="00BF5849"/>
    <w:rsid w:val="00C0049E"/>
    <w:rsid w:val="00C14677"/>
    <w:rsid w:val="00C20344"/>
    <w:rsid w:val="00C366A1"/>
    <w:rsid w:val="00C37596"/>
    <w:rsid w:val="00C85706"/>
    <w:rsid w:val="00C865BB"/>
    <w:rsid w:val="00C86A90"/>
    <w:rsid w:val="00CA2512"/>
    <w:rsid w:val="00CA5F55"/>
    <w:rsid w:val="00CB6B30"/>
    <w:rsid w:val="00CC7AA9"/>
    <w:rsid w:val="00CD0404"/>
    <w:rsid w:val="00CD1C51"/>
    <w:rsid w:val="00CD5CC9"/>
    <w:rsid w:val="00CE1807"/>
    <w:rsid w:val="00CF3479"/>
    <w:rsid w:val="00CF606A"/>
    <w:rsid w:val="00D22D88"/>
    <w:rsid w:val="00D22D8D"/>
    <w:rsid w:val="00D344B5"/>
    <w:rsid w:val="00D439A8"/>
    <w:rsid w:val="00D47A62"/>
    <w:rsid w:val="00D55B05"/>
    <w:rsid w:val="00D6211A"/>
    <w:rsid w:val="00D85136"/>
    <w:rsid w:val="00D90472"/>
    <w:rsid w:val="00DE4C19"/>
    <w:rsid w:val="00E32A5E"/>
    <w:rsid w:val="00E46CBE"/>
    <w:rsid w:val="00E562CC"/>
    <w:rsid w:val="00E6569A"/>
    <w:rsid w:val="00E67578"/>
    <w:rsid w:val="00E67E07"/>
    <w:rsid w:val="00E818D6"/>
    <w:rsid w:val="00E860E0"/>
    <w:rsid w:val="00EE7808"/>
    <w:rsid w:val="00EF03D6"/>
    <w:rsid w:val="00EF1C41"/>
    <w:rsid w:val="00EF21F0"/>
    <w:rsid w:val="00EF6013"/>
    <w:rsid w:val="00F00E4A"/>
    <w:rsid w:val="00F03950"/>
    <w:rsid w:val="00F05679"/>
    <w:rsid w:val="00F136B7"/>
    <w:rsid w:val="00F175B6"/>
    <w:rsid w:val="00F22E18"/>
    <w:rsid w:val="00F35A63"/>
    <w:rsid w:val="00F46A40"/>
    <w:rsid w:val="00F54662"/>
    <w:rsid w:val="00F64D2B"/>
    <w:rsid w:val="00F6518F"/>
    <w:rsid w:val="00F655AE"/>
    <w:rsid w:val="00F67175"/>
    <w:rsid w:val="00F67D09"/>
    <w:rsid w:val="00F83221"/>
    <w:rsid w:val="00F90C3B"/>
    <w:rsid w:val="00FA2CAB"/>
    <w:rsid w:val="00FB0A90"/>
    <w:rsid w:val="00FC255D"/>
    <w:rsid w:val="00FC79E5"/>
    <w:rsid w:val="00FD1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5:docId w15:val="{EDCE2B7C-AA54-47BB-A00A-CC9C16D88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849"/>
    <w:pPr>
      <w:spacing w:after="200" w:line="276" w:lineRule="auto"/>
    </w:pPr>
    <w:rPr>
      <w:lang w:val="es-CO" w:eastAsia="es-CO"/>
    </w:rPr>
  </w:style>
  <w:style w:type="paragraph" w:styleId="Ttulo1">
    <w:name w:val="heading 1"/>
    <w:basedOn w:val="Normal"/>
    <w:next w:val="Normal"/>
    <w:link w:val="Ttulo1Car"/>
    <w:uiPriority w:val="99"/>
    <w:qFormat/>
    <w:rsid w:val="006859FD"/>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uiPriority w:val="99"/>
    <w:qFormat/>
    <w:rsid w:val="006859FD"/>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6859FD"/>
    <w:pPr>
      <w:keepNext/>
      <w:keepLines/>
      <w:spacing w:before="200" w:after="0"/>
      <w:outlineLvl w:val="2"/>
    </w:pPr>
    <w:rPr>
      <w:rFonts w:ascii="Cambria" w:hAnsi="Cambria"/>
      <w:b/>
      <w:bCs/>
      <w:color w:val="4F81BD"/>
    </w:rPr>
  </w:style>
  <w:style w:type="paragraph" w:styleId="Ttulo4">
    <w:name w:val="heading 4"/>
    <w:basedOn w:val="Normal"/>
    <w:next w:val="Normal"/>
    <w:link w:val="Ttulo4Car"/>
    <w:uiPriority w:val="99"/>
    <w:qFormat/>
    <w:rsid w:val="006859FD"/>
    <w:pPr>
      <w:keepNext/>
      <w:keepLines/>
      <w:spacing w:before="200" w:after="0"/>
      <w:outlineLvl w:val="3"/>
    </w:pPr>
    <w:rPr>
      <w:rFonts w:ascii="Cambria" w:hAnsi="Cambria"/>
      <w:b/>
      <w:bCs/>
      <w:i/>
      <w:iCs/>
      <w:color w:val="4F81BD"/>
    </w:rPr>
  </w:style>
  <w:style w:type="paragraph" w:styleId="Ttulo5">
    <w:name w:val="heading 5"/>
    <w:basedOn w:val="Normal"/>
    <w:next w:val="Normal"/>
    <w:link w:val="Ttulo5Car"/>
    <w:uiPriority w:val="99"/>
    <w:qFormat/>
    <w:rsid w:val="00FC79E5"/>
    <w:pPr>
      <w:keepNext/>
      <w:keepLines/>
      <w:spacing w:before="200" w:after="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859FD"/>
    <w:rPr>
      <w:rFonts w:ascii="Cambria" w:hAnsi="Cambria" w:cs="Times New Roman"/>
      <w:b/>
      <w:bCs/>
      <w:color w:val="365F91"/>
      <w:sz w:val="28"/>
      <w:szCs w:val="28"/>
    </w:rPr>
  </w:style>
  <w:style w:type="character" w:customStyle="1" w:styleId="Ttulo2Car">
    <w:name w:val="Título 2 Car"/>
    <w:basedOn w:val="Fuentedeprrafopredeter"/>
    <w:link w:val="Ttulo2"/>
    <w:uiPriority w:val="99"/>
    <w:locked/>
    <w:rsid w:val="006859FD"/>
    <w:rPr>
      <w:rFonts w:ascii="Cambria" w:hAnsi="Cambria" w:cs="Times New Roman"/>
      <w:b/>
      <w:bCs/>
      <w:color w:val="4F81BD"/>
      <w:sz w:val="26"/>
      <w:szCs w:val="26"/>
    </w:rPr>
  </w:style>
  <w:style w:type="character" w:customStyle="1" w:styleId="Ttulo3Car">
    <w:name w:val="Título 3 Car"/>
    <w:basedOn w:val="Fuentedeprrafopredeter"/>
    <w:link w:val="Ttulo3"/>
    <w:uiPriority w:val="99"/>
    <w:locked/>
    <w:rsid w:val="006859FD"/>
    <w:rPr>
      <w:rFonts w:ascii="Cambria" w:hAnsi="Cambria" w:cs="Times New Roman"/>
      <w:b/>
      <w:bCs/>
      <w:color w:val="4F81BD"/>
    </w:rPr>
  </w:style>
  <w:style w:type="character" w:customStyle="1" w:styleId="Ttulo4Car">
    <w:name w:val="Título 4 Car"/>
    <w:basedOn w:val="Fuentedeprrafopredeter"/>
    <w:link w:val="Ttulo4"/>
    <w:uiPriority w:val="99"/>
    <w:locked/>
    <w:rsid w:val="006859FD"/>
    <w:rPr>
      <w:rFonts w:ascii="Cambria" w:hAnsi="Cambria" w:cs="Times New Roman"/>
      <w:b/>
      <w:bCs/>
      <w:i/>
      <w:iCs/>
      <w:color w:val="4F81BD"/>
    </w:rPr>
  </w:style>
  <w:style w:type="character" w:customStyle="1" w:styleId="Ttulo5Car">
    <w:name w:val="Título 5 Car"/>
    <w:basedOn w:val="Fuentedeprrafopredeter"/>
    <w:link w:val="Ttulo5"/>
    <w:uiPriority w:val="99"/>
    <w:locked/>
    <w:rsid w:val="00FC79E5"/>
    <w:rPr>
      <w:rFonts w:ascii="Cambria" w:hAnsi="Cambria" w:cs="Times New Roman"/>
      <w:color w:val="243F60"/>
    </w:rPr>
  </w:style>
  <w:style w:type="paragraph" w:styleId="Textodeglobo">
    <w:name w:val="Balloon Text"/>
    <w:basedOn w:val="Normal"/>
    <w:link w:val="TextodegloboCar"/>
    <w:uiPriority w:val="99"/>
    <w:semiHidden/>
    <w:rsid w:val="006B61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B61DC"/>
    <w:rPr>
      <w:rFonts w:ascii="Tahoma" w:hAnsi="Tahoma" w:cs="Tahoma"/>
      <w:sz w:val="16"/>
      <w:szCs w:val="16"/>
    </w:rPr>
  </w:style>
  <w:style w:type="paragraph" w:styleId="Prrafodelista">
    <w:name w:val="List Paragraph"/>
    <w:basedOn w:val="Normal"/>
    <w:uiPriority w:val="99"/>
    <w:qFormat/>
    <w:rsid w:val="00B212BE"/>
    <w:pPr>
      <w:ind w:left="720"/>
      <w:contextualSpacing/>
    </w:pPr>
  </w:style>
  <w:style w:type="paragraph" w:styleId="TDC1">
    <w:name w:val="toc 1"/>
    <w:basedOn w:val="Normal"/>
    <w:next w:val="Normal"/>
    <w:autoRedefine/>
    <w:uiPriority w:val="99"/>
    <w:rsid w:val="006472C8"/>
    <w:pPr>
      <w:tabs>
        <w:tab w:val="right" w:leader="dot" w:pos="8494"/>
      </w:tabs>
      <w:spacing w:after="100"/>
      <w:jc w:val="center"/>
    </w:pPr>
    <w:rPr>
      <w:rFonts w:ascii="Arial" w:hAnsi="Arial" w:cs="Arial"/>
      <w:b/>
      <w:noProof/>
      <w:sz w:val="24"/>
      <w:szCs w:val="24"/>
      <w:lang w:val="es-MX"/>
    </w:rPr>
  </w:style>
  <w:style w:type="paragraph" w:styleId="TDC2">
    <w:name w:val="toc 2"/>
    <w:basedOn w:val="Normal"/>
    <w:next w:val="Normal"/>
    <w:autoRedefine/>
    <w:uiPriority w:val="99"/>
    <w:rsid w:val="00C85706"/>
    <w:pPr>
      <w:spacing w:after="100"/>
      <w:ind w:left="220"/>
    </w:pPr>
  </w:style>
  <w:style w:type="paragraph" w:styleId="TDC3">
    <w:name w:val="toc 3"/>
    <w:basedOn w:val="Normal"/>
    <w:next w:val="Normal"/>
    <w:autoRedefine/>
    <w:uiPriority w:val="99"/>
    <w:rsid w:val="00C85706"/>
    <w:pPr>
      <w:spacing w:after="100"/>
      <w:ind w:left="440"/>
    </w:pPr>
  </w:style>
  <w:style w:type="character" w:styleId="Hipervnculo">
    <w:name w:val="Hyperlink"/>
    <w:basedOn w:val="Fuentedeprrafopredeter"/>
    <w:uiPriority w:val="99"/>
    <w:rsid w:val="00C85706"/>
    <w:rPr>
      <w:rFonts w:cs="Times New Roman"/>
      <w:color w:val="0000FF"/>
      <w:u w:val="single"/>
    </w:rPr>
  </w:style>
  <w:style w:type="paragraph" w:styleId="TDC4">
    <w:name w:val="toc 4"/>
    <w:basedOn w:val="Normal"/>
    <w:next w:val="Normal"/>
    <w:autoRedefine/>
    <w:uiPriority w:val="99"/>
    <w:rsid w:val="002F75AD"/>
    <w:pPr>
      <w:spacing w:after="100"/>
      <w:ind w:left="660"/>
    </w:pPr>
    <w:rPr>
      <w:lang w:eastAsia="es-ES"/>
    </w:rPr>
  </w:style>
  <w:style w:type="paragraph" w:styleId="TDC5">
    <w:name w:val="toc 5"/>
    <w:basedOn w:val="Normal"/>
    <w:next w:val="Normal"/>
    <w:autoRedefine/>
    <w:uiPriority w:val="99"/>
    <w:rsid w:val="002F75AD"/>
    <w:pPr>
      <w:spacing w:after="100"/>
      <w:ind w:left="880"/>
    </w:pPr>
    <w:rPr>
      <w:lang w:eastAsia="es-ES"/>
    </w:rPr>
  </w:style>
  <w:style w:type="paragraph" w:styleId="TDC6">
    <w:name w:val="toc 6"/>
    <w:basedOn w:val="Normal"/>
    <w:next w:val="Normal"/>
    <w:autoRedefine/>
    <w:uiPriority w:val="99"/>
    <w:rsid w:val="002F75AD"/>
    <w:pPr>
      <w:spacing w:after="100"/>
      <w:ind w:left="1100"/>
    </w:pPr>
    <w:rPr>
      <w:lang w:eastAsia="es-ES"/>
    </w:rPr>
  </w:style>
  <w:style w:type="paragraph" w:styleId="TDC7">
    <w:name w:val="toc 7"/>
    <w:basedOn w:val="Normal"/>
    <w:next w:val="Normal"/>
    <w:autoRedefine/>
    <w:uiPriority w:val="99"/>
    <w:rsid w:val="002F75AD"/>
    <w:pPr>
      <w:spacing w:after="100"/>
      <w:ind w:left="1320"/>
    </w:pPr>
    <w:rPr>
      <w:lang w:eastAsia="es-ES"/>
    </w:rPr>
  </w:style>
  <w:style w:type="paragraph" w:styleId="TDC8">
    <w:name w:val="toc 8"/>
    <w:basedOn w:val="Normal"/>
    <w:next w:val="Normal"/>
    <w:autoRedefine/>
    <w:uiPriority w:val="99"/>
    <w:rsid w:val="002F75AD"/>
    <w:pPr>
      <w:spacing w:after="100"/>
      <w:ind w:left="1540"/>
    </w:pPr>
    <w:rPr>
      <w:lang w:eastAsia="es-ES"/>
    </w:rPr>
  </w:style>
  <w:style w:type="paragraph" w:styleId="TDC9">
    <w:name w:val="toc 9"/>
    <w:basedOn w:val="Normal"/>
    <w:next w:val="Normal"/>
    <w:autoRedefine/>
    <w:uiPriority w:val="99"/>
    <w:rsid w:val="002F75AD"/>
    <w:pPr>
      <w:spacing w:after="100"/>
      <w:ind w:left="1760"/>
    </w:pPr>
    <w:rPr>
      <w:lang w:eastAsia="es-ES"/>
    </w:rPr>
  </w:style>
  <w:style w:type="paragraph" w:styleId="Encabezado">
    <w:name w:val="header"/>
    <w:basedOn w:val="Normal"/>
    <w:link w:val="EncabezadoCar"/>
    <w:uiPriority w:val="99"/>
    <w:rsid w:val="00F655AE"/>
    <w:pPr>
      <w:tabs>
        <w:tab w:val="center" w:pos="4252"/>
        <w:tab w:val="right" w:pos="8504"/>
      </w:tabs>
      <w:spacing w:after="0" w:line="240" w:lineRule="auto"/>
    </w:pPr>
    <w:rPr>
      <w:rFonts w:ascii="Verdana" w:hAnsi="Verdana" w:cs="Verdana"/>
      <w:sz w:val="24"/>
      <w:szCs w:val="24"/>
      <w:lang w:eastAsia="es-ES"/>
    </w:rPr>
  </w:style>
  <w:style w:type="character" w:customStyle="1" w:styleId="EncabezadoCar">
    <w:name w:val="Encabezado Car"/>
    <w:basedOn w:val="Fuentedeprrafopredeter"/>
    <w:link w:val="Encabezado"/>
    <w:uiPriority w:val="99"/>
    <w:locked/>
    <w:rsid w:val="00F655AE"/>
    <w:rPr>
      <w:rFonts w:ascii="Verdana" w:hAnsi="Verdana" w:cs="Verdana"/>
      <w:sz w:val="24"/>
      <w:szCs w:val="24"/>
      <w:lang w:val="es-CO" w:eastAsia="es-ES"/>
    </w:rPr>
  </w:style>
  <w:style w:type="paragraph" w:customStyle="1" w:styleId="Textoindependiente21">
    <w:name w:val="Texto independiente 21"/>
    <w:basedOn w:val="Normal"/>
    <w:uiPriority w:val="99"/>
    <w:rsid w:val="00F655AE"/>
    <w:pPr>
      <w:overflowPunct w:val="0"/>
      <w:autoSpaceDE w:val="0"/>
      <w:autoSpaceDN w:val="0"/>
      <w:adjustRightInd w:val="0"/>
      <w:spacing w:after="0" w:line="240" w:lineRule="auto"/>
      <w:jc w:val="center"/>
    </w:pPr>
    <w:rPr>
      <w:rFonts w:ascii="Verdana" w:hAnsi="Verdana" w:cs="Verdana"/>
      <w:b/>
      <w:bCs/>
      <w:sz w:val="24"/>
      <w:szCs w:val="24"/>
      <w:lang w:val="es-ES_tradnl" w:eastAsia="es-ES"/>
    </w:rPr>
  </w:style>
  <w:style w:type="paragraph" w:styleId="Sinespaciado">
    <w:name w:val="No Spacing"/>
    <w:uiPriority w:val="99"/>
    <w:qFormat/>
    <w:rsid w:val="00FC255D"/>
    <w:rPr>
      <w:lang w:val="es-CO" w:eastAsia="es-CO"/>
    </w:rPr>
  </w:style>
  <w:style w:type="paragraph" w:styleId="NormalWeb">
    <w:name w:val="Normal (Web)"/>
    <w:basedOn w:val="Normal"/>
    <w:uiPriority w:val="99"/>
    <w:semiHidden/>
    <w:rsid w:val="00F46A40"/>
    <w:pPr>
      <w:spacing w:before="100" w:beforeAutospacing="1" w:after="100" w:afterAutospacing="1" w:line="240" w:lineRule="auto"/>
    </w:pPr>
    <w:rPr>
      <w:rFonts w:ascii="Times New Roman" w:hAnsi="Times New Roman"/>
      <w:sz w:val="24"/>
      <w:szCs w:val="24"/>
      <w:lang w:eastAsia="es-ES"/>
    </w:rPr>
  </w:style>
  <w:style w:type="paragraph" w:styleId="Textonotapie">
    <w:name w:val="footnote text"/>
    <w:basedOn w:val="Normal"/>
    <w:link w:val="TextonotapieCar"/>
    <w:uiPriority w:val="99"/>
    <w:semiHidden/>
    <w:rsid w:val="00915CFB"/>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915CFB"/>
    <w:rPr>
      <w:rFonts w:cs="Times New Roman"/>
      <w:sz w:val="20"/>
      <w:szCs w:val="20"/>
    </w:rPr>
  </w:style>
  <w:style w:type="character" w:styleId="Refdenotaalpie">
    <w:name w:val="footnote reference"/>
    <w:basedOn w:val="Fuentedeprrafopredeter"/>
    <w:uiPriority w:val="99"/>
    <w:semiHidden/>
    <w:rsid w:val="00915CFB"/>
    <w:rPr>
      <w:rFonts w:cs="Times New Roman"/>
      <w:vertAlign w:val="superscript"/>
    </w:rPr>
  </w:style>
  <w:style w:type="paragraph" w:styleId="Piedepgina">
    <w:name w:val="footer"/>
    <w:basedOn w:val="Normal"/>
    <w:link w:val="PiedepginaCar"/>
    <w:uiPriority w:val="99"/>
    <w:rsid w:val="0048658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locked/>
    <w:rsid w:val="0048658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187340">
      <w:marLeft w:val="0"/>
      <w:marRight w:val="0"/>
      <w:marTop w:val="0"/>
      <w:marBottom w:val="0"/>
      <w:divBdr>
        <w:top w:val="none" w:sz="0" w:space="0" w:color="auto"/>
        <w:left w:val="none" w:sz="0" w:space="0" w:color="auto"/>
        <w:bottom w:val="none" w:sz="0" w:space="0" w:color="auto"/>
        <w:right w:val="none" w:sz="0" w:space="0" w:color="auto"/>
      </w:divBdr>
    </w:div>
    <w:div w:id="279187341">
      <w:marLeft w:val="0"/>
      <w:marRight w:val="0"/>
      <w:marTop w:val="0"/>
      <w:marBottom w:val="0"/>
      <w:divBdr>
        <w:top w:val="none" w:sz="0" w:space="0" w:color="auto"/>
        <w:left w:val="none" w:sz="0" w:space="0" w:color="auto"/>
        <w:bottom w:val="none" w:sz="0" w:space="0" w:color="auto"/>
        <w:right w:val="none" w:sz="0" w:space="0" w:color="auto"/>
      </w:divBdr>
    </w:div>
    <w:div w:id="279187342">
      <w:marLeft w:val="0"/>
      <w:marRight w:val="0"/>
      <w:marTop w:val="0"/>
      <w:marBottom w:val="0"/>
      <w:divBdr>
        <w:top w:val="none" w:sz="0" w:space="0" w:color="auto"/>
        <w:left w:val="none" w:sz="0" w:space="0" w:color="auto"/>
        <w:bottom w:val="none" w:sz="0" w:space="0" w:color="auto"/>
        <w:right w:val="none" w:sz="0" w:space="0" w:color="auto"/>
      </w:divBdr>
    </w:div>
    <w:div w:id="279187343">
      <w:marLeft w:val="0"/>
      <w:marRight w:val="0"/>
      <w:marTop w:val="0"/>
      <w:marBottom w:val="0"/>
      <w:divBdr>
        <w:top w:val="none" w:sz="0" w:space="0" w:color="auto"/>
        <w:left w:val="none" w:sz="0" w:space="0" w:color="auto"/>
        <w:bottom w:val="none" w:sz="0" w:space="0" w:color="auto"/>
        <w:right w:val="none" w:sz="0" w:space="0" w:color="auto"/>
      </w:divBdr>
    </w:div>
    <w:div w:id="279187344">
      <w:marLeft w:val="0"/>
      <w:marRight w:val="0"/>
      <w:marTop w:val="0"/>
      <w:marBottom w:val="0"/>
      <w:divBdr>
        <w:top w:val="none" w:sz="0" w:space="0" w:color="auto"/>
        <w:left w:val="none" w:sz="0" w:space="0" w:color="auto"/>
        <w:bottom w:val="none" w:sz="0" w:space="0" w:color="auto"/>
        <w:right w:val="none" w:sz="0" w:space="0" w:color="auto"/>
      </w:divBdr>
    </w:div>
    <w:div w:id="279187345">
      <w:marLeft w:val="0"/>
      <w:marRight w:val="0"/>
      <w:marTop w:val="0"/>
      <w:marBottom w:val="0"/>
      <w:divBdr>
        <w:top w:val="none" w:sz="0" w:space="0" w:color="auto"/>
        <w:left w:val="none" w:sz="0" w:space="0" w:color="auto"/>
        <w:bottom w:val="none" w:sz="0" w:space="0" w:color="auto"/>
        <w:right w:val="none" w:sz="0" w:space="0" w:color="auto"/>
      </w:divBdr>
    </w:div>
    <w:div w:id="279187346">
      <w:marLeft w:val="0"/>
      <w:marRight w:val="0"/>
      <w:marTop w:val="0"/>
      <w:marBottom w:val="0"/>
      <w:divBdr>
        <w:top w:val="none" w:sz="0" w:space="0" w:color="auto"/>
        <w:left w:val="none" w:sz="0" w:space="0" w:color="auto"/>
        <w:bottom w:val="none" w:sz="0" w:space="0" w:color="auto"/>
        <w:right w:val="none" w:sz="0" w:space="0" w:color="auto"/>
      </w:divBdr>
    </w:div>
    <w:div w:id="279187347">
      <w:marLeft w:val="0"/>
      <w:marRight w:val="0"/>
      <w:marTop w:val="0"/>
      <w:marBottom w:val="0"/>
      <w:divBdr>
        <w:top w:val="none" w:sz="0" w:space="0" w:color="auto"/>
        <w:left w:val="none" w:sz="0" w:space="0" w:color="auto"/>
        <w:bottom w:val="none" w:sz="0" w:space="0" w:color="auto"/>
        <w:right w:val="none" w:sz="0" w:space="0" w:color="auto"/>
      </w:divBdr>
    </w:div>
    <w:div w:id="279187348">
      <w:marLeft w:val="0"/>
      <w:marRight w:val="0"/>
      <w:marTop w:val="0"/>
      <w:marBottom w:val="0"/>
      <w:divBdr>
        <w:top w:val="none" w:sz="0" w:space="0" w:color="auto"/>
        <w:left w:val="none" w:sz="0" w:space="0" w:color="auto"/>
        <w:bottom w:val="none" w:sz="0" w:space="0" w:color="auto"/>
        <w:right w:val="none" w:sz="0" w:space="0" w:color="auto"/>
      </w:divBdr>
    </w:div>
    <w:div w:id="279187349">
      <w:marLeft w:val="0"/>
      <w:marRight w:val="0"/>
      <w:marTop w:val="0"/>
      <w:marBottom w:val="0"/>
      <w:divBdr>
        <w:top w:val="none" w:sz="0" w:space="0" w:color="auto"/>
        <w:left w:val="none" w:sz="0" w:space="0" w:color="auto"/>
        <w:bottom w:val="none" w:sz="0" w:space="0" w:color="auto"/>
        <w:right w:val="none" w:sz="0" w:space="0" w:color="auto"/>
      </w:divBdr>
    </w:div>
    <w:div w:id="279187350">
      <w:marLeft w:val="0"/>
      <w:marRight w:val="0"/>
      <w:marTop w:val="0"/>
      <w:marBottom w:val="0"/>
      <w:divBdr>
        <w:top w:val="none" w:sz="0" w:space="0" w:color="auto"/>
        <w:left w:val="none" w:sz="0" w:space="0" w:color="auto"/>
        <w:bottom w:val="none" w:sz="0" w:space="0" w:color="auto"/>
        <w:right w:val="none" w:sz="0" w:space="0" w:color="auto"/>
      </w:divBdr>
    </w:div>
    <w:div w:id="279187351">
      <w:marLeft w:val="0"/>
      <w:marRight w:val="0"/>
      <w:marTop w:val="0"/>
      <w:marBottom w:val="0"/>
      <w:divBdr>
        <w:top w:val="none" w:sz="0" w:space="0" w:color="auto"/>
        <w:left w:val="none" w:sz="0" w:space="0" w:color="auto"/>
        <w:bottom w:val="none" w:sz="0" w:space="0" w:color="auto"/>
        <w:right w:val="none" w:sz="0" w:space="0" w:color="auto"/>
      </w:divBdr>
    </w:div>
    <w:div w:id="279187352">
      <w:marLeft w:val="0"/>
      <w:marRight w:val="0"/>
      <w:marTop w:val="0"/>
      <w:marBottom w:val="0"/>
      <w:divBdr>
        <w:top w:val="none" w:sz="0" w:space="0" w:color="auto"/>
        <w:left w:val="none" w:sz="0" w:space="0" w:color="auto"/>
        <w:bottom w:val="none" w:sz="0" w:space="0" w:color="auto"/>
        <w:right w:val="none" w:sz="0" w:space="0" w:color="auto"/>
      </w:divBdr>
    </w:div>
    <w:div w:id="279187353">
      <w:marLeft w:val="0"/>
      <w:marRight w:val="0"/>
      <w:marTop w:val="0"/>
      <w:marBottom w:val="0"/>
      <w:divBdr>
        <w:top w:val="none" w:sz="0" w:space="0" w:color="auto"/>
        <w:left w:val="none" w:sz="0" w:space="0" w:color="auto"/>
        <w:bottom w:val="none" w:sz="0" w:space="0" w:color="auto"/>
        <w:right w:val="none" w:sz="0" w:space="0" w:color="auto"/>
      </w:divBdr>
    </w:div>
    <w:div w:id="279187354">
      <w:marLeft w:val="0"/>
      <w:marRight w:val="0"/>
      <w:marTop w:val="0"/>
      <w:marBottom w:val="0"/>
      <w:divBdr>
        <w:top w:val="none" w:sz="0" w:space="0" w:color="auto"/>
        <w:left w:val="none" w:sz="0" w:space="0" w:color="auto"/>
        <w:bottom w:val="none" w:sz="0" w:space="0" w:color="auto"/>
        <w:right w:val="none" w:sz="0" w:space="0" w:color="auto"/>
      </w:divBdr>
    </w:div>
    <w:div w:id="279187355">
      <w:marLeft w:val="0"/>
      <w:marRight w:val="0"/>
      <w:marTop w:val="0"/>
      <w:marBottom w:val="0"/>
      <w:divBdr>
        <w:top w:val="none" w:sz="0" w:space="0" w:color="auto"/>
        <w:left w:val="none" w:sz="0" w:space="0" w:color="auto"/>
        <w:bottom w:val="none" w:sz="0" w:space="0" w:color="auto"/>
        <w:right w:val="none" w:sz="0" w:space="0" w:color="auto"/>
      </w:divBdr>
    </w:div>
    <w:div w:id="279187356">
      <w:marLeft w:val="0"/>
      <w:marRight w:val="0"/>
      <w:marTop w:val="0"/>
      <w:marBottom w:val="0"/>
      <w:divBdr>
        <w:top w:val="none" w:sz="0" w:space="0" w:color="auto"/>
        <w:left w:val="none" w:sz="0" w:space="0" w:color="auto"/>
        <w:bottom w:val="none" w:sz="0" w:space="0" w:color="auto"/>
        <w:right w:val="none" w:sz="0" w:space="0" w:color="auto"/>
      </w:divBdr>
    </w:div>
    <w:div w:id="279187357">
      <w:marLeft w:val="0"/>
      <w:marRight w:val="0"/>
      <w:marTop w:val="0"/>
      <w:marBottom w:val="0"/>
      <w:divBdr>
        <w:top w:val="none" w:sz="0" w:space="0" w:color="auto"/>
        <w:left w:val="none" w:sz="0" w:space="0" w:color="auto"/>
        <w:bottom w:val="none" w:sz="0" w:space="0" w:color="auto"/>
        <w:right w:val="none" w:sz="0" w:space="0" w:color="auto"/>
      </w:divBdr>
    </w:div>
    <w:div w:id="279187358">
      <w:marLeft w:val="0"/>
      <w:marRight w:val="0"/>
      <w:marTop w:val="0"/>
      <w:marBottom w:val="0"/>
      <w:divBdr>
        <w:top w:val="none" w:sz="0" w:space="0" w:color="auto"/>
        <w:left w:val="none" w:sz="0" w:space="0" w:color="auto"/>
        <w:bottom w:val="none" w:sz="0" w:space="0" w:color="auto"/>
        <w:right w:val="none" w:sz="0" w:space="0" w:color="auto"/>
      </w:divBdr>
    </w:div>
    <w:div w:id="279187359">
      <w:marLeft w:val="0"/>
      <w:marRight w:val="0"/>
      <w:marTop w:val="0"/>
      <w:marBottom w:val="0"/>
      <w:divBdr>
        <w:top w:val="none" w:sz="0" w:space="0" w:color="auto"/>
        <w:left w:val="none" w:sz="0" w:space="0" w:color="auto"/>
        <w:bottom w:val="none" w:sz="0" w:space="0" w:color="auto"/>
        <w:right w:val="none" w:sz="0" w:space="0" w:color="auto"/>
      </w:divBdr>
    </w:div>
    <w:div w:id="279187360">
      <w:marLeft w:val="0"/>
      <w:marRight w:val="0"/>
      <w:marTop w:val="0"/>
      <w:marBottom w:val="0"/>
      <w:divBdr>
        <w:top w:val="none" w:sz="0" w:space="0" w:color="auto"/>
        <w:left w:val="none" w:sz="0" w:space="0" w:color="auto"/>
        <w:bottom w:val="none" w:sz="0" w:space="0" w:color="auto"/>
        <w:right w:val="none" w:sz="0" w:space="0" w:color="auto"/>
      </w:divBdr>
    </w:div>
    <w:div w:id="279187361">
      <w:marLeft w:val="0"/>
      <w:marRight w:val="0"/>
      <w:marTop w:val="0"/>
      <w:marBottom w:val="0"/>
      <w:divBdr>
        <w:top w:val="none" w:sz="0" w:space="0" w:color="auto"/>
        <w:left w:val="none" w:sz="0" w:space="0" w:color="auto"/>
        <w:bottom w:val="none" w:sz="0" w:space="0" w:color="auto"/>
        <w:right w:val="none" w:sz="0" w:space="0" w:color="auto"/>
      </w:divBdr>
    </w:div>
    <w:div w:id="279187362">
      <w:marLeft w:val="0"/>
      <w:marRight w:val="0"/>
      <w:marTop w:val="0"/>
      <w:marBottom w:val="0"/>
      <w:divBdr>
        <w:top w:val="none" w:sz="0" w:space="0" w:color="auto"/>
        <w:left w:val="none" w:sz="0" w:space="0" w:color="auto"/>
        <w:bottom w:val="none" w:sz="0" w:space="0" w:color="auto"/>
        <w:right w:val="none" w:sz="0" w:space="0" w:color="auto"/>
      </w:divBdr>
    </w:div>
    <w:div w:id="279187363">
      <w:marLeft w:val="0"/>
      <w:marRight w:val="0"/>
      <w:marTop w:val="0"/>
      <w:marBottom w:val="0"/>
      <w:divBdr>
        <w:top w:val="none" w:sz="0" w:space="0" w:color="auto"/>
        <w:left w:val="none" w:sz="0" w:space="0" w:color="auto"/>
        <w:bottom w:val="none" w:sz="0" w:space="0" w:color="auto"/>
        <w:right w:val="none" w:sz="0" w:space="0" w:color="auto"/>
      </w:divBdr>
    </w:div>
    <w:div w:id="279187364">
      <w:marLeft w:val="0"/>
      <w:marRight w:val="0"/>
      <w:marTop w:val="0"/>
      <w:marBottom w:val="0"/>
      <w:divBdr>
        <w:top w:val="none" w:sz="0" w:space="0" w:color="auto"/>
        <w:left w:val="none" w:sz="0" w:space="0" w:color="auto"/>
        <w:bottom w:val="none" w:sz="0" w:space="0" w:color="auto"/>
        <w:right w:val="none" w:sz="0" w:space="0" w:color="auto"/>
      </w:divBdr>
    </w:div>
    <w:div w:id="279187365">
      <w:marLeft w:val="0"/>
      <w:marRight w:val="0"/>
      <w:marTop w:val="0"/>
      <w:marBottom w:val="0"/>
      <w:divBdr>
        <w:top w:val="none" w:sz="0" w:space="0" w:color="auto"/>
        <w:left w:val="none" w:sz="0" w:space="0" w:color="auto"/>
        <w:bottom w:val="none" w:sz="0" w:space="0" w:color="auto"/>
        <w:right w:val="none" w:sz="0" w:space="0" w:color="auto"/>
      </w:divBdr>
    </w:div>
    <w:div w:id="279187366">
      <w:marLeft w:val="0"/>
      <w:marRight w:val="0"/>
      <w:marTop w:val="0"/>
      <w:marBottom w:val="0"/>
      <w:divBdr>
        <w:top w:val="none" w:sz="0" w:space="0" w:color="auto"/>
        <w:left w:val="none" w:sz="0" w:space="0" w:color="auto"/>
        <w:bottom w:val="none" w:sz="0" w:space="0" w:color="auto"/>
        <w:right w:val="none" w:sz="0" w:space="0" w:color="auto"/>
      </w:divBdr>
    </w:div>
    <w:div w:id="279187367">
      <w:marLeft w:val="0"/>
      <w:marRight w:val="0"/>
      <w:marTop w:val="0"/>
      <w:marBottom w:val="0"/>
      <w:divBdr>
        <w:top w:val="none" w:sz="0" w:space="0" w:color="auto"/>
        <w:left w:val="none" w:sz="0" w:space="0" w:color="auto"/>
        <w:bottom w:val="none" w:sz="0" w:space="0" w:color="auto"/>
        <w:right w:val="none" w:sz="0" w:space="0" w:color="auto"/>
      </w:divBdr>
    </w:div>
    <w:div w:id="279187368">
      <w:marLeft w:val="0"/>
      <w:marRight w:val="0"/>
      <w:marTop w:val="0"/>
      <w:marBottom w:val="0"/>
      <w:divBdr>
        <w:top w:val="none" w:sz="0" w:space="0" w:color="auto"/>
        <w:left w:val="none" w:sz="0" w:space="0" w:color="auto"/>
        <w:bottom w:val="none" w:sz="0" w:space="0" w:color="auto"/>
        <w:right w:val="none" w:sz="0" w:space="0" w:color="auto"/>
      </w:divBdr>
    </w:div>
    <w:div w:id="279187369">
      <w:marLeft w:val="0"/>
      <w:marRight w:val="0"/>
      <w:marTop w:val="0"/>
      <w:marBottom w:val="0"/>
      <w:divBdr>
        <w:top w:val="none" w:sz="0" w:space="0" w:color="auto"/>
        <w:left w:val="none" w:sz="0" w:space="0" w:color="auto"/>
        <w:bottom w:val="none" w:sz="0" w:space="0" w:color="auto"/>
        <w:right w:val="none" w:sz="0" w:space="0" w:color="auto"/>
      </w:divBdr>
    </w:div>
    <w:div w:id="279187370">
      <w:marLeft w:val="0"/>
      <w:marRight w:val="0"/>
      <w:marTop w:val="0"/>
      <w:marBottom w:val="0"/>
      <w:divBdr>
        <w:top w:val="none" w:sz="0" w:space="0" w:color="auto"/>
        <w:left w:val="none" w:sz="0" w:space="0" w:color="auto"/>
        <w:bottom w:val="none" w:sz="0" w:space="0" w:color="auto"/>
        <w:right w:val="none" w:sz="0" w:space="0" w:color="auto"/>
      </w:divBdr>
    </w:div>
    <w:div w:id="279187371">
      <w:marLeft w:val="0"/>
      <w:marRight w:val="0"/>
      <w:marTop w:val="0"/>
      <w:marBottom w:val="0"/>
      <w:divBdr>
        <w:top w:val="none" w:sz="0" w:space="0" w:color="auto"/>
        <w:left w:val="none" w:sz="0" w:space="0" w:color="auto"/>
        <w:bottom w:val="none" w:sz="0" w:space="0" w:color="auto"/>
        <w:right w:val="none" w:sz="0" w:space="0" w:color="auto"/>
      </w:divBdr>
    </w:div>
    <w:div w:id="279187372">
      <w:marLeft w:val="0"/>
      <w:marRight w:val="0"/>
      <w:marTop w:val="0"/>
      <w:marBottom w:val="0"/>
      <w:divBdr>
        <w:top w:val="none" w:sz="0" w:space="0" w:color="auto"/>
        <w:left w:val="none" w:sz="0" w:space="0" w:color="auto"/>
        <w:bottom w:val="none" w:sz="0" w:space="0" w:color="auto"/>
        <w:right w:val="none" w:sz="0" w:space="0" w:color="auto"/>
      </w:divBdr>
    </w:div>
    <w:div w:id="279187373">
      <w:marLeft w:val="0"/>
      <w:marRight w:val="0"/>
      <w:marTop w:val="0"/>
      <w:marBottom w:val="0"/>
      <w:divBdr>
        <w:top w:val="none" w:sz="0" w:space="0" w:color="auto"/>
        <w:left w:val="none" w:sz="0" w:space="0" w:color="auto"/>
        <w:bottom w:val="none" w:sz="0" w:space="0" w:color="auto"/>
        <w:right w:val="none" w:sz="0" w:space="0" w:color="auto"/>
      </w:divBdr>
    </w:div>
    <w:div w:id="279187374">
      <w:marLeft w:val="0"/>
      <w:marRight w:val="0"/>
      <w:marTop w:val="0"/>
      <w:marBottom w:val="0"/>
      <w:divBdr>
        <w:top w:val="none" w:sz="0" w:space="0" w:color="auto"/>
        <w:left w:val="none" w:sz="0" w:space="0" w:color="auto"/>
        <w:bottom w:val="none" w:sz="0" w:space="0" w:color="auto"/>
        <w:right w:val="none" w:sz="0" w:space="0" w:color="auto"/>
      </w:divBdr>
    </w:div>
    <w:div w:id="279187375">
      <w:marLeft w:val="0"/>
      <w:marRight w:val="0"/>
      <w:marTop w:val="0"/>
      <w:marBottom w:val="0"/>
      <w:divBdr>
        <w:top w:val="none" w:sz="0" w:space="0" w:color="auto"/>
        <w:left w:val="none" w:sz="0" w:space="0" w:color="auto"/>
        <w:bottom w:val="none" w:sz="0" w:space="0" w:color="auto"/>
        <w:right w:val="none" w:sz="0" w:space="0" w:color="auto"/>
      </w:divBdr>
    </w:div>
    <w:div w:id="279187376">
      <w:marLeft w:val="0"/>
      <w:marRight w:val="0"/>
      <w:marTop w:val="0"/>
      <w:marBottom w:val="0"/>
      <w:divBdr>
        <w:top w:val="none" w:sz="0" w:space="0" w:color="auto"/>
        <w:left w:val="none" w:sz="0" w:space="0" w:color="auto"/>
        <w:bottom w:val="none" w:sz="0" w:space="0" w:color="auto"/>
        <w:right w:val="none" w:sz="0" w:space="0" w:color="auto"/>
      </w:divBdr>
    </w:div>
    <w:div w:id="279187377">
      <w:marLeft w:val="0"/>
      <w:marRight w:val="0"/>
      <w:marTop w:val="0"/>
      <w:marBottom w:val="0"/>
      <w:divBdr>
        <w:top w:val="none" w:sz="0" w:space="0" w:color="auto"/>
        <w:left w:val="none" w:sz="0" w:space="0" w:color="auto"/>
        <w:bottom w:val="none" w:sz="0" w:space="0" w:color="auto"/>
        <w:right w:val="none" w:sz="0" w:space="0" w:color="auto"/>
      </w:divBdr>
    </w:div>
    <w:div w:id="279187378">
      <w:marLeft w:val="0"/>
      <w:marRight w:val="0"/>
      <w:marTop w:val="0"/>
      <w:marBottom w:val="0"/>
      <w:divBdr>
        <w:top w:val="none" w:sz="0" w:space="0" w:color="auto"/>
        <w:left w:val="none" w:sz="0" w:space="0" w:color="auto"/>
        <w:bottom w:val="none" w:sz="0" w:space="0" w:color="auto"/>
        <w:right w:val="none" w:sz="0" w:space="0" w:color="auto"/>
      </w:divBdr>
    </w:div>
    <w:div w:id="279187379">
      <w:marLeft w:val="0"/>
      <w:marRight w:val="0"/>
      <w:marTop w:val="0"/>
      <w:marBottom w:val="0"/>
      <w:divBdr>
        <w:top w:val="none" w:sz="0" w:space="0" w:color="auto"/>
        <w:left w:val="none" w:sz="0" w:space="0" w:color="auto"/>
        <w:bottom w:val="none" w:sz="0" w:space="0" w:color="auto"/>
        <w:right w:val="none" w:sz="0" w:space="0" w:color="auto"/>
      </w:divBdr>
    </w:div>
    <w:div w:id="279187380">
      <w:marLeft w:val="0"/>
      <w:marRight w:val="0"/>
      <w:marTop w:val="0"/>
      <w:marBottom w:val="0"/>
      <w:divBdr>
        <w:top w:val="none" w:sz="0" w:space="0" w:color="auto"/>
        <w:left w:val="none" w:sz="0" w:space="0" w:color="auto"/>
        <w:bottom w:val="none" w:sz="0" w:space="0" w:color="auto"/>
        <w:right w:val="none" w:sz="0" w:space="0" w:color="auto"/>
      </w:divBdr>
    </w:div>
    <w:div w:id="279187381">
      <w:marLeft w:val="0"/>
      <w:marRight w:val="0"/>
      <w:marTop w:val="0"/>
      <w:marBottom w:val="0"/>
      <w:divBdr>
        <w:top w:val="none" w:sz="0" w:space="0" w:color="auto"/>
        <w:left w:val="none" w:sz="0" w:space="0" w:color="auto"/>
        <w:bottom w:val="none" w:sz="0" w:space="0" w:color="auto"/>
        <w:right w:val="none" w:sz="0" w:space="0" w:color="auto"/>
      </w:divBdr>
    </w:div>
    <w:div w:id="279187382">
      <w:marLeft w:val="0"/>
      <w:marRight w:val="0"/>
      <w:marTop w:val="0"/>
      <w:marBottom w:val="0"/>
      <w:divBdr>
        <w:top w:val="none" w:sz="0" w:space="0" w:color="auto"/>
        <w:left w:val="none" w:sz="0" w:space="0" w:color="auto"/>
        <w:bottom w:val="none" w:sz="0" w:space="0" w:color="auto"/>
        <w:right w:val="none" w:sz="0" w:space="0" w:color="auto"/>
      </w:divBdr>
    </w:div>
    <w:div w:id="279187383">
      <w:marLeft w:val="0"/>
      <w:marRight w:val="0"/>
      <w:marTop w:val="0"/>
      <w:marBottom w:val="0"/>
      <w:divBdr>
        <w:top w:val="none" w:sz="0" w:space="0" w:color="auto"/>
        <w:left w:val="none" w:sz="0" w:space="0" w:color="auto"/>
        <w:bottom w:val="none" w:sz="0" w:space="0" w:color="auto"/>
        <w:right w:val="none" w:sz="0" w:space="0" w:color="auto"/>
      </w:divBdr>
    </w:div>
    <w:div w:id="279187384">
      <w:marLeft w:val="0"/>
      <w:marRight w:val="0"/>
      <w:marTop w:val="0"/>
      <w:marBottom w:val="0"/>
      <w:divBdr>
        <w:top w:val="none" w:sz="0" w:space="0" w:color="auto"/>
        <w:left w:val="none" w:sz="0" w:space="0" w:color="auto"/>
        <w:bottom w:val="none" w:sz="0" w:space="0" w:color="auto"/>
        <w:right w:val="none" w:sz="0" w:space="0" w:color="auto"/>
      </w:divBdr>
    </w:div>
    <w:div w:id="279187385">
      <w:marLeft w:val="0"/>
      <w:marRight w:val="0"/>
      <w:marTop w:val="0"/>
      <w:marBottom w:val="0"/>
      <w:divBdr>
        <w:top w:val="none" w:sz="0" w:space="0" w:color="auto"/>
        <w:left w:val="none" w:sz="0" w:space="0" w:color="auto"/>
        <w:bottom w:val="none" w:sz="0" w:space="0" w:color="auto"/>
        <w:right w:val="none" w:sz="0" w:space="0" w:color="auto"/>
      </w:divBdr>
    </w:div>
    <w:div w:id="279187386">
      <w:marLeft w:val="0"/>
      <w:marRight w:val="0"/>
      <w:marTop w:val="0"/>
      <w:marBottom w:val="0"/>
      <w:divBdr>
        <w:top w:val="none" w:sz="0" w:space="0" w:color="auto"/>
        <w:left w:val="none" w:sz="0" w:space="0" w:color="auto"/>
        <w:bottom w:val="none" w:sz="0" w:space="0" w:color="auto"/>
        <w:right w:val="none" w:sz="0" w:space="0" w:color="auto"/>
      </w:divBdr>
    </w:div>
    <w:div w:id="279187387">
      <w:marLeft w:val="0"/>
      <w:marRight w:val="0"/>
      <w:marTop w:val="0"/>
      <w:marBottom w:val="0"/>
      <w:divBdr>
        <w:top w:val="none" w:sz="0" w:space="0" w:color="auto"/>
        <w:left w:val="none" w:sz="0" w:space="0" w:color="auto"/>
        <w:bottom w:val="none" w:sz="0" w:space="0" w:color="auto"/>
        <w:right w:val="none" w:sz="0" w:space="0" w:color="auto"/>
      </w:divBdr>
    </w:div>
    <w:div w:id="279187388">
      <w:marLeft w:val="0"/>
      <w:marRight w:val="0"/>
      <w:marTop w:val="0"/>
      <w:marBottom w:val="0"/>
      <w:divBdr>
        <w:top w:val="none" w:sz="0" w:space="0" w:color="auto"/>
        <w:left w:val="none" w:sz="0" w:space="0" w:color="auto"/>
        <w:bottom w:val="none" w:sz="0" w:space="0" w:color="auto"/>
        <w:right w:val="none" w:sz="0" w:space="0" w:color="auto"/>
      </w:divBdr>
    </w:div>
    <w:div w:id="279187389">
      <w:marLeft w:val="0"/>
      <w:marRight w:val="0"/>
      <w:marTop w:val="0"/>
      <w:marBottom w:val="0"/>
      <w:divBdr>
        <w:top w:val="none" w:sz="0" w:space="0" w:color="auto"/>
        <w:left w:val="none" w:sz="0" w:space="0" w:color="auto"/>
        <w:bottom w:val="none" w:sz="0" w:space="0" w:color="auto"/>
        <w:right w:val="none" w:sz="0" w:space="0" w:color="auto"/>
      </w:divBdr>
    </w:div>
    <w:div w:id="279187390">
      <w:marLeft w:val="0"/>
      <w:marRight w:val="0"/>
      <w:marTop w:val="0"/>
      <w:marBottom w:val="0"/>
      <w:divBdr>
        <w:top w:val="none" w:sz="0" w:space="0" w:color="auto"/>
        <w:left w:val="none" w:sz="0" w:space="0" w:color="auto"/>
        <w:bottom w:val="none" w:sz="0" w:space="0" w:color="auto"/>
        <w:right w:val="none" w:sz="0" w:space="0" w:color="auto"/>
      </w:divBdr>
    </w:div>
    <w:div w:id="279187391">
      <w:marLeft w:val="0"/>
      <w:marRight w:val="0"/>
      <w:marTop w:val="0"/>
      <w:marBottom w:val="0"/>
      <w:divBdr>
        <w:top w:val="none" w:sz="0" w:space="0" w:color="auto"/>
        <w:left w:val="none" w:sz="0" w:space="0" w:color="auto"/>
        <w:bottom w:val="none" w:sz="0" w:space="0" w:color="auto"/>
        <w:right w:val="none" w:sz="0" w:space="0" w:color="auto"/>
      </w:divBdr>
    </w:div>
    <w:div w:id="279187392">
      <w:marLeft w:val="0"/>
      <w:marRight w:val="0"/>
      <w:marTop w:val="0"/>
      <w:marBottom w:val="0"/>
      <w:divBdr>
        <w:top w:val="none" w:sz="0" w:space="0" w:color="auto"/>
        <w:left w:val="none" w:sz="0" w:space="0" w:color="auto"/>
        <w:bottom w:val="none" w:sz="0" w:space="0" w:color="auto"/>
        <w:right w:val="none" w:sz="0" w:space="0" w:color="auto"/>
      </w:divBdr>
    </w:div>
    <w:div w:id="279187393">
      <w:marLeft w:val="0"/>
      <w:marRight w:val="0"/>
      <w:marTop w:val="0"/>
      <w:marBottom w:val="0"/>
      <w:divBdr>
        <w:top w:val="none" w:sz="0" w:space="0" w:color="auto"/>
        <w:left w:val="none" w:sz="0" w:space="0" w:color="auto"/>
        <w:bottom w:val="none" w:sz="0" w:space="0" w:color="auto"/>
        <w:right w:val="none" w:sz="0" w:space="0" w:color="auto"/>
      </w:divBdr>
    </w:div>
    <w:div w:id="279187394">
      <w:marLeft w:val="0"/>
      <w:marRight w:val="0"/>
      <w:marTop w:val="0"/>
      <w:marBottom w:val="0"/>
      <w:divBdr>
        <w:top w:val="none" w:sz="0" w:space="0" w:color="auto"/>
        <w:left w:val="none" w:sz="0" w:space="0" w:color="auto"/>
        <w:bottom w:val="none" w:sz="0" w:space="0" w:color="auto"/>
        <w:right w:val="none" w:sz="0" w:space="0" w:color="auto"/>
      </w:divBdr>
    </w:div>
    <w:div w:id="279187395">
      <w:marLeft w:val="0"/>
      <w:marRight w:val="0"/>
      <w:marTop w:val="0"/>
      <w:marBottom w:val="0"/>
      <w:divBdr>
        <w:top w:val="none" w:sz="0" w:space="0" w:color="auto"/>
        <w:left w:val="none" w:sz="0" w:space="0" w:color="auto"/>
        <w:bottom w:val="none" w:sz="0" w:space="0" w:color="auto"/>
        <w:right w:val="none" w:sz="0" w:space="0" w:color="auto"/>
      </w:divBdr>
    </w:div>
    <w:div w:id="279187396">
      <w:marLeft w:val="0"/>
      <w:marRight w:val="0"/>
      <w:marTop w:val="0"/>
      <w:marBottom w:val="0"/>
      <w:divBdr>
        <w:top w:val="none" w:sz="0" w:space="0" w:color="auto"/>
        <w:left w:val="none" w:sz="0" w:space="0" w:color="auto"/>
        <w:bottom w:val="none" w:sz="0" w:space="0" w:color="auto"/>
        <w:right w:val="none" w:sz="0" w:space="0" w:color="auto"/>
      </w:divBdr>
    </w:div>
    <w:div w:id="279187397">
      <w:marLeft w:val="0"/>
      <w:marRight w:val="0"/>
      <w:marTop w:val="0"/>
      <w:marBottom w:val="0"/>
      <w:divBdr>
        <w:top w:val="none" w:sz="0" w:space="0" w:color="auto"/>
        <w:left w:val="none" w:sz="0" w:space="0" w:color="auto"/>
        <w:bottom w:val="none" w:sz="0" w:space="0" w:color="auto"/>
        <w:right w:val="none" w:sz="0" w:space="0" w:color="auto"/>
      </w:divBdr>
    </w:div>
    <w:div w:id="279187398">
      <w:marLeft w:val="0"/>
      <w:marRight w:val="0"/>
      <w:marTop w:val="0"/>
      <w:marBottom w:val="0"/>
      <w:divBdr>
        <w:top w:val="none" w:sz="0" w:space="0" w:color="auto"/>
        <w:left w:val="none" w:sz="0" w:space="0" w:color="auto"/>
        <w:bottom w:val="none" w:sz="0" w:space="0" w:color="auto"/>
        <w:right w:val="none" w:sz="0" w:space="0" w:color="auto"/>
      </w:divBdr>
    </w:div>
    <w:div w:id="279187399">
      <w:marLeft w:val="0"/>
      <w:marRight w:val="0"/>
      <w:marTop w:val="0"/>
      <w:marBottom w:val="0"/>
      <w:divBdr>
        <w:top w:val="none" w:sz="0" w:space="0" w:color="auto"/>
        <w:left w:val="none" w:sz="0" w:space="0" w:color="auto"/>
        <w:bottom w:val="none" w:sz="0" w:space="0" w:color="auto"/>
        <w:right w:val="none" w:sz="0" w:space="0" w:color="auto"/>
      </w:divBdr>
    </w:div>
    <w:div w:id="279187400">
      <w:marLeft w:val="0"/>
      <w:marRight w:val="0"/>
      <w:marTop w:val="0"/>
      <w:marBottom w:val="0"/>
      <w:divBdr>
        <w:top w:val="none" w:sz="0" w:space="0" w:color="auto"/>
        <w:left w:val="none" w:sz="0" w:space="0" w:color="auto"/>
        <w:bottom w:val="none" w:sz="0" w:space="0" w:color="auto"/>
        <w:right w:val="none" w:sz="0" w:space="0" w:color="auto"/>
      </w:divBdr>
    </w:div>
    <w:div w:id="279187401">
      <w:marLeft w:val="0"/>
      <w:marRight w:val="0"/>
      <w:marTop w:val="0"/>
      <w:marBottom w:val="0"/>
      <w:divBdr>
        <w:top w:val="none" w:sz="0" w:space="0" w:color="auto"/>
        <w:left w:val="none" w:sz="0" w:space="0" w:color="auto"/>
        <w:bottom w:val="none" w:sz="0" w:space="0" w:color="auto"/>
        <w:right w:val="none" w:sz="0" w:space="0" w:color="auto"/>
      </w:divBdr>
    </w:div>
    <w:div w:id="279187402">
      <w:marLeft w:val="0"/>
      <w:marRight w:val="0"/>
      <w:marTop w:val="0"/>
      <w:marBottom w:val="0"/>
      <w:divBdr>
        <w:top w:val="none" w:sz="0" w:space="0" w:color="auto"/>
        <w:left w:val="none" w:sz="0" w:space="0" w:color="auto"/>
        <w:bottom w:val="none" w:sz="0" w:space="0" w:color="auto"/>
        <w:right w:val="none" w:sz="0" w:space="0" w:color="auto"/>
      </w:divBdr>
    </w:div>
    <w:div w:id="279187403">
      <w:marLeft w:val="0"/>
      <w:marRight w:val="0"/>
      <w:marTop w:val="0"/>
      <w:marBottom w:val="0"/>
      <w:divBdr>
        <w:top w:val="none" w:sz="0" w:space="0" w:color="auto"/>
        <w:left w:val="none" w:sz="0" w:space="0" w:color="auto"/>
        <w:bottom w:val="none" w:sz="0" w:space="0" w:color="auto"/>
        <w:right w:val="none" w:sz="0" w:space="0" w:color="auto"/>
      </w:divBdr>
    </w:div>
    <w:div w:id="279187404">
      <w:marLeft w:val="0"/>
      <w:marRight w:val="0"/>
      <w:marTop w:val="0"/>
      <w:marBottom w:val="0"/>
      <w:divBdr>
        <w:top w:val="none" w:sz="0" w:space="0" w:color="auto"/>
        <w:left w:val="none" w:sz="0" w:space="0" w:color="auto"/>
        <w:bottom w:val="none" w:sz="0" w:space="0" w:color="auto"/>
        <w:right w:val="none" w:sz="0" w:space="0" w:color="auto"/>
      </w:divBdr>
    </w:div>
    <w:div w:id="279187405">
      <w:marLeft w:val="0"/>
      <w:marRight w:val="0"/>
      <w:marTop w:val="0"/>
      <w:marBottom w:val="0"/>
      <w:divBdr>
        <w:top w:val="none" w:sz="0" w:space="0" w:color="auto"/>
        <w:left w:val="none" w:sz="0" w:space="0" w:color="auto"/>
        <w:bottom w:val="none" w:sz="0" w:space="0" w:color="auto"/>
        <w:right w:val="none" w:sz="0" w:space="0" w:color="auto"/>
      </w:divBdr>
    </w:div>
    <w:div w:id="279187406">
      <w:marLeft w:val="0"/>
      <w:marRight w:val="0"/>
      <w:marTop w:val="0"/>
      <w:marBottom w:val="0"/>
      <w:divBdr>
        <w:top w:val="none" w:sz="0" w:space="0" w:color="auto"/>
        <w:left w:val="none" w:sz="0" w:space="0" w:color="auto"/>
        <w:bottom w:val="none" w:sz="0" w:space="0" w:color="auto"/>
        <w:right w:val="none" w:sz="0" w:space="0" w:color="auto"/>
      </w:divBdr>
    </w:div>
    <w:div w:id="279187407">
      <w:marLeft w:val="0"/>
      <w:marRight w:val="0"/>
      <w:marTop w:val="0"/>
      <w:marBottom w:val="0"/>
      <w:divBdr>
        <w:top w:val="none" w:sz="0" w:space="0" w:color="auto"/>
        <w:left w:val="none" w:sz="0" w:space="0" w:color="auto"/>
        <w:bottom w:val="none" w:sz="0" w:space="0" w:color="auto"/>
        <w:right w:val="none" w:sz="0" w:space="0" w:color="auto"/>
      </w:divBdr>
    </w:div>
    <w:div w:id="279187408">
      <w:marLeft w:val="0"/>
      <w:marRight w:val="0"/>
      <w:marTop w:val="0"/>
      <w:marBottom w:val="0"/>
      <w:divBdr>
        <w:top w:val="none" w:sz="0" w:space="0" w:color="auto"/>
        <w:left w:val="none" w:sz="0" w:space="0" w:color="auto"/>
        <w:bottom w:val="none" w:sz="0" w:space="0" w:color="auto"/>
        <w:right w:val="none" w:sz="0" w:space="0" w:color="auto"/>
      </w:divBdr>
    </w:div>
    <w:div w:id="279187409">
      <w:marLeft w:val="0"/>
      <w:marRight w:val="0"/>
      <w:marTop w:val="0"/>
      <w:marBottom w:val="0"/>
      <w:divBdr>
        <w:top w:val="none" w:sz="0" w:space="0" w:color="auto"/>
        <w:left w:val="none" w:sz="0" w:space="0" w:color="auto"/>
        <w:bottom w:val="none" w:sz="0" w:space="0" w:color="auto"/>
        <w:right w:val="none" w:sz="0" w:space="0" w:color="auto"/>
      </w:divBdr>
    </w:div>
    <w:div w:id="279187410">
      <w:marLeft w:val="0"/>
      <w:marRight w:val="0"/>
      <w:marTop w:val="0"/>
      <w:marBottom w:val="0"/>
      <w:divBdr>
        <w:top w:val="none" w:sz="0" w:space="0" w:color="auto"/>
        <w:left w:val="none" w:sz="0" w:space="0" w:color="auto"/>
        <w:bottom w:val="none" w:sz="0" w:space="0" w:color="auto"/>
        <w:right w:val="none" w:sz="0" w:space="0" w:color="auto"/>
      </w:divBdr>
    </w:div>
    <w:div w:id="279187411">
      <w:marLeft w:val="0"/>
      <w:marRight w:val="0"/>
      <w:marTop w:val="0"/>
      <w:marBottom w:val="0"/>
      <w:divBdr>
        <w:top w:val="none" w:sz="0" w:space="0" w:color="auto"/>
        <w:left w:val="none" w:sz="0" w:space="0" w:color="auto"/>
        <w:bottom w:val="none" w:sz="0" w:space="0" w:color="auto"/>
        <w:right w:val="none" w:sz="0" w:space="0" w:color="auto"/>
      </w:divBdr>
    </w:div>
    <w:div w:id="279187412">
      <w:marLeft w:val="0"/>
      <w:marRight w:val="0"/>
      <w:marTop w:val="0"/>
      <w:marBottom w:val="0"/>
      <w:divBdr>
        <w:top w:val="none" w:sz="0" w:space="0" w:color="auto"/>
        <w:left w:val="none" w:sz="0" w:space="0" w:color="auto"/>
        <w:bottom w:val="none" w:sz="0" w:space="0" w:color="auto"/>
        <w:right w:val="none" w:sz="0" w:space="0" w:color="auto"/>
      </w:divBdr>
    </w:div>
    <w:div w:id="279187413">
      <w:marLeft w:val="0"/>
      <w:marRight w:val="0"/>
      <w:marTop w:val="0"/>
      <w:marBottom w:val="0"/>
      <w:divBdr>
        <w:top w:val="none" w:sz="0" w:space="0" w:color="auto"/>
        <w:left w:val="none" w:sz="0" w:space="0" w:color="auto"/>
        <w:bottom w:val="none" w:sz="0" w:space="0" w:color="auto"/>
        <w:right w:val="none" w:sz="0" w:space="0" w:color="auto"/>
      </w:divBdr>
    </w:div>
    <w:div w:id="279187414">
      <w:marLeft w:val="0"/>
      <w:marRight w:val="0"/>
      <w:marTop w:val="0"/>
      <w:marBottom w:val="0"/>
      <w:divBdr>
        <w:top w:val="none" w:sz="0" w:space="0" w:color="auto"/>
        <w:left w:val="none" w:sz="0" w:space="0" w:color="auto"/>
        <w:bottom w:val="none" w:sz="0" w:space="0" w:color="auto"/>
        <w:right w:val="none" w:sz="0" w:space="0" w:color="auto"/>
      </w:divBdr>
    </w:div>
    <w:div w:id="279187415">
      <w:marLeft w:val="0"/>
      <w:marRight w:val="0"/>
      <w:marTop w:val="0"/>
      <w:marBottom w:val="0"/>
      <w:divBdr>
        <w:top w:val="none" w:sz="0" w:space="0" w:color="auto"/>
        <w:left w:val="none" w:sz="0" w:space="0" w:color="auto"/>
        <w:bottom w:val="none" w:sz="0" w:space="0" w:color="auto"/>
        <w:right w:val="none" w:sz="0" w:space="0" w:color="auto"/>
      </w:divBdr>
    </w:div>
    <w:div w:id="279187416">
      <w:marLeft w:val="0"/>
      <w:marRight w:val="0"/>
      <w:marTop w:val="0"/>
      <w:marBottom w:val="0"/>
      <w:divBdr>
        <w:top w:val="none" w:sz="0" w:space="0" w:color="auto"/>
        <w:left w:val="none" w:sz="0" w:space="0" w:color="auto"/>
        <w:bottom w:val="none" w:sz="0" w:space="0" w:color="auto"/>
        <w:right w:val="none" w:sz="0" w:space="0" w:color="auto"/>
      </w:divBdr>
    </w:div>
    <w:div w:id="279187417">
      <w:marLeft w:val="0"/>
      <w:marRight w:val="0"/>
      <w:marTop w:val="0"/>
      <w:marBottom w:val="0"/>
      <w:divBdr>
        <w:top w:val="none" w:sz="0" w:space="0" w:color="auto"/>
        <w:left w:val="none" w:sz="0" w:space="0" w:color="auto"/>
        <w:bottom w:val="none" w:sz="0" w:space="0" w:color="auto"/>
        <w:right w:val="none" w:sz="0" w:space="0" w:color="auto"/>
      </w:divBdr>
    </w:div>
    <w:div w:id="279187418">
      <w:marLeft w:val="0"/>
      <w:marRight w:val="0"/>
      <w:marTop w:val="0"/>
      <w:marBottom w:val="0"/>
      <w:divBdr>
        <w:top w:val="none" w:sz="0" w:space="0" w:color="auto"/>
        <w:left w:val="none" w:sz="0" w:space="0" w:color="auto"/>
        <w:bottom w:val="none" w:sz="0" w:space="0" w:color="auto"/>
        <w:right w:val="none" w:sz="0" w:space="0" w:color="auto"/>
      </w:divBdr>
    </w:div>
    <w:div w:id="279187419">
      <w:marLeft w:val="0"/>
      <w:marRight w:val="0"/>
      <w:marTop w:val="0"/>
      <w:marBottom w:val="0"/>
      <w:divBdr>
        <w:top w:val="none" w:sz="0" w:space="0" w:color="auto"/>
        <w:left w:val="none" w:sz="0" w:space="0" w:color="auto"/>
        <w:bottom w:val="none" w:sz="0" w:space="0" w:color="auto"/>
        <w:right w:val="none" w:sz="0" w:space="0" w:color="auto"/>
      </w:divBdr>
    </w:div>
    <w:div w:id="279187420">
      <w:marLeft w:val="0"/>
      <w:marRight w:val="0"/>
      <w:marTop w:val="0"/>
      <w:marBottom w:val="0"/>
      <w:divBdr>
        <w:top w:val="none" w:sz="0" w:space="0" w:color="auto"/>
        <w:left w:val="none" w:sz="0" w:space="0" w:color="auto"/>
        <w:bottom w:val="none" w:sz="0" w:space="0" w:color="auto"/>
        <w:right w:val="none" w:sz="0" w:space="0" w:color="auto"/>
      </w:divBdr>
    </w:div>
    <w:div w:id="279187421">
      <w:marLeft w:val="0"/>
      <w:marRight w:val="0"/>
      <w:marTop w:val="0"/>
      <w:marBottom w:val="0"/>
      <w:divBdr>
        <w:top w:val="none" w:sz="0" w:space="0" w:color="auto"/>
        <w:left w:val="none" w:sz="0" w:space="0" w:color="auto"/>
        <w:bottom w:val="none" w:sz="0" w:space="0" w:color="auto"/>
        <w:right w:val="none" w:sz="0" w:space="0" w:color="auto"/>
      </w:divBdr>
    </w:div>
    <w:div w:id="279187422">
      <w:marLeft w:val="0"/>
      <w:marRight w:val="0"/>
      <w:marTop w:val="0"/>
      <w:marBottom w:val="0"/>
      <w:divBdr>
        <w:top w:val="none" w:sz="0" w:space="0" w:color="auto"/>
        <w:left w:val="none" w:sz="0" w:space="0" w:color="auto"/>
        <w:bottom w:val="none" w:sz="0" w:space="0" w:color="auto"/>
        <w:right w:val="none" w:sz="0" w:space="0" w:color="auto"/>
      </w:divBdr>
    </w:div>
    <w:div w:id="279187423">
      <w:marLeft w:val="0"/>
      <w:marRight w:val="0"/>
      <w:marTop w:val="0"/>
      <w:marBottom w:val="0"/>
      <w:divBdr>
        <w:top w:val="none" w:sz="0" w:space="0" w:color="auto"/>
        <w:left w:val="none" w:sz="0" w:space="0" w:color="auto"/>
        <w:bottom w:val="none" w:sz="0" w:space="0" w:color="auto"/>
        <w:right w:val="none" w:sz="0" w:space="0" w:color="auto"/>
      </w:divBdr>
    </w:div>
    <w:div w:id="279187424">
      <w:marLeft w:val="0"/>
      <w:marRight w:val="0"/>
      <w:marTop w:val="0"/>
      <w:marBottom w:val="0"/>
      <w:divBdr>
        <w:top w:val="none" w:sz="0" w:space="0" w:color="auto"/>
        <w:left w:val="none" w:sz="0" w:space="0" w:color="auto"/>
        <w:bottom w:val="none" w:sz="0" w:space="0" w:color="auto"/>
        <w:right w:val="none" w:sz="0" w:space="0" w:color="auto"/>
      </w:divBdr>
    </w:div>
    <w:div w:id="279187425">
      <w:marLeft w:val="0"/>
      <w:marRight w:val="0"/>
      <w:marTop w:val="0"/>
      <w:marBottom w:val="0"/>
      <w:divBdr>
        <w:top w:val="none" w:sz="0" w:space="0" w:color="auto"/>
        <w:left w:val="none" w:sz="0" w:space="0" w:color="auto"/>
        <w:bottom w:val="none" w:sz="0" w:space="0" w:color="auto"/>
        <w:right w:val="none" w:sz="0" w:space="0" w:color="auto"/>
      </w:divBdr>
    </w:div>
    <w:div w:id="279187426">
      <w:marLeft w:val="0"/>
      <w:marRight w:val="0"/>
      <w:marTop w:val="0"/>
      <w:marBottom w:val="0"/>
      <w:divBdr>
        <w:top w:val="none" w:sz="0" w:space="0" w:color="auto"/>
        <w:left w:val="none" w:sz="0" w:space="0" w:color="auto"/>
        <w:bottom w:val="none" w:sz="0" w:space="0" w:color="auto"/>
        <w:right w:val="none" w:sz="0" w:space="0" w:color="auto"/>
      </w:divBdr>
    </w:div>
    <w:div w:id="2791874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38" Type="http://schemas.openxmlformats.org/officeDocument/2006/relationships/chart" Target="charts/chart1.xml"/><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28" Type="http://schemas.openxmlformats.org/officeDocument/2006/relationships/image" Target="media/image121.emf"/><Relationship Id="rId5" Type="http://schemas.openxmlformats.org/officeDocument/2006/relationships/footnotes" Target="footnote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image" Target="media/image111.emf"/><Relationship Id="rId134" Type="http://schemas.openxmlformats.org/officeDocument/2006/relationships/image" Target="media/image127.emf"/><Relationship Id="rId13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image" Target="media/image101.emf"/><Relationship Id="rId116" Type="http://schemas.openxmlformats.org/officeDocument/2006/relationships/image" Target="media/image109.emf"/><Relationship Id="rId124" Type="http://schemas.openxmlformats.org/officeDocument/2006/relationships/image" Target="media/image117.emf"/><Relationship Id="rId129" Type="http://schemas.openxmlformats.org/officeDocument/2006/relationships/image" Target="media/image122.emf"/><Relationship Id="rId137" Type="http://schemas.openxmlformats.org/officeDocument/2006/relationships/image" Target="media/image13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image" Target="media/image104.emf"/><Relationship Id="rId132" Type="http://schemas.openxmlformats.org/officeDocument/2006/relationships/image" Target="media/image125.emf"/><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image" Target="media/image107.emf"/><Relationship Id="rId119" Type="http://schemas.openxmlformats.org/officeDocument/2006/relationships/image" Target="media/image112.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30" Type="http://schemas.openxmlformats.org/officeDocument/2006/relationships/image" Target="media/image123.emf"/><Relationship Id="rId135" Type="http://schemas.openxmlformats.org/officeDocument/2006/relationships/image" Target="media/image128.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7" Type="http://schemas.openxmlformats.org/officeDocument/2006/relationships/image" Target="media/image1.png"/><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styles" Target="styles.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s>
</file>

<file path=word/charts/_rels/chart1.xml.rels><?xml version="1.0" encoding="UTF-8" standalone="yes"?>
<Relationships xmlns="http://schemas.openxmlformats.org/package/2006/relationships"><Relationship Id="rId1" Type="http://schemas.openxmlformats.org/officeDocument/2006/relationships/oleObject" Target="file:///D:\_CSJ\SINEJ\RECEPCION%20INFORMACION%202010\MINJUSTICI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0.12638888888888888"/>
          <c:y val="0.14583333333333351"/>
          <c:w val="0.81388888888888944"/>
          <c:h val="0.77314814814814892"/>
        </c:manualLayout>
      </c:layout>
      <c:pie3DChart>
        <c:varyColors val="1"/>
        <c:ser>
          <c:idx val="0"/>
          <c:order val="0"/>
          <c:explosion val="25"/>
          <c:dLbls>
            <c:spPr>
              <a:noFill/>
              <a:ln>
                <a:noFill/>
              </a:ln>
              <a:effectLst/>
            </c:spPr>
            <c:txPr>
              <a:bodyPr/>
              <a:lstStyle/>
              <a:p>
                <a:pPr>
                  <a:defRPr lang="es-CO"/>
                </a:pPr>
                <a:endParaRPr lang="es-CO"/>
              </a:p>
            </c:txPr>
            <c:showLegendKey val="1"/>
            <c:showVal val="1"/>
            <c:showCatName val="1"/>
            <c:showSerName val="1"/>
            <c:showPercent val="1"/>
            <c:showBubbleSize val="1"/>
            <c:showLeaderLines val="1"/>
            <c:extLst>
              <c:ext xmlns:c15="http://schemas.microsoft.com/office/drawing/2012/chart" uri="{CE6537A1-D6FC-4f65-9D91-7224C49458BB}"/>
            </c:extLst>
          </c:dLbls>
          <c:cat>
            <c:strRef>
              <c:f>PTCPk!$N$18:$N$20</c:f>
              <c:strCache>
                <c:ptCount val="3"/>
                <c:pt idx="0">
                  <c:v>Acta de conciliación </c:v>
                </c:pt>
                <c:pt idx="1">
                  <c:v>Constancia</c:v>
                </c:pt>
                <c:pt idx="2">
                  <c:v>Otros Resultados</c:v>
                </c:pt>
              </c:strCache>
            </c:strRef>
          </c:cat>
          <c:val>
            <c:numRef>
              <c:f>PTCPk!$O$18:$O$20</c:f>
              <c:numCache>
                <c:formatCode>0.0</c:formatCode>
                <c:ptCount val="3"/>
                <c:pt idx="0">
                  <c:v>46.676300578034677</c:v>
                </c:pt>
                <c:pt idx="1">
                  <c:v>44.797687861271655</c:v>
                </c:pt>
                <c:pt idx="2">
                  <c:v>8.5260115606936413</c:v>
                </c:pt>
              </c:numCache>
            </c:numRef>
          </c:val>
        </c:ser>
        <c:dLbls>
          <c:showLegendKey val="1"/>
          <c:showVal val="1"/>
          <c:showCatName val="1"/>
          <c:showSerName val="1"/>
          <c:showPercent val="1"/>
          <c:showBubbleSize val="1"/>
          <c:showLeaderLines val="1"/>
        </c:dLbls>
      </c:pie3DChart>
    </c:plotArea>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7322</Words>
  <Characters>40275</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Rama Judicial del Poder Público</vt:lpstr>
    </vt:vector>
  </TitlesOfParts>
  <Company>Hewlett-Packard</Company>
  <LinksUpToDate>false</LinksUpToDate>
  <CharactersWithSpaces>47502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Rama Judicial del Poder Público</dc:title>
  <dc:subject/>
  <dc:creator>Natalia</dc:creator>
  <cp:keywords/>
  <dc:description/>
  <cp:lastModifiedBy>Diana Claudia Caro Bernal</cp:lastModifiedBy>
  <cp:revision>2</cp:revision>
  <cp:lastPrinted>2012-01-30T15:45:00Z</cp:lastPrinted>
  <dcterms:created xsi:type="dcterms:W3CDTF">2015-08-20T23:47:00Z</dcterms:created>
  <dcterms:modified xsi:type="dcterms:W3CDTF">2015-08-20T23:47:00Z</dcterms:modified>
</cp:coreProperties>
</file>