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</w:t>
      </w:r>
      <w:r w:rsidR="006E7884">
        <w:rPr>
          <w:rFonts w:ascii="Bookman Old Style" w:hAnsi="Bookman Old Style"/>
          <w:i/>
          <w:color w:val="000000"/>
          <w:szCs w:val="24"/>
          <w:lang w:val="es-ES" w:eastAsia="es-ES"/>
        </w:rPr>
        <w:t>Interlocutorio</w:t>
      </w: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 Nº </w:t>
      </w:r>
      <w:r w:rsidR="006E7884">
        <w:rPr>
          <w:rFonts w:ascii="Bookman Old Style" w:hAnsi="Bookman Old Style"/>
          <w:i/>
          <w:color w:val="000000"/>
          <w:szCs w:val="24"/>
          <w:lang w:val="es-ES" w:eastAsia="es-ES"/>
        </w:rPr>
        <w:t>0030</w:t>
      </w:r>
    </w:p>
    <w:p w:rsidR="00BE638C" w:rsidRPr="006361D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Pr="006361DC" w:rsidRDefault="00790720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6361DC" w:rsidP="006361DC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NULIDAD Y RESTABLECIMIENTO DEL  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DERECHO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BERTHA INÉS GONZÁLEZ GALEÓN</w:t>
      </w:r>
    </w:p>
    <w:p w:rsidR="006361DC" w:rsidRDefault="006361DC" w:rsidP="00AB50E5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NACIÓN – MINISTERIO DE 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EDUCACIÓN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– 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FOMAG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EXPEDIENTE: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4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2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180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BE638C" w:rsidRPr="006361DC" w:rsidRDefault="00BE638C" w:rsidP="00AB50E5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361DC" w:rsidRDefault="006361D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</w:t>
      </w:r>
      <w:r w:rsidR="00BE638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PONENTE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MOISÉS RODRIGO MAZABEL PINZÓN</w:t>
      </w:r>
    </w:p>
    <w:p w:rsidR="00AB50E5" w:rsidRDefault="00AB50E5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BE638C" w:rsidRDefault="00BE638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BE638C" w:rsidRPr="00BE638C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BE638C">
        <w:rPr>
          <w:rFonts w:ascii="Bookman Old Style" w:hAnsi="Bookman Old Style"/>
          <w:i/>
          <w:szCs w:val="24"/>
          <w:lang w:val="es-ES" w:eastAsia="es-ES"/>
        </w:rPr>
        <w:t>Visto el informe secretarial, procede el Tribunal a pronunciarse sobre la admisión del recurso de apelación.</w:t>
      </w:r>
    </w:p>
    <w:p w:rsidR="00BE638C" w:rsidRPr="00BE638C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AB50E5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P</w:t>
      </w: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or </w:t>
      </w:r>
      <w:r>
        <w:rPr>
          <w:rFonts w:ascii="Bookman Old Style" w:hAnsi="Bookman Old Style"/>
          <w:i/>
          <w:szCs w:val="24"/>
          <w:lang w:val="es-ES" w:eastAsia="es-ES"/>
        </w:rPr>
        <w:t>ser la providencia susceptible de apelación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1"/>
      </w:r>
      <w:r>
        <w:rPr>
          <w:rFonts w:ascii="Bookman Old Style" w:hAnsi="Bookman Old Style"/>
          <w:i/>
          <w:szCs w:val="24"/>
          <w:lang w:val="es-ES" w:eastAsia="es-ES"/>
        </w:rPr>
        <w:t>, encontrándose debidamente sustentado y presentado dentro del término legal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2"/>
      </w:r>
      <w:r>
        <w:rPr>
          <w:rFonts w:ascii="Bookman Old Style" w:hAnsi="Bookman Old Style"/>
          <w:i/>
          <w:szCs w:val="24"/>
          <w:lang w:val="es-ES" w:eastAsia="es-ES"/>
        </w:rPr>
        <w:t xml:space="preserve"> y habiéndose aplicado el inciso 4 del artículo 192 del CPACA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3"/>
      </w:r>
      <w:r>
        <w:rPr>
          <w:rFonts w:ascii="Bookman Old Style" w:hAnsi="Bookman Old Style"/>
          <w:i/>
          <w:szCs w:val="24"/>
          <w:lang w:val="es-ES" w:eastAsia="es-ES"/>
        </w:rPr>
        <w:t xml:space="preserve">,  en consecuencia, </w:t>
      </w:r>
      <w:r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E638C" w:rsidRDefault="00BE638C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AB50E5">
        <w:rPr>
          <w:rFonts w:ascii="Bookman Old Style" w:hAnsi="Bookman Old Style"/>
          <w:i/>
          <w:spacing w:val="-2"/>
          <w:szCs w:val="24"/>
        </w:rPr>
        <w:t xml:space="preserve">del 22 de enero del 2014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AB50E5">
        <w:rPr>
          <w:rFonts w:ascii="Bookman Old Style" w:hAnsi="Bookman Old Style"/>
          <w:i/>
          <w:spacing w:val="-2"/>
          <w:szCs w:val="24"/>
        </w:rPr>
        <w:t xml:space="preserve">Cuarto </w:t>
      </w:r>
      <w:r w:rsidR="006514CE" w:rsidRPr="006361DC">
        <w:rPr>
          <w:rFonts w:ascii="Bookman Old Style" w:hAnsi="Bookman Old Style"/>
          <w:i/>
          <w:spacing w:val="-2"/>
          <w:szCs w:val="24"/>
        </w:rPr>
        <w:t>Administrativo de</w:t>
      </w:r>
      <w:r w:rsidR="00AB50E5">
        <w:rPr>
          <w:rFonts w:ascii="Bookman Old Style" w:hAnsi="Bookman Old Style"/>
          <w:i/>
          <w:spacing w:val="-2"/>
          <w:szCs w:val="24"/>
        </w:rPr>
        <w:t xml:space="preserve"> Villavicencio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AB50E5">
        <w:rPr>
          <w:rFonts w:ascii="Bookman Old Style" w:hAnsi="Bookman Old Style"/>
          <w:i/>
          <w:spacing w:val="-2"/>
          <w:szCs w:val="24"/>
        </w:rPr>
        <w:t>9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BE638C" w:rsidRDefault="00BE638C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BE638C" w:rsidRPr="006361DC" w:rsidRDefault="00BE638C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Pr="006361DC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B6648" w:rsidRDefault="00EB6648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E638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E638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84705D" w:rsidRPr="006361DC" w:rsidRDefault="0084705D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915A5E">
        <w:rPr>
          <w:rFonts w:ascii="Bookman Old Style" w:hAnsi="Bookman Old Style"/>
          <w:i/>
          <w:szCs w:val="24"/>
          <w:lang w:val="es-MX"/>
        </w:rPr>
        <w:tab/>
      </w:r>
      <w:r w:rsidR="00915A5E">
        <w:rPr>
          <w:rFonts w:ascii="Bookman Old Style" w:hAnsi="Bookman Old Style"/>
          <w:i/>
          <w:szCs w:val="24"/>
          <w:lang w:val="es-MX"/>
        </w:rPr>
        <w:tab/>
      </w:r>
      <w:r w:rsidR="00915A5E">
        <w:rPr>
          <w:rFonts w:ascii="Bookman Old Style" w:hAnsi="Bookman Old Style"/>
          <w:i/>
          <w:szCs w:val="24"/>
          <w:lang w:val="es-MX"/>
        </w:rPr>
        <w:tab/>
      </w:r>
      <w:r w:rsidR="00915A5E">
        <w:rPr>
          <w:rFonts w:ascii="Bookman Old Style" w:hAnsi="Bookman Old Style"/>
          <w:i/>
          <w:szCs w:val="24"/>
          <w:lang w:val="es-MX"/>
        </w:rPr>
        <w:tab/>
      </w:r>
      <w:r w:rsidR="00915A5E">
        <w:rPr>
          <w:rFonts w:ascii="Bookman Old Style" w:hAnsi="Bookman Old Style"/>
          <w:i/>
          <w:szCs w:val="24"/>
          <w:lang w:val="es-MX"/>
        </w:rPr>
        <w:tab/>
      </w:r>
      <w:r w:rsidR="00915A5E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BB7DB2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C6" w:rsidRDefault="000C72C6">
      <w:r>
        <w:separator/>
      </w:r>
    </w:p>
  </w:endnote>
  <w:endnote w:type="continuationSeparator" w:id="0">
    <w:p w:rsidR="000C72C6" w:rsidRDefault="000C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C72C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D8" w:rsidRDefault="000C72C6" w:rsidP="00360AD8">
    <w:pPr>
      <w:pStyle w:val="Piedepgina"/>
      <w:rPr>
        <w:rFonts w:ascii="Bookman Old Style" w:hAnsi="Bookman Old Style"/>
        <w:i/>
        <w:sz w:val="12"/>
        <w:szCs w:val="12"/>
        <w:lang w:val="es-ES"/>
      </w:rPr>
    </w:pP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>NULIDAD Y RESTABLECIMIENTO DEL DERECHO 50001-23-33-000-2013-00051-00</w:t>
    </w:r>
  </w:p>
  <w:p w:rsidR="00EB2704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MARCELA PATRICIA REY BOLIVAR  </w:t>
    </w:r>
    <w:r w:rsidRPr="00B84647">
      <w:rPr>
        <w:rFonts w:ascii="Bookman Old Style" w:hAnsi="Bookman Old Style"/>
        <w:i/>
        <w:sz w:val="12"/>
        <w:szCs w:val="12"/>
        <w:lang w:val="es-ES"/>
      </w:rPr>
      <w:t>VS.</w:t>
    </w:r>
    <w:r>
      <w:rPr>
        <w:rFonts w:ascii="Bookman Old Style" w:hAnsi="Bookman Old Style"/>
        <w:i/>
        <w:sz w:val="12"/>
        <w:szCs w:val="12"/>
        <w:lang w:val="es-ES"/>
      </w:rPr>
      <w:t xml:space="preserve"> PROCURADURÍA GENERAL DE LA NACIÓN </w:t>
    </w: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M.G.V. </w:t>
    </w:r>
  </w:p>
  <w:p w:rsidR="00EB2704" w:rsidRPr="002A0FE0" w:rsidRDefault="000C72C6" w:rsidP="00EB2704">
    <w:pPr>
      <w:pStyle w:val="Piedepgina"/>
    </w:pPr>
  </w:p>
  <w:p w:rsidR="003C264A" w:rsidRPr="00360AD8" w:rsidRDefault="000C72C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C6" w:rsidRDefault="000C72C6">
      <w:r>
        <w:separator/>
      </w:r>
    </w:p>
  </w:footnote>
  <w:footnote w:type="continuationSeparator" w:id="0">
    <w:p w:rsidR="000C72C6" w:rsidRDefault="000C72C6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BE638C" w:rsidRPr="001D66D0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C72C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5A5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50001-33-33-004-2012-00180-01</w:t>
    </w:r>
  </w:p>
  <w:p w:rsidR="00BE638C" w:rsidRDefault="00BE638C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Bertha Inés González Galeón vs. FOMAG</w:t>
    </w:r>
  </w:p>
  <w:p w:rsidR="00BE638C" w:rsidRPr="00BE638C" w:rsidRDefault="00BE638C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s.g.</w:t>
    </w:r>
  </w:p>
  <w:p w:rsidR="003C264A" w:rsidRDefault="000C72C6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C72C6"/>
    <w:rsid w:val="000F3091"/>
    <w:rsid w:val="00126583"/>
    <w:rsid w:val="0017169D"/>
    <w:rsid w:val="00293141"/>
    <w:rsid w:val="002D25E7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6E7884"/>
    <w:rsid w:val="0073752A"/>
    <w:rsid w:val="0075515A"/>
    <w:rsid w:val="00790720"/>
    <w:rsid w:val="0084705D"/>
    <w:rsid w:val="0085667F"/>
    <w:rsid w:val="00877702"/>
    <w:rsid w:val="008B2201"/>
    <w:rsid w:val="008E21BE"/>
    <w:rsid w:val="00915A5E"/>
    <w:rsid w:val="00987AC1"/>
    <w:rsid w:val="009A52B6"/>
    <w:rsid w:val="009A5C91"/>
    <w:rsid w:val="00A221B2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63B7D"/>
    <w:rsid w:val="00BB3A1E"/>
    <w:rsid w:val="00BB7DB2"/>
    <w:rsid w:val="00BE638C"/>
    <w:rsid w:val="00C76A89"/>
    <w:rsid w:val="00C947C5"/>
    <w:rsid w:val="00D73B76"/>
    <w:rsid w:val="00DA2877"/>
    <w:rsid w:val="00E146FB"/>
    <w:rsid w:val="00E3080C"/>
    <w:rsid w:val="00EB6648"/>
    <w:rsid w:val="00EC4191"/>
    <w:rsid w:val="00ED229B"/>
    <w:rsid w:val="00F00918"/>
    <w:rsid w:val="00F0189E"/>
    <w:rsid w:val="00F10F2E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2014-07-17T14:59:00Z</cp:lastPrinted>
  <dcterms:created xsi:type="dcterms:W3CDTF">2014-07-07T16:17:00Z</dcterms:created>
  <dcterms:modified xsi:type="dcterms:W3CDTF">2014-07-21T20:35:00Z</dcterms:modified>
</cp:coreProperties>
</file>