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01195611" w:rsidR="00050402" w:rsidRPr="009F0AAF" w:rsidRDefault="00050402" w:rsidP="00E817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EXPEDIENTE:                 </w:t>
            </w:r>
            <w:r w:rsidR="00E817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</w:t>
            </w:r>
            <w:r w:rsidR="00DD3BBC">
              <w:rPr>
                <w:rFonts w:ascii="Arial" w:hAnsi="Arial" w:cs="Arial"/>
                <w:b/>
                <w:sz w:val="26"/>
                <w:szCs w:val="26"/>
              </w:rPr>
              <w:t>1253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606C8948" w14:textId="77777777" w:rsidR="00DD3BBC" w:rsidRDefault="00DD3BBC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F9D6574" w14:textId="1215911C" w:rsidR="00DD3BBC" w:rsidRPr="00DD3BBC" w:rsidRDefault="00050402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</w:t>
      </w:r>
      <w:r w:rsidR="00A258A9">
        <w:rPr>
          <w:rFonts w:ascii="Arial" w:hAnsi="Arial" w:cs="Arial"/>
          <w:b/>
          <w:sz w:val="26"/>
          <w:szCs w:val="26"/>
        </w:rPr>
        <w:tab/>
      </w:r>
      <w:r w:rsidR="00DD3BBC" w:rsidRPr="00DD3BBC">
        <w:rPr>
          <w:rFonts w:ascii="Arial" w:hAnsi="Arial" w:cs="Arial"/>
          <w:b/>
          <w:sz w:val="26"/>
          <w:szCs w:val="26"/>
          <w:lang w:val="es-CO"/>
        </w:rPr>
        <w:t>Alcalde Municipio de La Peña</w:t>
      </w:r>
    </w:p>
    <w:p w14:paraId="361443C4" w14:textId="1EC6E71F" w:rsidR="00D06954" w:rsidRPr="00D06954" w:rsidRDefault="00D06954" w:rsidP="00D0695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1149F7BF" w14:textId="77777777" w:rsidR="00DD3BBC" w:rsidRPr="00DD3BBC" w:rsidRDefault="00D06954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 xml:space="preserve">ACTO ADMINISTRATIVO: </w:t>
      </w:r>
      <w:r>
        <w:rPr>
          <w:rFonts w:ascii="Arial" w:hAnsi="Arial" w:cs="Arial"/>
          <w:b/>
          <w:sz w:val="26"/>
          <w:szCs w:val="26"/>
          <w:lang w:val="es-CO"/>
        </w:rPr>
        <w:tab/>
      </w:r>
      <w:r w:rsidR="00DD3BBC" w:rsidRPr="00DD3BBC">
        <w:rPr>
          <w:rFonts w:ascii="Arial" w:hAnsi="Arial" w:cs="Arial"/>
          <w:b/>
          <w:sz w:val="26"/>
          <w:szCs w:val="26"/>
          <w:lang w:val="es-CO"/>
        </w:rPr>
        <w:t>Decreto 40 del 19 de marzo de 2020</w:t>
      </w:r>
    </w:p>
    <w:p w14:paraId="2532F6F1" w14:textId="69DE5403" w:rsidR="00D06954" w:rsidRPr="00D06954" w:rsidRDefault="00D06954" w:rsidP="00D0695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0D95FFC" w14:textId="73C784F0" w:rsidR="00050402" w:rsidRPr="009F0AAF" w:rsidRDefault="00050402" w:rsidP="00E817A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E817A1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>TRADO PONENTE: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156C9F80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DD3BBC">
        <w:rPr>
          <w:rFonts w:ascii="Arial" w:hAnsi="Arial" w:cs="Arial"/>
          <w:sz w:val="26"/>
          <w:szCs w:val="26"/>
        </w:rPr>
        <w:t>12</w:t>
      </w:r>
      <w:r w:rsidR="00880229">
        <w:rPr>
          <w:rFonts w:ascii="Arial" w:hAnsi="Arial" w:cs="Arial"/>
          <w:sz w:val="26"/>
          <w:szCs w:val="26"/>
        </w:rPr>
        <w:t xml:space="preserve"> </w:t>
      </w:r>
      <w:r w:rsidRPr="009F0AAF">
        <w:rPr>
          <w:rFonts w:ascii="Arial" w:hAnsi="Arial" w:cs="Arial"/>
          <w:sz w:val="26"/>
          <w:szCs w:val="26"/>
        </w:rPr>
        <w:t xml:space="preserve">DE </w:t>
      </w:r>
      <w:r w:rsidR="00880229">
        <w:rPr>
          <w:rFonts w:ascii="Arial" w:hAnsi="Arial" w:cs="Arial"/>
          <w:sz w:val="26"/>
          <w:szCs w:val="26"/>
        </w:rPr>
        <w:t>MAYO</w:t>
      </w:r>
      <w:r w:rsidRPr="009F0AAF">
        <w:rPr>
          <w:rFonts w:ascii="Arial" w:hAnsi="Arial" w:cs="Arial"/>
          <w:sz w:val="26"/>
          <w:szCs w:val="26"/>
        </w:rPr>
        <w:t xml:space="preserve">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56770C62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DD3BBC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258A9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26A71DB5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ABSTENERSE de dar trámite al control inmediato de legalidad respecto del Decreto 40 del 19 de marzo de 2020 expedido por la Alcaldía Municipal de La Peña, Cundinamarca. </w:t>
      </w:r>
    </w:p>
    <w:p w14:paraId="40F398C9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6009D08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SEGUNDO: La presente decisión no hace tránsito a cosa juzgada, lo que significa que contra el acto administrativo procederán los medios de control pertinentes, en aplicación con el procedimiento regido en la Ley 1437 de 2011 y demás normas concordantes. </w:t>
      </w:r>
    </w:p>
    <w:p w14:paraId="5F1D3856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2442450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Asunto: Control inmediato de legalidad Radicado No: 25000-23-15-000-2020-01253-00 2 Por lo anterior, por la Secretaría de las Subsecciones E y F de la Sección Segunda, NOTIFÍQUESE la presente providencia al Alcalde del Municipio de La Peña y al Agente del Ministerio Público por el medio más eficaz. </w:t>
      </w:r>
    </w:p>
    <w:p w14:paraId="63EDFE85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440F5D7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Por Secretaría de las Subsecciones E y F de la Sección Segunda, FÍJESE por la página web de la Rama Judicial (www.ramajudicial.gov.co) en la sección denominada “medidas </w:t>
      </w:r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lastRenderedPageBreak/>
        <w:t xml:space="preserve">COVID19”, un AVISO por el término de tres (03) días, para los fines pertinentes. </w:t>
      </w:r>
    </w:p>
    <w:p w14:paraId="3B23EE37" w14:textId="77777777" w:rsid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38E63EC3" w14:textId="4B23E563" w:rsidR="00DD3BBC" w:rsidRP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bookmarkStart w:id="0" w:name="_GoBack"/>
      <w:bookmarkEnd w:id="0"/>
      <w:r w:rsidRPr="00DD3BBC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 Una vez ejecutoriada esta providencia, ARCHÍVESE el expediente.</w:t>
      </w:r>
    </w:p>
    <w:p w14:paraId="5E2BC291" w14:textId="12288E42" w:rsidR="0054684A" w:rsidRPr="0054684A" w:rsidRDefault="0054684A" w:rsidP="0054684A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F4992C9" w14:textId="2F72B237" w:rsidR="00A258A9" w:rsidRPr="00A258A9" w:rsidRDefault="00A258A9" w:rsidP="00A258A9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24BA627" w14:textId="5AB69751" w:rsidR="00E817A1" w:rsidRDefault="00E817A1" w:rsidP="00E817A1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14C6E10" w14:textId="77777777" w:rsidR="00E817A1" w:rsidRDefault="00E817A1" w:rsidP="00E817A1">
      <w:pPr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7B31D1D9" w:rsidR="00050402" w:rsidRPr="00E817A1" w:rsidRDefault="00050402" w:rsidP="00E817A1">
      <w:pPr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AF65" w14:textId="77777777" w:rsidR="00040C91" w:rsidRDefault="00040C91" w:rsidP="008F5D9C">
      <w:r>
        <w:separator/>
      </w:r>
    </w:p>
  </w:endnote>
  <w:endnote w:type="continuationSeparator" w:id="0">
    <w:p w14:paraId="6C5F8DC3" w14:textId="77777777" w:rsidR="00040C91" w:rsidRDefault="00040C91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BEB8" w14:textId="77777777" w:rsidR="00040C91" w:rsidRDefault="00040C91" w:rsidP="008F5D9C">
      <w:r>
        <w:separator/>
      </w:r>
    </w:p>
  </w:footnote>
  <w:footnote w:type="continuationSeparator" w:id="0">
    <w:p w14:paraId="66F67647" w14:textId="77777777" w:rsidR="00040C91" w:rsidRDefault="00040C91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40C91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25B44"/>
    <w:rsid w:val="00232795"/>
    <w:rsid w:val="002415D3"/>
    <w:rsid w:val="00255DA3"/>
    <w:rsid w:val="00280B64"/>
    <w:rsid w:val="002A16EE"/>
    <w:rsid w:val="002A44D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4684A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80229"/>
    <w:rsid w:val="008967A0"/>
    <w:rsid w:val="008A275F"/>
    <w:rsid w:val="008A2DD9"/>
    <w:rsid w:val="008B3972"/>
    <w:rsid w:val="008C5076"/>
    <w:rsid w:val="008F5D9C"/>
    <w:rsid w:val="0091307C"/>
    <w:rsid w:val="00977718"/>
    <w:rsid w:val="00990070"/>
    <w:rsid w:val="00991FB9"/>
    <w:rsid w:val="009F0AAF"/>
    <w:rsid w:val="009F6E9F"/>
    <w:rsid w:val="00A23ECE"/>
    <w:rsid w:val="00A258A9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06954"/>
    <w:rsid w:val="00D112D4"/>
    <w:rsid w:val="00D1675E"/>
    <w:rsid w:val="00D1762D"/>
    <w:rsid w:val="00D45935"/>
    <w:rsid w:val="00DB7540"/>
    <w:rsid w:val="00DD3BBC"/>
    <w:rsid w:val="00DD596A"/>
    <w:rsid w:val="00E056FF"/>
    <w:rsid w:val="00E25A4C"/>
    <w:rsid w:val="00E426CA"/>
    <w:rsid w:val="00E817A1"/>
    <w:rsid w:val="00EB1EEC"/>
    <w:rsid w:val="00EF6895"/>
    <w:rsid w:val="00F05382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2020-05-12T21:50:00Z</dcterms:created>
  <dcterms:modified xsi:type="dcterms:W3CDTF">2020-05-12T21:50:00Z</dcterms:modified>
</cp:coreProperties>
</file>