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p>
    <w:p w:rsidR="00010014" w:rsidRPr="008F1A87" w:rsidRDefault="00010014" w:rsidP="00010014">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CSJMER19-132</w:t>
      </w:r>
    </w:p>
    <w:p w:rsidR="00010014" w:rsidRPr="008F1A87" w:rsidRDefault="00010014" w:rsidP="00010014">
      <w:pPr>
        <w:jc w:val="center"/>
        <w:rPr>
          <w:rFonts w:ascii="Arial" w:hAnsi="Arial" w:cs="Arial"/>
          <w:sz w:val="22"/>
          <w:szCs w:val="22"/>
        </w:rPr>
      </w:pPr>
      <w:r>
        <w:rPr>
          <w:rFonts w:ascii="Arial" w:hAnsi="Arial" w:cs="Arial"/>
          <w:sz w:val="22"/>
          <w:szCs w:val="22"/>
        </w:rPr>
        <w:t>4 de junio de 2019</w:t>
      </w:r>
    </w:p>
    <w:p w:rsidR="00010014" w:rsidRDefault="00010014" w:rsidP="00010014">
      <w:pPr>
        <w:jc w:val="center"/>
        <w:rPr>
          <w:rFonts w:ascii="Arial" w:hAnsi="Arial" w:cs="Arial"/>
          <w:sz w:val="22"/>
          <w:szCs w:val="22"/>
        </w:rPr>
      </w:pPr>
    </w:p>
    <w:p w:rsidR="00010014" w:rsidRPr="0051289A" w:rsidRDefault="00010014" w:rsidP="00010014">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500011101001 </w:t>
      </w:r>
      <w:bookmarkStart w:id="0" w:name="_GoBack"/>
      <w:r>
        <w:rPr>
          <w:rFonts w:ascii="Arial" w:hAnsi="Arial" w:cs="Arial"/>
          <w:i/>
          <w:sz w:val="22"/>
          <w:szCs w:val="22"/>
        </w:rPr>
        <w:t>2019 00107</w:t>
      </w:r>
      <w:r w:rsidRPr="0051289A">
        <w:rPr>
          <w:rFonts w:ascii="Arial" w:hAnsi="Arial" w:cs="Arial"/>
          <w:i/>
          <w:sz w:val="22"/>
          <w:szCs w:val="22"/>
        </w:rPr>
        <w:t xml:space="preserve"> </w:t>
      </w:r>
      <w:bookmarkEnd w:id="0"/>
      <w:r w:rsidRPr="0051289A">
        <w:rPr>
          <w:rFonts w:ascii="Arial" w:hAnsi="Arial" w:cs="Arial"/>
          <w:i/>
          <w:sz w:val="22"/>
          <w:szCs w:val="22"/>
        </w:rPr>
        <w:t>00”</w:t>
      </w:r>
    </w:p>
    <w:p w:rsidR="00010014" w:rsidRDefault="00010014" w:rsidP="00010014">
      <w:pPr>
        <w:jc w:val="both"/>
        <w:rPr>
          <w:rFonts w:ascii="Arial" w:hAnsi="Arial" w:cs="Arial"/>
          <w:b/>
          <w:sz w:val="22"/>
          <w:szCs w:val="22"/>
          <w:lang w:eastAsia="ar-SA"/>
        </w:rPr>
      </w:pPr>
    </w:p>
    <w:p w:rsidR="00010014" w:rsidRPr="0051289A" w:rsidRDefault="00010014" w:rsidP="00010014">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010014" w:rsidRPr="0051289A" w:rsidRDefault="00010014" w:rsidP="00010014">
      <w:pPr>
        <w:jc w:val="both"/>
        <w:rPr>
          <w:rFonts w:ascii="Arial" w:hAnsi="Arial" w:cs="Arial"/>
          <w:sz w:val="22"/>
          <w:szCs w:val="22"/>
        </w:rPr>
      </w:pPr>
    </w:p>
    <w:p w:rsidR="00010014" w:rsidRPr="0051289A" w:rsidRDefault="00010014" w:rsidP="00010014">
      <w:pPr>
        <w:jc w:val="both"/>
        <w:rPr>
          <w:rFonts w:ascii="Arial" w:hAnsi="Arial" w:cs="Arial"/>
          <w:sz w:val="22"/>
          <w:szCs w:val="22"/>
        </w:rPr>
      </w:pPr>
    </w:p>
    <w:p w:rsidR="00010014" w:rsidRPr="0051289A" w:rsidRDefault="00010014" w:rsidP="00010014">
      <w:pPr>
        <w:jc w:val="center"/>
        <w:rPr>
          <w:rFonts w:ascii="Arial" w:hAnsi="Arial" w:cs="Arial"/>
          <w:b/>
          <w:sz w:val="22"/>
          <w:szCs w:val="22"/>
        </w:rPr>
      </w:pPr>
      <w:r w:rsidRPr="0051289A">
        <w:rPr>
          <w:rFonts w:ascii="Arial" w:hAnsi="Arial" w:cs="Arial"/>
          <w:b/>
          <w:sz w:val="22"/>
          <w:szCs w:val="22"/>
        </w:rPr>
        <w:t>CONSIDERANDO</w:t>
      </w:r>
    </w:p>
    <w:p w:rsidR="00010014" w:rsidRPr="0051289A" w:rsidRDefault="00010014" w:rsidP="00010014">
      <w:pPr>
        <w:jc w:val="center"/>
        <w:rPr>
          <w:rFonts w:ascii="Arial" w:hAnsi="Arial" w:cs="Arial"/>
          <w:sz w:val="22"/>
          <w:szCs w:val="22"/>
        </w:rPr>
      </w:pPr>
    </w:p>
    <w:p w:rsidR="00010014" w:rsidRPr="0051289A" w:rsidRDefault="00010014" w:rsidP="00010014">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Declarativo No. 50001 40 03 001 2013 00093 00</w:t>
      </w:r>
      <w:r>
        <w:rPr>
          <w:rFonts w:ascii="Arial" w:eastAsia="Batang" w:hAnsi="Arial" w:cs="Arial"/>
          <w:iCs/>
          <w:sz w:val="22"/>
          <w:szCs w:val="22"/>
        </w:rPr>
        <w:t>, que cursa en el Juzgado Primero Civil Municipal de Villavicencio, frente a las manifestaciones expuestas po</w:t>
      </w:r>
      <w:r w:rsidRPr="0051289A">
        <w:rPr>
          <w:rFonts w:ascii="Arial" w:hAnsi="Arial" w:cs="Arial"/>
          <w:sz w:val="22"/>
          <w:szCs w:val="22"/>
        </w:rPr>
        <w:t xml:space="preserve">r </w:t>
      </w:r>
      <w:r>
        <w:rPr>
          <w:rFonts w:ascii="Arial" w:hAnsi="Arial" w:cs="Arial"/>
          <w:sz w:val="22"/>
          <w:szCs w:val="22"/>
        </w:rPr>
        <w:t xml:space="preserve">Helman José Hernández López, apoderado del demandado, ante el presunto retraso presentado en el </w:t>
      </w:r>
      <w:r>
        <w:rPr>
          <w:rFonts w:ascii="Arial" w:eastAsia="Batang" w:hAnsi="Arial" w:cs="Arial"/>
          <w:iCs/>
          <w:sz w:val="22"/>
          <w:szCs w:val="22"/>
        </w:rPr>
        <w:t>trámite del mismo.</w:t>
      </w:r>
    </w:p>
    <w:p w:rsidR="00010014" w:rsidRPr="0051289A" w:rsidRDefault="00010014" w:rsidP="00010014">
      <w:pPr>
        <w:pStyle w:val="NormalWeb"/>
        <w:spacing w:before="0" w:after="0"/>
        <w:jc w:val="both"/>
        <w:rPr>
          <w:rFonts w:ascii="Arial" w:hAnsi="Arial" w:cs="Arial"/>
          <w:sz w:val="22"/>
          <w:szCs w:val="22"/>
        </w:rPr>
      </w:pPr>
    </w:p>
    <w:p w:rsidR="00010014" w:rsidRPr="0051289A" w:rsidRDefault="00010014" w:rsidP="00010014">
      <w:pPr>
        <w:pStyle w:val="NormalWeb"/>
        <w:spacing w:before="0" w:after="0"/>
        <w:jc w:val="both"/>
        <w:rPr>
          <w:rFonts w:ascii="Arial" w:hAnsi="Arial" w:cs="Arial"/>
          <w:sz w:val="22"/>
          <w:szCs w:val="22"/>
        </w:rPr>
      </w:pPr>
    </w:p>
    <w:p w:rsidR="00010014" w:rsidRPr="0051289A" w:rsidRDefault="00010014" w:rsidP="00010014">
      <w:pPr>
        <w:jc w:val="center"/>
        <w:rPr>
          <w:rFonts w:ascii="Arial" w:hAnsi="Arial" w:cs="Arial"/>
          <w:b/>
          <w:sz w:val="22"/>
          <w:szCs w:val="22"/>
        </w:rPr>
      </w:pPr>
      <w:r w:rsidRPr="0051289A">
        <w:rPr>
          <w:rFonts w:ascii="Arial" w:hAnsi="Arial" w:cs="Arial"/>
          <w:b/>
          <w:sz w:val="22"/>
          <w:szCs w:val="22"/>
        </w:rPr>
        <w:t>EL CONSEJO SECCIONAL DE LA JUDICATURA DEL META</w:t>
      </w:r>
    </w:p>
    <w:p w:rsidR="00010014" w:rsidRPr="0051289A" w:rsidRDefault="00010014" w:rsidP="00010014">
      <w:pPr>
        <w:jc w:val="center"/>
        <w:rPr>
          <w:rFonts w:ascii="Arial" w:hAnsi="Arial" w:cs="Arial"/>
          <w:sz w:val="22"/>
          <w:szCs w:val="22"/>
        </w:rPr>
      </w:pPr>
    </w:p>
    <w:p w:rsidR="00010014" w:rsidRPr="0051289A" w:rsidRDefault="00010014" w:rsidP="00010014">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w:t>
      </w:r>
      <w:r w:rsidRPr="0051289A">
        <w:rPr>
          <w:rFonts w:ascii="Arial" w:hAnsi="Arial" w:cs="Arial"/>
          <w:sz w:val="22"/>
          <w:szCs w:val="22"/>
        </w:rPr>
        <w:lastRenderedPageBreak/>
        <w:t xml:space="preserve">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Helman José Hernández López</w:t>
      </w:r>
      <w:r w:rsidRPr="0051289A">
        <w:rPr>
          <w:rFonts w:ascii="Arial" w:hAnsi="Arial" w:cs="Arial"/>
          <w:sz w:val="22"/>
          <w:szCs w:val="22"/>
        </w:rPr>
        <w:t xml:space="preserve"> y para adoptar la decisión respectiva se debe tener en cuenta los siguientes: </w:t>
      </w:r>
    </w:p>
    <w:p w:rsidR="00010014" w:rsidRPr="0051289A" w:rsidRDefault="00010014" w:rsidP="00010014">
      <w:pPr>
        <w:jc w:val="both"/>
        <w:rPr>
          <w:rFonts w:ascii="Arial" w:hAnsi="Arial" w:cs="Arial"/>
          <w:sz w:val="22"/>
          <w:szCs w:val="22"/>
        </w:rPr>
      </w:pPr>
    </w:p>
    <w:p w:rsidR="00010014" w:rsidRPr="0051289A" w:rsidRDefault="00010014" w:rsidP="00010014">
      <w:pPr>
        <w:jc w:val="both"/>
        <w:rPr>
          <w:rFonts w:ascii="Arial" w:hAnsi="Arial" w:cs="Arial"/>
          <w:sz w:val="22"/>
          <w:szCs w:val="22"/>
        </w:rPr>
      </w:pPr>
    </w:p>
    <w:p w:rsidR="00010014" w:rsidRPr="0051289A" w:rsidRDefault="00010014" w:rsidP="00010014">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010014" w:rsidRPr="0051289A" w:rsidRDefault="00010014" w:rsidP="00010014">
      <w:pPr>
        <w:tabs>
          <w:tab w:val="left" w:pos="567"/>
        </w:tabs>
        <w:jc w:val="center"/>
        <w:rPr>
          <w:rFonts w:ascii="Arial" w:hAnsi="Arial" w:cs="Arial"/>
          <w:sz w:val="22"/>
          <w:szCs w:val="22"/>
        </w:rPr>
      </w:pPr>
    </w:p>
    <w:p w:rsidR="00010014" w:rsidRPr="0051289A" w:rsidRDefault="00010014" w:rsidP="00010014">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010014" w:rsidRPr="0051289A" w:rsidRDefault="00010014" w:rsidP="00010014">
      <w:pPr>
        <w:pStyle w:val="NormalWeb"/>
        <w:spacing w:before="0" w:after="0"/>
        <w:jc w:val="both"/>
        <w:rPr>
          <w:rFonts w:ascii="Arial" w:hAnsi="Arial" w:cs="Arial"/>
          <w:sz w:val="22"/>
          <w:szCs w:val="22"/>
        </w:rPr>
      </w:pPr>
    </w:p>
    <w:p w:rsidR="00010014" w:rsidRPr="0051289A" w:rsidRDefault="00010014" w:rsidP="00010014">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EXTCSJMEVJ19-107, elevó solicitud de Vigilancia Judicial Administrativa al Proceso Declarativo No. 50001 40 03 001 2013 00093 00</w:t>
      </w:r>
      <w:r>
        <w:rPr>
          <w:rFonts w:ascii="Arial" w:eastAsia="Batang" w:hAnsi="Arial" w:cs="Arial"/>
          <w:iCs/>
          <w:sz w:val="22"/>
          <w:szCs w:val="22"/>
        </w:rPr>
        <w:t>, que cursa en el Juzgado Primero Civil Municipal de Villavicencio</w:t>
      </w:r>
      <w:r>
        <w:rPr>
          <w:rFonts w:ascii="Arial" w:hAnsi="Arial" w:cs="Arial"/>
          <w:sz w:val="22"/>
          <w:szCs w:val="22"/>
        </w:rPr>
        <w:t xml:space="preserve">, ante el presunto retraso presentado en el </w:t>
      </w:r>
      <w:r>
        <w:rPr>
          <w:rFonts w:ascii="Arial" w:eastAsia="Batang" w:hAnsi="Arial" w:cs="Arial"/>
          <w:iCs/>
          <w:sz w:val="22"/>
          <w:szCs w:val="22"/>
        </w:rPr>
        <w:t>trámite del mismo.</w:t>
      </w:r>
    </w:p>
    <w:p w:rsidR="00010014" w:rsidRPr="00B27B4D" w:rsidRDefault="00010014" w:rsidP="00010014">
      <w:pPr>
        <w:jc w:val="both"/>
        <w:rPr>
          <w:rFonts w:ascii="Arial" w:eastAsia="Batang" w:hAnsi="Arial" w:cs="Arial"/>
          <w:iCs/>
          <w:sz w:val="22"/>
          <w:szCs w:val="22"/>
        </w:rPr>
      </w:pPr>
    </w:p>
    <w:p w:rsidR="00010014" w:rsidRDefault="00010014" w:rsidP="00010014">
      <w:pPr>
        <w:jc w:val="both"/>
        <w:rPr>
          <w:rFonts w:ascii="Arial" w:hAnsi="Arial" w:cs="Arial"/>
          <w:sz w:val="22"/>
          <w:szCs w:val="22"/>
        </w:rPr>
      </w:pPr>
      <w:r>
        <w:rPr>
          <w:rFonts w:ascii="Arial" w:hAnsi="Arial" w:cs="Arial"/>
          <w:sz w:val="22"/>
          <w:szCs w:val="22"/>
        </w:rPr>
        <w:t>Aduce que la demanda fue radicada el 31 de enero de 2013, siendo notificado del auto admisorio el día 25 de julio de 2013, que de conformidad con lo establecido en la Ley 1274 de 2009, el trámite consiste en el avalúo de perjuicios que se ocasionan con los trabajos o actividades a realizar en ejercicio de las servidumbres de hidrocarburos y que el valor de la indemnización la realizará el perito nombrado por el Juez, quien deberá nombrado en el auto admisorio y se deberá posesionar dentro de los 3 días siguientes.</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 xml:space="preserve">Por lo anterior, considera que se están vulnerando los derechos al debido proceso y al acceso de la administración de justicia, </w:t>
      </w:r>
      <w:r>
        <w:rPr>
          <w:rFonts w:ascii="Arial" w:hAnsi="Arial" w:cs="Arial"/>
          <w:sz w:val="22"/>
          <w:szCs w:val="22"/>
        </w:rPr>
        <w:lastRenderedPageBreak/>
        <w:t>puesto que luego de haber transcurrido 75 meses, no haya sido posible que se rinda el respectivo dictamen pericial de la indemnización de perjuicios, pese a haberse requerido al Despacho en varias oportunidades.</w:t>
      </w:r>
    </w:p>
    <w:p w:rsidR="00010014" w:rsidRDefault="00010014" w:rsidP="00010014">
      <w:pPr>
        <w:jc w:val="both"/>
        <w:rPr>
          <w:rFonts w:ascii="Arial" w:hAnsi="Arial" w:cs="Arial"/>
          <w:sz w:val="22"/>
          <w:szCs w:val="22"/>
        </w:rPr>
      </w:pPr>
    </w:p>
    <w:p w:rsidR="00010014" w:rsidRDefault="00010014" w:rsidP="00010014">
      <w:pPr>
        <w:pStyle w:val="NormalWeb"/>
        <w:spacing w:before="0" w:after="0"/>
        <w:jc w:val="both"/>
        <w:rPr>
          <w:rFonts w:ascii="Arial" w:eastAsia="Batang" w:hAnsi="Arial" w:cs="Arial"/>
          <w:iCs/>
          <w:sz w:val="22"/>
          <w:szCs w:val="22"/>
        </w:rPr>
      </w:pPr>
    </w:p>
    <w:p w:rsidR="00010014" w:rsidRDefault="00010014" w:rsidP="00010014">
      <w:pPr>
        <w:pStyle w:val="NormalWeb"/>
        <w:spacing w:before="0" w:after="0"/>
        <w:jc w:val="both"/>
        <w:rPr>
          <w:rFonts w:ascii="Arial" w:eastAsia="Batang" w:hAnsi="Arial" w:cs="Arial"/>
          <w:iCs/>
          <w:sz w:val="22"/>
          <w:szCs w:val="22"/>
        </w:rPr>
      </w:pPr>
    </w:p>
    <w:p w:rsidR="00010014" w:rsidRDefault="00010014" w:rsidP="00010014">
      <w:pPr>
        <w:pStyle w:val="NormalWeb"/>
        <w:spacing w:before="0" w:after="0"/>
        <w:jc w:val="both"/>
        <w:rPr>
          <w:rFonts w:ascii="Arial" w:eastAsia="Batang" w:hAnsi="Arial" w:cs="Arial"/>
          <w:iCs/>
          <w:sz w:val="22"/>
          <w:szCs w:val="22"/>
        </w:rPr>
      </w:pPr>
    </w:p>
    <w:p w:rsidR="00010014" w:rsidRPr="0051289A" w:rsidRDefault="00010014" w:rsidP="00010014">
      <w:pPr>
        <w:pStyle w:val="NormalWeb"/>
        <w:spacing w:before="0" w:after="0"/>
        <w:jc w:val="both"/>
        <w:rPr>
          <w:rFonts w:ascii="Arial" w:eastAsia="Batang" w:hAnsi="Arial" w:cs="Arial"/>
          <w:iCs/>
          <w:sz w:val="22"/>
          <w:szCs w:val="22"/>
        </w:rPr>
      </w:pPr>
    </w:p>
    <w:p w:rsidR="00010014" w:rsidRPr="0051289A" w:rsidRDefault="00010014" w:rsidP="00010014">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010014" w:rsidRDefault="00010014" w:rsidP="00010014">
      <w:pPr>
        <w:pStyle w:val="NormalWeb"/>
        <w:spacing w:before="0" w:after="0"/>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Recibido el asunto en la Secretaría de esta Seccional el 22 de mayo de 2019, el día 27 del mismo mes y año, la Secretaría Ad Hoc del Despacho procedió a elaborar el informe respectivo, y seguidamente el Magistrado Sustanciador, avocó conocimiento de dicha solicitud y emitió el Oficio CSJMEO19-979, mediante el cual se requirió a la Juez Primero Civil Municipal de Villavicencio, María Eugenia Ayala Grass, para que rindiera sus explicaciones sobre los hechos expuestos por el quejoso y allegara en calidad de préstamo el proceso objeto de censura, con el fin de realizar visita especial al mismo y verificar las actuaciones judiciales realizadas.</w:t>
      </w:r>
    </w:p>
    <w:p w:rsidR="00010014" w:rsidRDefault="00010014" w:rsidP="00010014">
      <w:pPr>
        <w:pStyle w:val="NormalWeb"/>
        <w:spacing w:before="0" w:after="0"/>
        <w:jc w:val="both"/>
        <w:rPr>
          <w:rFonts w:ascii="Arial" w:hAnsi="Arial" w:cs="Arial"/>
          <w:sz w:val="22"/>
          <w:szCs w:val="22"/>
        </w:rPr>
      </w:pPr>
    </w:p>
    <w:p w:rsidR="00010014" w:rsidRPr="0051289A" w:rsidRDefault="00010014" w:rsidP="00010014">
      <w:pPr>
        <w:pStyle w:val="NormalWeb"/>
        <w:spacing w:before="0" w:after="0"/>
        <w:jc w:val="both"/>
        <w:rPr>
          <w:rFonts w:ascii="Arial" w:hAnsi="Arial" w:cs="Arial"/>
          <w:sz w:val="22"/>
          <w:szCs w:val="22"/>
        </w:rPr>
      </w:pPr>
    </w:p>
    <w:p w:rsidR="00010014" w:rsidRPr="0051289A" w:rsidRDefault="00010014" w:rsidP="00010014">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010014" w:rsidRPr="0051289A" w:rsidRDefault="00010014" w:rsidP="00010014">
      <w:pPr>
        <w:pStyle w:val="NormalWeb"/>
        <w:spacing w:before="0" w:after="0"/>
        <w:jc w:val="both"/>
        <w:rPr>
          <w:rFonts w:ascii="Arial" w:hAnsi="Arial" w:cs="Arial"/>
          <w:sz w:val="22"/>
          <w:szCs w:val="22"/>
        </w:rPr>
      </w:pPr>
    </w:p>
    <w:p w:rsidR="00010014" w:rsidRPr="0051289A" w:rsidRDefault="00010014" w:rsidP="00010014">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010014" w:rsidRPr="0051289A" w:rsidRDefault="00010014" w:rsidP="00010014">
      <w:pPr>
        <w:pStyle w:val="Prrafodelista"/>
        <w:tabs>
          <w:tab w:val="left" w:pos="284"/>
        </w:tabs>
        <w:ind w:left="0"/>
        <w:contextualSpacing/>
        <w:jc w:val="both"/>
        <w:rPr>
          <w:rFonts w:ascii="Arial" w:hAnsi="Arial" w:cs="Arial"/>
          <w:b/>
          <w:bCs/>
        </w:rPr>
      </w:pPr>
    </w:p>
    <w:p w:rsidR="00010014" w:rsidRPr="0051289A" w:rsidRDefault="00010014" w:rsidP="00010014">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w:t>
      </w:r>
      <w:r w:rsidRPr="0051289A">
        <w:rPr>
          <w:color w:val="auto"/>
          <w:sz w:val="22"/>
          <w:szCs w:val="22"/>
        </w:rPr>
        <w:lastRenderedPageBreak/>
        <w:t xml:space="preserve">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010014" w:rsidRPr="0051289A" w:rsidRDefault="00010014" w:rsidP="00010014">
      <w:pPr>
        <w:pStyle w:val="Default"/>
        <w:jc w:val="both"/>
        <w:rPr>
          <w:color w:val="auto"/>
          <w:sz w:val="22"/>
          <w:szCs w:val="22"/>
        </w:rPr>
      </w:pPr>
    </w:p>
    <w:p w:rsidR="00010014" w:rsidRPr="0051289A" w:rsidRDefault="00010014" w:rsidP="00010014">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010014" w:rsidRPr="0051289A" w:rsidRDefault="00010014" w:rsidP="00010014">
      <w:pPr>
        <w:pStyle w:val="Default"/>
        <w:jc w:val="both"/>
        <w:rPr>
          <w:color w:val="auto"/>
          <w:sz w:val="22"/>
          <w:szCs w:val="22"/>
        </w:rPr>
      </w:pPr>
    </w:p>
    <w:p w:rsidR="00010014" w:rsidRPr="0051289A" w:rsidRDefault="00010014" w:rsidP="00010014">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010014" w:rsidRPr="0051289A" w:rsidRDefault="00010014" w:rsidP="00010014">
      <w:pPr>
        <w:pStyle w:val="Default"/>
        <w:jc w:val="both"/>
        <w:rPr>
          <w:sz w:val="22"/>
          <w:szCs w:val="22"/>
        </w:rPr>
      </w:pPr>
    </w:p>
    <w:p w:rsidR="00010014" w:rsidRDefault="00010014" w:rsidP="00010014">
      <w:pPr>
        <w:jc w:val="both"/>
        <w:rPr>
          <w:rFonts w:ascii="Arial" w:hAnsi="Arial" w:cs="Arial"/>
          <w:sz w:val="22"/>
          <w:szCs w:val="22"/>
        </w:rPr>
      </w:pPr>
      <w:r w:rsidRPr="0051289A">
        <w:rPr>
          <w:rFonts w:ascii="Arial" w:hAnsi="Arial" w:cs="Arial"/>
          <w:sz w:val="22"/>
          <w:szCs w:val="22"/>
        </w:rPr>
        <w:t xml:space="preserve">Entonces, resulta importante advertir que no es dable al Consejo Seccional, asumir roles de superior funcional frente a lo </w:t>
      </w:r>
      <w:r w:rsidRPr="0051289A">
        <w:rPr>
          <w:rFonts w:ascii="Arial" w:hAnsi="Arial" w:cs="Arial"/>
          <w:sz w:val="22"/>
          <w:szCs w:val="22"/>
        </w:rPr>
        <w:lastRenderedPageBreak/>
        <w:t>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010014" w:rsidRDefault="00010014" w:rsidP="00010014">
      <w:pPr>
        <w:jc w:val="both"/>
        <w:rPr>
          <w:rFonts w:ascii="Arial" w:hAnsi="Arial" w:cs="Arial"/>
          <w:sz w:val="22"/>
          <w:szCs w:val="22"/>
        </w:rPr>
      </w:pPr>
    </w:p>
    <w:p w:rsidR="00010014" w:rsidRPr="0051289A" w:rsidRDefault="00010014" w:rsidP="00010014">
      <w:pPr>
        <w:jc w:val="both"/>
        <w:rPr>
          <w:rFonts w:ascii="Arial" w:hAnsi="Arial" w:cs="Arial"/>
          <w:sz w:val="22"/>
          <w:szCs w:val="22"/>
        </w:rPr>
      </w:pPr>
    </w:p>
    <w:p w:rsidR="00010014" w:rsidRPr="0051289A" w:rsidRDefault="00010014" w:rsidP="00010014">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010014" w:rsidRPr="0051289A" w:rsidRDefault="00010014" w:rsidP="00010014">
      <w:pPr>
        <w:jc w:val="both"/>
        <w:rPr>
          <w:rFonts w:ascii="Arial" w:hAnsi="Arial" w:cs="Arial"/>
          <w:sz w:val="22"/>
          <w:szCs w:val="22"/>
        </w:rPr>
      </w:pPr>
    </w:p>
    <w:p w:rsidR="00010014" w:rsidRPr="0051289A" w:rsidRDefault="00010014" w:rsidP="00010014">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Primero Civil Municipal de Villavicencio, María Eugenia Ayala Grass,</w:t>
      </w:r>
      <w:r w:rsidRPr="0051289A">
        <w:rPr>
          <w:sz w:val="22"/>
          <w:szCs w:val="22"/>
        </w:rPr>
        <w:t xml:space="preserve">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010014" w:rsidRDefault="00010014" w:rsidP="00010014">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radica en el presunto retraso que se ha presentado en la posesión del auxiliar de justicia, que tiene a cargo el avalúo de los perjuicios, puesto que han transcurrido 75 meses, sin que logre tenerse el dictamen pericial en el proceso vigilado.</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 xml:space="preserve">mediante Oficio Administrativo NO. 018 de 29 de mayo de 2019, expuso los antecedentes del asunto que hoy nos ocupa, indicando que el 16 de abril de 2013, se admitió la demanda y el 18 de julio del mismo año, se ordenó </w:t>
      </w:r>
      <w:r>
        <w:rPr>
          <w:rFonts w:ascii="Arial" w:hAnsi="Arial" w:cs="Arial"/>
          <w:sz w:val="22"/>
          <w:szCs w:val="22"/>
        </w:rPr>
        <w:lastRenderedPageBreak/>
        <w:t>la inscripción de la demanda, se decretó la práctica de inspección judicial y se autorizó la accesión a imposición de servidumbre provisional.</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En igual sentido, señaló que el 30 de julio de 2013, presentó recurso de reposición contra el auto de 18 de julio de 2013, el cual fue resuelto el 12 de septiembre de 2013 y en cuanto a la designación del auxiliar de justicia, adujo que se realizaron 7 designaciones de perito infructuosas, en las fechas: 29 de octubre de 2013, 5 de diciembre de 2013, 13 de noviembre de 2015, 11 de agosto de 2016, 9 de noviembre de 2018 y 25 de enero de 2019.</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Así mismo, agregó que el 10 de junio de 2015, el expediente fue enviado por competencia al Juzgado Quinto Civil Municipal en Descongestión de Villavicencio y el 17 de febrero de 2016, ante la extinción del Juzgado en Descongestión, nuevamente avocó conocimiento.</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Seguidamente, se aceptó la cesión de derechos litigiosos a favor de CENIT y se notificó por estado a los demandados, el 1 de junio de 2017, se requirió al perito designado para dar cumplimiento a lo ordenado y el 15 de noviembre del mismo año, a petición del apoderado de la parte actora, se releva al perito y se oficia al IGAC para que allegue lista de peritos que puedan actuar en el asunto.</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 xml:space="preserve">El 22 de mayo de 2018, el IGAC emite respuesta, requiriendo una información, solicitud que se pone de presente a la parte interesada a través de auto de 29 de junio de 2018 y el día 30 de agosto hogaño, el apoderado de la demandante, informa </w:t>
      </w:r>
      <w:r>
        <w:rPr>
          <w:rFonts w:ascii="Arial" w:hAnsi="Arial" w:cs="Arial"/>
          <w:sz w:val="22"/>
          <w:szCs w:val="22"/>
        </w:rPr>
        <w:lastRenderedPageBreak/>
        <w:t>que se suministró la información solicitada por el IGAC y mediante auto de 7 de septiembre de 2018, se oficia por segunda vez al mencionado Instituto, para que en el término de 3 de días designe un auxiliar de justicia, que determine el valor de los perjuicios causados por la imposición de la servidumbre petrolera, quien debe acudir de forma inmediata a posesionarse.</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Adicional a lo anterior, el 11 de octubre de 2018, se recibió respuesta del requerimiento por parte del IGAC, en la que adjuntan la Resolución 964 de 2018, en la que se conforma la lista de peritos, sugiriendo designar un funcionario o contratista de Bogotá, toda vez que los auxiliares de la Territorial Meta, se encontraban en proceso de contratación en el momento.</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En auto de 9 de noviembre de 2018, se designó a la perito Francy Chitiva, el 25 de enero de 2019, fue relevada por no tener contrato vigente y se designó a Néstor Villalobos, a través del servicio postal el 10 de abril de 2019 y el 3 de mayo del año en curso, se emitió proveído en el que se abstiene de dar trámite del poder allegado por Ecopetrol, por encontrarse en cesión de derechos litigiosos en favor de Cenit y el 28 de mayo de 2019, se emitió auto en el que se requirió al IGAC, para que allegue de manera inmediata la lista de peritos adscritos para designar uno de ellos, puesto que los ya asignados, no se han posesionado o han hecho caso omiso a la solicitud.</w:t>
      </w:r>
    </w:p>
    <w:p w:rsidR="00010014"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r>
        <w:rPr>
          <w:rFonts w:ascii="Arial" w:hAnsi="Arial" w:cs="Arial"/>
          <w:sz w:val="22"/>
          <w:szCs w:val="22"/>
        </w:rPr>
        <w:t>Finalmente, expresó que el tiempo que lleva el trámite del proceso vigilado, no ha sido responsabilidad de sus antecesores ni de ella como actual titular del Juzgado, puesto que se ha podido establecer y probar en el estudio del mismo, la cons</w:t>
      </w:r>
      <w:r>
        <w:rPr>
          <w:rFonts w:ascii="Arial" w:hAnsi="Arial" w:cs="Arial"/>
          <w:sz w:val="22"/>
          <w:szCs w:val="22"/>
        </w:rPr>
        <w:lastRenderedPageBreak/>
        <w:t>tante y infructuosa designación de los peritos, que se ha generado por no tener contrato o por la omisión de comparecencia; circunstancias externas, que están fuera del control de la funcionaria encartada y que por tratarse de actuaciones de 3 y 28 de mayo de 2019, no existe ninguna demora en el trámite que hoy nos ocupa.</w:t>
      </w:r>
    </w:p>
    <w:p w:rsidR="00010014" w:rsidRPr="00822F43" w:rsidRDefault="00010014" w:rsidP="00010014">
      <w:pPr>
        <w:jc w:val="both"/>
        <w:rPr>
          <w:rFonts w:ascii="Arial" w:hAnsi="Arial" w:cs="Arial"/>
          <w:sz w:val="22"/>
          <w:szCs w:val="22"/>
        </w:rPr>
      </w:pPr>
      <w:r>
        <w:rPr>
          <w:rFonts w:ascii="Arial" w:hAnsi="Arial" w:cs="Arial"/>
          <w:sz w:val="22"/>
          <w:szCs w:val="22"/>
        </w:rPr>
        <w:t>Junto con el informe, la Juez requerida aportó copias de las diferentes actuaciones surtidas, con ocasión del nombramiento de perito en el proceso vigilado, lo que permite evidenciar que efectivamente como lo ha indicado la servidora cuestionada, no ha sido posible la posesión del auxiliar de justicia, pese a que el Despacho ha realizado todas las gestiones tendientes a que se efectúe el avalúo de los perjuicios señalados por el demandante y se pueda continuar con el trámite del mencionado proceso.</w:t>
      </w:r>
    </w:p>
    <w:p w:rsidR="00010014" w:rsidRDefault="00010014" w:rsidP="00010014">
      <w:pPr>
        <w:pStyle w:val="NormalWeb"/>
        <w:spacing w:before="0" w:after="0"/>
        <w:jc w:val="both"/>
        <w:rPr>
          <w:sz w:val="22"/>
          <w:szCs w:val="22"/>
        </w:rPr>
      </w:pPr>
    </w:p>
    <w:p w:rsidR="00010014" w:rsidRDefault="00010014" w:rsidP="00010014">
      <w:pPr>
        <w:pStyle w:val="Default"/>
        <w:jc w:val="both"/>
        <w:rPr>
          <w:sz w:val="22"/>
          <w:szCs w:val="22"/>
        </w:rPr>
      </w:pPr>
      <w:r>
        <w:rPr>
          <w:sz w:val="22"/>
          <w:szCs w:val="22"/>
        </w:rPr>
        <w:t>De tal manera que</w:t>
      </w:r>
      <w:r>
        <w:rPr>
          <w:color w:val="auto"/>
          <w:sz w:val="22"/>
          <w:szCs w:val="22"/>
        </w:rPr>
        <w:t xml:space="preserve"> se pudo establecer que </w:t>
      </w:r>
      <w:r w:rsidRPr="00BD03E5">
        <w:rPr>
          <w:sz w:val="22"/>
          <w:szCs w:val="22"/>
        </w:rPr>
        <w:t>la</w:t>
      </w:r>
      <w:r>
        <w:rPr>
          <w:sz w:val="22"/>
          <w:szCs w:val="22"/>
        </w:rPr>
        <w:t>s actuaciones judiciales han sido desplegadas con apego a lo establecido en la normatividad procesal y que no se ha tratado de una omisión o una conducta negligente por parte del funcionario encartado, sino que el tercero interviniente no se encuentra legitimado para actuar en el asunto en estudio, aunado a que la petición de suspensión no le corresponde al Juez de primera instancia, sino al superior en el momento procesal correspondiente.</w:t>
      </w:r>
    </w:p>
    <w:p w:rsidR="00010014" w:rsidRDefault="00010014" w:rsidP="00010014">
      <w:pPr>
        <w:pStyle w:val="Default"/>
        <w:jc w:val="both"/>
        <w:rPr>
          <w:sz w:val="22"/>
          <w:szCs w:val="22"/>
        </w:rPr>
      </w:pPr>
    </w:p>
    <w:p w:rsidR="00010014" w:rsidRDefault="00010014" w:rsidP="00010014">
      <w:pPr>
        <w:pStyle w:val="Default"/>
        <w:jc w:val="both"/>
        <w:rPr>
          <w:sz w:val="22"/>
          <w:szCs w:val="22"/>
        </w:rPr>
      </w:pPr>
      <w:r>
        <w:rPr>
          <w:sz w:val="22"/>
          <w:szCs w:val="22"/>
        </w:rPr>
        <w:t xml:space="preserve">Bajo el contexto planteado, se pudo colegir, que los 75 meses de retraso que endilga el quejoso a la Juez vinculada, no son atribuibles a ella, toda vez que el Despacho, ha sido diligente en el trámite que debe surtir, atendiendo los lineamientos establecidos inicialmente en el Código de Procedimiento Civil y </w:t>
      </w:r>
      <w:r>
        <w:rPr>
          <w:sz w:val="22"/>
          <w:szCs w:val="22"/>
        </w:rPr>
        <w:lastRenderedPageBreak/>
        <w:t>ahora en el Estatuto General del Proceso, sin que hasta la fecha, haya sido posible la posesión de alguno de los peritos designados.</w:t>
      </w:r>
    </w:p>
    <w:p w:rsidR="00010014" w:rsidRDefault="00010014" w:rsidP="00010014">
      <w:pPr>
        <w:pStyle w:val="Default"/>
        <w:jc w:val="both"/>
        <w:rPr>
          <w:sz w:val="22"/>
          <w:szCs w:val="22"/>
        </w:rPr>
      </w:pPr>
    </w:p>
    <w:p w:rsidR="00010014" w:rsidRDefault="00010014" w:rsidP="00010014">
      <w:pPr>
        <w:pStyle w:val="Default"/>
        <w:jc w:val="both"/>
        <w:rPr>
          <w:sz w:val="22"/>
          <w:szCs w:val="22"/>
        </w:rPr>
      </w:pPr>
      <w:r>
        <w:rPr>
          <w:sz w:val="22"/>
          <w:szCs w:val="22"/>
        </w:rPr>
        <w:t>Así las cosas, este Consejo Seccional encuentra que el retraso que se ha presentado en la designación del auxiliar de justicia en el asunto en estudio, no está bajo el control de la funcionaria vigilado, por tratarse de circunstancias externas, que no han permitido el avance del proceso.</w:t>
      </w:r>
    </w:p>
    <w:p w:rsidR="00010014" w:rsidRDefault="00010014" w:rsidP="00010014">
      <w:pPr>
        <w:pStyle w:val="Default"/>
        <w:jc w:val="both"/>
        <w:rPr>
          <w:sz w:val="22"/>
          <w:szCs w:val="22"/>
        </w:rPr>
      </w:pPr>
    </w:p>
    <w:p w:rsidR="00010014" w:rsidRPr="0042133B" w:rsidRDefault="00010014" w:rsidP="00010014">
      <w:pPr>
        <w:pStyle w:val="Default"/>
        <w:jc w:val="both"/>
        <w:rPr>
          <w:sz w:val="22"/>
          <w:szCs w:val="22"/>
        </w:rPr>
      </w:pPr>
      <w:r>
        <w:rPr>
          <w:sz w:val="22"/>
          <w:szCs w:val="22"/>
        </w:rPr>
        <w:t>Por lo anterior, se declarara que no ha habido desempeño contrario a la oportuna y eficaz administración de justicia por parte de la Juez Primero Civil Municipal de Villavicencio, María Eugenia Ayala Grass, en las actuaciones surtidas en el Proceso Declarativo No. 50001 40 03 001 2013 00093 00, por lo que no hay lugar a realizar corrección o anotación alguna, por lo que en tal virtud, se dispone la terminación de las presentes diligencias y ordena el archivo de las mismas, de conformidad con lo establecido en el Acuerdo PSAA11-8716 de 2011, emitido por el Consejo Superior de la Judicatura.</w:t>
      </w:r>
    </w:p>
    <w:p w:rsidR="00010014" w:rsidRDefault="00010014" w:rsidP="00010014">
      <w:pPr>
        <w:pStyle w:val="NormalWeb"/>
        <w:spacing w:before="0" w:after="0"/>
        <w:jc w:val="both"/>
        <w:rPr>
          <w:rFonts w:ascii="Arial" w:hAnsi="Arial" w:cs="Arial"/>
          <w:sz w:val="22"/>
          <w:szCs w:val="22"/>
        </w:rPr>
      </w:pPr>
    </w:p>
    <w:p w:rsidR="00010014" w:rsidRDefault="00010014" w:rsidP="00010014">
      <w:pPr>
        <w:pStyle w:val="NormalWeb"/>
        <w:spacing w:before="0" w:after="0"/>
        <w:jc w:val="both"/>
        <w:rPr>
          <w:rFonts w:ascii="Arial" w:hAnsi="Arial" w:cs="Arial"/>
          <w:sz w:val="22"/>
          <w:szCs w:val="22"/>
        </w:rPr>
      </w:pPr>
    </w:p>
    <w:p w:rsidR="00010014" w:rsidRPr="008F74A2" w:rsidRDefault="00010014" w:rsidP="00010014">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010014" w:rsidRDefault="00010014" w:rsidP="00010014">
      <w:pPr>
        <w:pStyle w:val="Textoindependiente"/>
        <w:tabs>
          <w:tab w:val="left" w:pos="284"/>
        </w:tabs>
        <w:rPr>
          <w:rFonts w:ascii="Arial" w:hAnsi="Arial" w:cs="Arial"/>
          <w:b/>
          <w:sz w:val="22"/>
          <w:szCs w:val="22"/>
        </w:rPr>
      </w:pPr>
    </w:p>
    <w:p w:rsidR="00010014" w:rsidRPr="008F74A2" w:rsidRDefault="00010014" w:rsidP="00010014">
      <w:pPr>
        <w:pStyle w:val="Textoindependiente"/>
        <w:tabs>
          <w:tab w:val="left" w:pos="284"/>
        </w:tabs>
        <w:rPr>
          <w:rFonts w:ascii="Arial" w:hAnsi="Arial" w:cs="Arial"/>
          <w:b/>
          <w:sz w:val="22"/>
          <w:szCs w:val="22"/>
        </w:rPr>
      </w:pPr>
    </w:p>
    <w:p w:rsidR="00010014" w:rsidRPr="008F74A2" w:rsidRDefault="00010014" w:rsidP="00010014">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010014" w:rsidRDefault="00010014" w:rsidP="00010014">
      <w:pPr>
        <w:pStyle w:val="Textoindependiente"/>
        <w:tabs>
          <w:tab w:val="left" w:pos="284"/>
        </w:tabs>
        <w:rPr>
          <w:rFonts w:ascii="Arial" w:hAnsi="Arial" w:cs="Arial"/>
          <w:sz w:val="22"/>
          <w:szCs w:val="22"/>
        </w:rPr>
      </w:pPr>
    </w:p>
    <w:p w:rsidR="00010014" w:rsidRPr="00CB3941" w:rsidRDefault="00010014" w:rsidP="00010014">
      <w:pPr>
        <w:pStyle w:val="Textoindependiente"/>
        <w:tabs>
          <w:tab w:val="left" w:pos="284"/>
        </w:tabs>
        <w:rPr>
          <w:rFonts w:ascii="Arial" w:hAnsi="Arial" w:cs="Arial"/>
          <w:sz w:val="22"/>
          <w:szCs w:val="22"/>
        </w:rPr>
      </w:pPr>
    </w:p>
    <w:p w:rsidR="00010014" w:rsidRDefault="00010014" w:rsidP="00010014">
      <w:pPr>
        <w:pStyle w:val="NormalWeb"/>
        <w:spacing w:before="0" w:after="0"/>
        <w:jc w:val="both"/>
        <w:rPr>
          <w:rFonts w:ascii="Arial" w:hAnsi="Arial" w:cs="Arial"/>
          <w:sz w:val="22"/>
          <w:szCs w:val="22"/>
        </w:rPr>
      </w:pPr>
      <w:r w:rsidRPr="00CB3941">
        <w:rPr>
          <w:rFonts w:ascii="Arial" w:hAnsi="Arial" w:cs="Arial"/>
          <w:b/>
          <w:color w:val="000000"/>
          <w:sz w:val="22"/>
          <w:szCs w:val="22"/>
          <w:lang w:val="es-ES_tradnl"/>
        </w:rPr>
        <w:t>ARTÍCULO 1:</w:t>
      </w:r>
      <w:r w:rsidRPr="00CB3941">
        <w:rPr>
          <w:rFonts w:ascii="Arial" w:hAnsi="Arial" w:cs="Arial"/>
          <w:color w:val="000000"/>
          <w:sz w:val="22"/>
          <w:szCs w:val="22"/>
          <w:lang w:val="es-ES_tradnl"/>
        </w:rPr>
        <w:t xml:space="preserve"> </w:t>
      </w:r>
      <w:r w:rsidRPr="00CB3941">
        <w:rPr>
          <w:rFonts w:ascii="Arial" w:hAnsi="Arial" w:cs="Arial"/>
          <w:sz w:val="22"/>
          <w:szCs w:val="22"/>
        </w:rPr>
        <w:t xml:space="preserve">Declarar que no ha habido un desempeño contrario a la oportuna y eficaz administración de justicia por </w:t>
      </w:r>
      <w:r w:rsidRPr="00CB3941">
        <w:rPr>
          <w:rFonts w:ascii="Arial" w:hAnsi="Arial" w:cs="Arial"/>
          <w:sz w:val="22"/>
          <w:szCs w:val="22"/>
        </w:rPr>
        <w:lastRenderedPageBreak/>
        <w:t xml:space="preserve">parte de la funcionaria judicial, </w:t>
      </w:r>
      <w:r w:rsidRPr="00CB3941">
        <w:rPr>
          <w:rFonts w:ascii="Arial" w:hAnsi="Arial" w:cs="Arial"/>
          <w:b/>
          <w:sz w:val="22"/>
          <w:szCs w:val="22"/>
        </w:rPr>
        <w:t>MARÍA EUGENIA AYALA GRASS</w:t>
      </w:r>
      <w:r w:rsidRPr="00CB3941">
        <w:rPr>
          <w:rFonts w:ascii="Arial" w:hAnsi="Arial" w:cs="Arial"/>
          <w:sz w:val="22"/>
          <w:szCs w:val="22"/>
        </w:rPr>
        <w:t>, Juez Primero Civil Municipal de Villavicencio, en las actuaciones judiciales surtidas en el Proceso Declarativo No. 50001 40 03 001 2013 00093 00</w:t>
      </w:r>
      <w:r w:rsidRPr="00CB3941">
        <w:rPr>
          <w:rFonts w:ascii="Arial" w:eastAsia="Batang" w:hAnsi="Arial" w:cs="Arial"/>
          <w:iCs/>
          <w:sz w:val="22"/>
          <w:szCs w:val="22"/>
        </w:rPr>
        <w:t xml:space="preserve">, </w:t>
      </w:r>
      <w:r w:rsidRPr="00CB3941">
        <w:rPr>
          <w:rFonts w:ascii="Arial" w:hAnsi="Arial" w:cs="Arial"/>
          <w:sz w:val="22"/>
          <w:szCs w:val="22"/>
        </w:rPr>
        <w:t>que cursa en ese Despacho, que amerite la aplicación de correctivo alguno, según las consideraciones expuestas en la parte motiva.</w:t>
      </w:r>
    </w:p>
    <w:p w:rsidR="00010014" w:rsidRPr="00CA733E" w:rsidRDefault="00010014" w:rsidP="00010014">
      <w:pPr>
        <w:pStyle w:val="NormalWeb"/>
        <w:spacing w:before="0" w:after="0"/>
        <w:jc w:val="both"/>
        <w:rPr>
          <w:rFonts w:ascii="Arial" w:hAnsi="Arial" w:cs="Arial"/>
          <w:sz w:val="22"/>
          <w:szCs w:val="22"/>
        </w:rPr>
      </w:pPr>
    </w:p>
    <w:p w:rsidR="00010014" w:rsidRPr="00CA733E" w:rsidRDefault="00010014" w:rsidP="00010014">
      <w:pPr>
        <w:jc w:val="both"/>
        <w:rPr>
          <w:rFonts w:ascii="Arial" w:hAnsi="Arial" w:cs="Arial"/>
          <w:sz w:val="22"/>
          <w:szCs w:val="22"/>
        </w:rPr>
      </w:pPr>
      <w:r w:rsidRPr="00CA733E">
        <w:rPr>
          <w:rFonts w:ascii="Arial" w:hAnsi="Arial" w:cs="Arial"/>
          <w:b/>
          <w:sz w:val="22"/>
          <w:szCs w:val="22"/>
        </w:rPr>
        <w:t>ARTÍCULO 2:</w:t>
      </w:r>
      <w:r w:rsidRPr="00CA733E">
        <w:rPr>
          <w:rFonts w:ascii="Arial" w:hAnsi="Arial" w:cs="Arial"/>
          <w:sz w:val="22"/>
          <w:szCs w:val="22"/>
        </w:rPr>
        <w:t xml:space="preserve"> Notificar</w:t>
      </w:r>
      <w:r w:rsidRPr="00CA733E">
        <w:rPr>
          <w:rFonts w:ascii="Arial" w:hAnsi="Arial" w:cs="Arial"/>
          <w:b/>
          <w:sz w:val="22"/>
          <w:szCs w:val="22"/>
        </w:rPr>
        <w:t xml:space="preserve"> </w:t>
      </w:r>
      <w:r w:rsidRPr="00CA733E">
        <w:rPr>
          <w:rFonts w:ascii="Arial" w:hAnsi="Arial" w:cs="Arial"/>
          <w:sz w:val="22"/>
          <w:szCs w:val="22"/>
        </w:rPr>
        <w:t>la presente decisión a</w:t>
      </w:r>
      <w:r>
        <w:rPr>
          <w:rFonts w:ascii="Arial" w:hAnsi="Arial" w:cs="Arial"/>
          <w:sz w:val="22"/>
          <w:szCs w:val="22"/>
        </w:rPr>
        <w:t xml:space="preserve"> </w:t>
      </w:r>
      <w:r w:rsidRPr="00CA733E">
        <w:rPr>
          <w:rFonts w:ascii="Arial" w:hAnsi="Arial" w:cs="Arial"/>
          <w:sz w:val="22"/>
          <w:szCs w:val="22"/>
        </w:rPr>
        <w:t>l</w:t>
      </w:r>
      <w:r>
        <w:rPr>
          <w:rFonts w:ascii="Arial" w:hAnsi="Arial" w:cs="Arial"/>
          <w:sz w:val="22"/>
          <w:szCs w:val="22"/>
        </w:rPr>
        <w:t>a Juez vinculada</w:t>
      </w:r>
      <w:r w:rsidRPr="00CA733E">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CA733E">
        <w:rPr>
          <w:rStyle w:val="st1"/>
          <w:rFonts w:ascii="Arial" w:hAnsi="Arial" w:cs="Arial"/>
          <w:sz w:val="22"/>
          <w:szCs w:val="22"/>
        </w:rPr>
        <w:t xml:space="preserve">CPACA, esto es, dentro de diez </w:t>
      </w:r>
      <w:r w:rsidRPr="00CA733E">
        <w:rPr>
          <w:rFonts w:ascii="Arial" w:hAnsi="Arial" w:cs="Arial"/>
          <w:sz w:val="22"/>
          <w:szCs w:val="22"/>
        </w:rPr>
        <w:t>(10) días siguientes al recibo de la respectiva comunicación.</w:t>
      </w:r>
    </w:p>
    <w:p w:rsidR="00010014" w:rsidRPr="00CA733E" w:rsidRDefault="00010014" w:rsidP="00010014">
      <w:pPr>
        <w:jc w:val="both"/>
        <w:rPr>
          <w:rFonts w:ascii="Arial" w:hAnsi="Arial" w:cs="Arial"/>
          <w:sz w:val="22"/>
          <w:szCs w:val="22"/>
        </w:rPr>
      </w:pPr>
      <w:r w:rsidRPr="00CA733E">
        <w:rPr>
          <w:rFonts w:ascii="Arial" w:hAnsi="Arial" w:cs="Arial"/>
          <w:b/>
          <w:color w:val="000000"/>
          <w:sz w:val="22"/>
          <w:szCs w:val="22"/>
        </w:rPr>
        <w:t xml:space="preserve">ARTICULO 3: </w:t>
      </w:r>
      <w:r w:rsidRPr="00CA733E">
        <w:rPr>
          <w:rFonts w:ascii="Arial" w:hAnsi="Arial" w:cs="Arial"/>
          <w:color w:val="000000"/>
          <w:sz w:val="22"/>
          <w:szCs w:val="22"/>
        </w:rPr>
        <w:t xml:space="preserve">Comunicar la presente decisión al quejoso, como lo señala </w:t>
      </w:r>
      <w:r w:rsidRPr="00CA733E">
        <w:rPr>
          <w:rFonts w:ascii="Arial" w:hAnsi="Arial" w:cs="Arial"/>
          <w:sz w:val="22"/>
          <w:szCs w:val="22"/>
        </w:rPr>
        <w:t>el artículo octavo del Acuerdo No. PSAA11-8716 del 6 de octubre de 2011 del Consejo Superior de la Judicatura.</w:t>
      </w:r>
    </w:p>
    <w:p w:rsidR="00010014" w:rsidRPr="00CA733E" w:rsidRDefault="00010014" w:rsidP="00010014">
      <w:pPr>
        <w:pStyle w:val="NormalWeb"/>
        <w:spacing w:before="0" w:after="0"/>
        <w:jc w:val="both"/>
        <w:rPr>
          <w:rFonts w:ascii="Arial" w:hAnsi="Arial" w:cs="Arial"/>
          <w:b/>
          <w:sz w:val="22"/>
          <w:szCs w:val="22"/>
        </w:rPr>
      </w:pPr>
    </w:p>
    <w:p w:rsidR="00010014" w:rsidRPr="00CA733E" w:rsidRDefault="00010014" w:rsidP="00010014">
      <w:pPr>
        <w:jc w:val="both"/>
        <w:rPr>
          <w:rFonts w:ascii="Arial" w:hAnsi="Arial" w:cs="Arial"/>
          <w:sz w:val="22"/>
          <w:szCs w:val="22"/>
        </w:rPr>
      </w:pPr>
      <w:r w:rsidRPr="00CA733E">
        <w:rPr>
          <w:rFonts w:ascii="Arial" w:hAnsi="Arial" w:cs="Arial"/>
          <w:b/>
          <w:color w:val="000000"/>
          <w:sz w:val="22"/>
          <w:szCs w:val="22"/>
        </w:rPr>
        <w:t>ARTICULO 4:</w:t>
      </w:r>
      <w:r w:rsidRPr="00CA733E">
        <w:rPr>
          <w:rFonts w:ascii="Arial" w:hAnsi="Arial" w:cs="Arial"/>
          <w:sz w:val="22"/>
          <w:szCs w:val="22"/>
        </w:rPr>
        <w:t xml:space="preserve"> Dar por concluidas las diligencias de la presente Vigilancia Judicial Administrativa, declarar su terminación y una vez en firme la decisión, ordénese el archivo de las mismas.</w:t>
      </w:r>
    </w:p>
    <w:p w:rsidR="00010014" w:rsidRPr="00CA733E" w:rsidRDefault="00010014" w:rsidP="00010014">
      <w:pPr>
        <w:jc w:val="both"/>
        <w:rPr>
          <w:rFonts w:ascii="Arial" w:hAnsi="Arial" w:cs="Arial"/>
          <w:sz w:val="22"/>
          <w:szCs w:val="22"/>
        </w:rPr>
      </w:pPr>
    </w:p>
    <w:p w:rsidR="00010014" w:rsidRPr="00CA733E" w:rsidRDefault="00010014" w:rsidP="00010014">
      <w:pPr>
        <w:pStyle w:val="NormalWeb"/>
        <w:spacing w:before="0" w:after="0"/>
        <w:jc w:val="both"/>
        <w:rPr>
          <w:rFonts w:ascii="Arial" w:hAnsi="Arial" w:cs="Arial"/>
          <w:sz w:val="22"/>
          <w:szCs w:val="22"/>
        </w:rPr>
      </w:pPr>
      <w:r w:rsidRPr="00CA733E">
        <w:rPr>
          <w:rFonts w:ascii="Arial" w:hAnsi="Arial" w:cs="Arial"/>
          <w:b/>
          <w:color w:val="000000"/>
          <w:sz w:val="22"/>
          <w:szCs w:val="22"/>
        </w:rPr>
        <w:t xml:space="preserve">ARTICULO 5: </w:t>
      </w:r>
      <w:r w:rsidRPr="00CA733E">
        <w:rPr>
          <w:rFonts w:ascii="Arial" w:hAnsi="Arial" w:cs="Arial"/>
          <w:sz w:val="22"/>
          <w:szCs w:val="22"/>
        </w:rPr>
        <w:t>La presente Resolución rige a partir de la fecha de su expedición.</w:t>
      </w:r>
    </w:p>
    <w:p w:rsidR="00010014" w:rsidRPr="00CA733E" w:rsidRDefault="00010014" w:rsidP="00010014">
      <w:pPr>
        <w:jc w:val="both"/>
        <w:rPr>
          <w:rFonts w:ascii="Arial" w:hAnsi="Arial" w:cs="Arial"/>
          <w:sz w:val="22"/>
          <w:szCs w:val="22"/>
        </w:rPr>
      </w:pPr>
    </w:p>
    <w:p w:rsidR="00010014" w:rsidRDefault="00010014" w:rsidP="00010014">
      <w:pPr>
        <w:jc w:val="both"/>
        <w:rPr>
          <w:rFonts w:ascii="Arial" w:hAnsi="Arial" w:cs="Arial"/>
          <w:sz w:val="22"/>
          <w:szCs w:val="22"/>
        </w:rPr>
      </w:pPr>
    </w:p>
    <w:p w:rsidR="00010014" w:rsidRPr="00CA733E" w:rsidRDefault="00010014" w:rsidP="00010014">
      <w:pPr>
        <w:jc w:val="both"/>
        <w:rPr>
          <w:rFonts w:ascii="Arial" w:hAnsi="Arial" w:cs="Arial"/>
          <w:sz w:val="22"/>
          <w:szCs w:val="22"/>
        </w:rPr>
      </w:pPr>
    </w:p>
    <w:p w:rsidR="00010014" w:rsidRPr="00CA733E" w:rsidRDefault="00010014" w:rsidP="00010014">
      <w:pPr>
        <w:jc w:val="center"/>
        <w:rPr>
          <w:rFonts w:ascii="Arial" w:hAnsi="Arial" w:cs="Arial"/>
          <w:sz w:val="22"/>
          <w:szCs w:val="22"/>
        </w:rPr>
      </w:pPr>
      <w:r w:rsidRPr="00CA733E">
        <w:rPr>
          <w:rFonts w:ascii="Arial" w:hAnsi="Arial" w:cs="Arial"/>
          <w:sz w:val="22"/>
          <w:szCs w:val="22"/>
        </w:rPr>
        <w:t>NOTIFÍQUESE, COMUNÍQUESE, PUBLÍQUESE Y CÚMPLASE</w:t>
      </w:r>
    </w:p>
    <w:p w:rsidR="00010014" w:rsidRDefault="00010014" w:rsidP="00010014">
      <w:pPr>
        <w:jc w:val="center"/>
        <w:rPr>
          <w:rFonts w:ascii="Arial" w:hAnsi="Arial" w:cs="Arial"/>
          <w:sz w:val="22"/>
          <w:szCs w:val="22"/>
        </w:rPr>
      </w:pPr>
    </w:p>
    <w:p w:rsidR="00010014" w:rsidRDefault="00010014" w:rsidP="00010014">
      <w:pPr>
        <w:jc w:val="center"/>
        <w:rPr>
          <w:rFonts w:ascii="Arial" w:hAnsi="Arial" w:cs="Arial"/>
          <w:sz w:val="22"/>
          <w:szCs w:val="22"/>
        </w:rPr>
      </w:pPr>
    </w:p>
    <w:p w:rsidR="00010014" w:rsidRPr="000D1687" w:rsidRDefault="00010014" w:rsidP="00010014">
      <w:pPr>
        <w:jc w:val="center"/>
        <w:rPr>
          <w:rFonts w:ascii="Arial" w:hAnsi="Arial" w:cs="Arial"/>
          <w:sz w:val="22"/>
          <w:szCs w:val="22"/>
        </w:rPr>
      </w:pPr>
    </w:p>
    <w:p w:rsidR="00010014" w:rsidRDefault="00010014" w:rsidP="00010014">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cuatro </w:t>
      </w:r>
      <w:r w:rsidRPr="000D1687">
        <w:rPr>
          <w:rFonts w:ascii="Arial" w:hAnsi="Arial" w:cs="Arial"/>
          <w:sz w:val="22"/>
          <w:szCs w:val="22"/>
        </w:rPr>
        <w:t>(</w:t>
      </w:r>
      <w:r>
        <w:rPr>
          <w:rFonts w:ascii="Arial" w:hAnsi="Arial" w:cs="Arial"/>
          <w:sz w:val="22"/>
          <w:szCs w:val="22"/>
        </w:rPr>
        <w:t>4</w:t>
      </w:r>
      <w:r w:rsidRPr="000D1687">
        <w:rPr>
          <w:rFonts w:ascii="Arial" w:hAnsi="Arial" w:cs="Arial"/>
          <w:sz w:val="22"/>
          <w:szCs w:val="22"/>
        </w:rPr>
        <w:t xml:space="preserve">) días del mes de </w:t>
      </w:r>
      <w:r>
        <w:rPr>
          <w:rFonts w:ascii="Arial" w:hAnsi="Arial" w:cs="Arial"/>
          <w:sz w:val="22"/>
          <w:szCs w:val="22"/>
        </w:rPr>
        <w:t>junio de</w:t>
      </w:r>
      <w:r w:rsidRPr="000D1687">
        <w:rPr>
          <w:rFonts w:ascii="Arial" w:hAnsi="Arial" w:cs="Arial"/>
          <w:sz w:val="22"/>
          <w:szCs w:val="22"/>
        </w:rPr>
        <w:t xml:space="preserve"> dos mil diecinueve (2019).</w:t>
      </w:r>
    </w:p>
    <w:p w:rsidR="00010014" w:rsidRDefault="00010014" w:rsidP="00010014">
      <w:pPr>
        <w:jc w:val="both"/>
        <w:rPr>
          <w:rFonts w:ascii="Arial" w:hAnsi="Arial" w:cs="Arial"/>
          <w:sz w:val="22"/>
          <w:szCs w:val="22"/>
        </w:rPr>
      </w:pPr>
    </w:p>
    <w:p w:rsidR="00010014" w:rsidRPr="0051289A" w:rsidRDefault="00010014" w:rsidP="00010014">
      <w:pPr>
        <w:jc w:val="both"/>
        <w:rPr>
          <w:rFonts w:ascii="Arial" w:hAnsi="Arial" w:cs="Arial"/>
          <w:sz w:val="22"/>
          <w:szCs w:val="22"/>
        </w:rPr>
      </w:pPr>
    </w:p>
    <w:p w:rsidR="00010014" w:rsidRPr="0051289A" w:rsidRDefault="00010014" w:rsidP="00010014">
      <w:pPr>
        <w:rPr>
          <w:rFonts w:ascii="Arial" w:hAnsi="Arial" w:cs="Arial"/>
          <w:caps/>
          <w:sz w:val="22"/>
          <w:szCs w:val="22"/>
        </w:rPr>
      </w:pPr>
    </w:p>
    <w:p w:rsidR="00010014" w:rsidRPr="0051289A" w:rsidRDefault="00010014" w:rsidP="00010014">
      <w:pPr>
        <w:rPr>
          <w:rFonts w:ascii="Arial" w:hAnsi="Arial" w:cs="Arial"/>
          <w:caps/>
          <w:sz w:val="22"/>
          <w:szCs w:val="22"/>
        </w:rPr>
      </w:pPr>
    </w:p>
    <w:p w:rsidR="00010014" w:rsidRPr="0051289A" w:rsidRDefault="00010014" w:rsidP="00010014">
      <w:pPr>
        <w:rPr>
          <w:rFonts w:ascii="Arial" w:hAnsi="Arial" w:cs="Arial"/>
          <w:caps/>
          <w:sz w:val="22"/>
          <w:szCs w:val="22"/>
        </w:rPr>
      </w:pPr>
    </w:p>
    <w:p w:rsidR="00010014" w:rsidRDefault="00010014" w:rsidP="00010014">
      <w:pPr>
        <w:rPr>
          <w:rFonts w:ascii="Arial" w:hAnsi="Arial" w:cs="Arial"/>
          <w:sz w:val="22"/>
          <w:szCs w:val="22"/>
        </w:rPr>
      </w:pPr>
    </w:p>
    <w:p w:rsidR="00010014" w:rsidRDefault="00010014" w:rsidP="00010014">
      <w:pPr>
        <w:rPr>
          <w:rFonts w:ascii="Arial" w:hAnsi="Arial" w:cs="Arial"/>
          <w:sz w:val="22"/>
          <w:szCs w:val="22"/>
        </w:rPr>
      </w:pPr>
    </w:p>
    <w:p w:rsidR="00010014" w:rsidRPr="0051289A" w:rsidRDefault="00010014" w:rsidP="00010014">
      <w:pPr>
        <w:rPr>
          <w:rFonts w:ascii="Arial" w:hAnsi="Arial" w:cs="Arial"/>
          <w:sz w:val="22"/>
          <w:szCs w:val="22"/>
        </w:rPr>
      </w:pPr>
    </w:p>
    <w:p w:rsidR="00010014" w:rsidRPr="0051289A" w:rsidRDefault="00010014" w:rsidP="00010014">
      <w:pPr>
        <w:rPr>
          <w:rFonts w:ascii="Arial" w:hAnsi="Arial" w:cs="Arial"/>
          <w:b/>
          <w:caps/>
          <w:sz w:val="22"/>
          <w:szCs w:val="22"/>
        </w:rPr>
      </w:pPr>
      <w:r>
        <w:rPr>
          <w:rFonts w:ascii="Arial" w:hAnsi="Arial" w:cs="Arial"/>
          <w:b/>
          <w:caps/>
          <w:sz w:val="22"/>
          <w:szCs w:val="22"/>
        </w:rPr>
        <w:t>ROMELIO ELIAS DAZA MOLINA</w:t>
      </w:r>
    </w:p>
    <w:p w:rsidR="00010014" w:rsidRPr="0051289A" w:rsidRDefault="00010014" w:rsidP="00010014">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010014" w:rsidRDefault="00010014" w:rsidP="00010014">
      <w:pPr>
        <w:rPr>
          <w:rFonts w:ascii="Arial" w:hAnsi="Arial" w:cs="Arial"/>
          <w:iCs/>
          <w:sz w:val="16"/>
          <w:szCs w:val="16"/>
        </w:rPr>
      </w:pPr>
    </w:p>
    <w:p w:rsidR="00010014" w:rsidRPr="0051289A" w:rsidRDefault="00010014" w:rsidP="00010014">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010014" w:rsidRPr="0051289A" w:rsidRDefault="00010014" w:rsidP="00010014">
      <w:pPr>
        <w:rPr>
          <w:rFonts w:ascii="Arial" w:hAnsi="Arial" w:cs="Arial"/>
          <w:sz w:val="16"/>
          <w:szCs w:val="16"/>
        </w:rPr>
      </w:pPr>
      <w:r>
        <w:rPr>
          <w:rFonts w:ascii="Arial" w:hAnsi="Arial" w:cs="Arial"/>
          <w:iCs/>
          <w:sz w:val="16"/>
          <w:szCs w:val="16"/>
        </w:rPr>
        <w:t>EXTCSJMEVJ19-107 de 22/may/2019..</w:t>
      </w:r>
    </w:p>
    <w:p w:rsidR="00254F44" w:rsidRPr="00234742" w:rsidRDefault="00254F44" w:rsidP="00234742">
      <w:pPr>
        <w:tabs>
          <w:tab w:val="left" w:pos="3278"/>
        </w:tabs>
        <w:rPr>
          <w:rFonts w:ascii="Arial" w:hAnsi="Arial" w:cs="Arial"/>
          <w:sz w:val="16"/>
          <w:szCs w:val="16"/>
          <w:lang w:val="es-CO"/>
        </w:rPr>
      </w:pPr>
    </w:p>
    <w:sectPr w:rsidR="00254F44" w:rsidRPr="00234742" w:rsidSect="00010014">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60" w:rsidRDefault="00397360">
      <w:r>
        <w:separator/>
      </w:r>
    </w:p>
  </w:endnote>
  <w:endnote w:type="continuationSeparator" w:id="0">
    <w:p w:rsidR="00397360" w:rsidRDefault="003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397360"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232076"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397360"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60" w:rsidRDefault="00397360">
      <w:r>
        <w:separator/>
      </w:r>
    </w:p>
  </w:footnote>
  <w:footnote w:type="continuationSeparator" w:id="0">
    <w:p w:rsidR="00397360" w:rsidRDefault="0039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232076">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232076"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014"/>
    <w:rsid w:val="00010325"/>
    <w:rsid w:val="00027BB1"/>
    <w:rsid w:val="00030104"/>
    <w:rsid w:val="00075C11"/>
    <w:rsid w:val="000A5B91"/>
    <w:rsid w:val="000D234C"/>
    <w:rsid w:val="000D6FCF"/>
    <w:rsid w:val="000E1C7F"/>
    <w:rsid w:val="000E264B"/>
    <w:rsid w:val="000F747F"/>
    <w:rsid w:val="00115930"/>
    <w:rsid w:val="001555A8"/>
    <w:rsid w:val="001E2E1A"/>
    <w:rsid w:val="001F771D"/>
    <w:rsid w:val="00223170"/>
    <w:rsid w:val="00231BB4"/>
    <w:rsid w:val="00232076"/>
    <w:rsid w:val="00233F2B"/>
    <w:rsid w:val="00234742"/>
    <w:rsid w:val="00254F44"/>
    <w:rsid w:val="0025591C"/>
    <w:rsid w:val="00272D2C"/>
    <w:rsid w:val="002E4BE9"/>
    <w:rsid w:val="002E4D7F"/>
    <w:rsid w:val="00304738"/>
    <w:rsid w:val="00341A26"/>
    <w:rsid w:val="00354655"/>
    <w:rsid w:val="00356985"/>
    <w:rsid w:val="00356B95"/>
    <w:rsid w:val="00397360"/>
    <w:rsid w:val="003A415E"/>
    <w:rsid w:val="00460271"/>
    <w:rsid w:val="00467320"/>
    <w:rsid w:val="004772C3"/>
    <w:rsid w:val="0048348F"/>
    <w:rsid w:val="004D0E7C"/>
    <w:rsid w:val="005222A8"/>
    <w:rsid w:val="00531DC9"/>
    <w:rsid w:val="00550113"/>
    <w:rsid w:val="0056705B"/>
    <w:rsid w:val="005B6E33"/>
    <w:rsid w:val="005C0C36"/>
    <w:rsid w:val="005D76B2"/>
    <w:rsid w:val="005E0745"/>
    <w:rsid w:val="005F2604"/>
    <w:rsid w:val="00605C20"/>
    <w:rsid w:val="006E20EA"/>
    <w:rsid w:val="00717C18"/>
    <w:rsid w:val="00725110"/>
    <w:rsid w:val="007301E8"/>
    <w:rsid w:val="0073370F"/>
    <w:rsid w:val="00772AAD"/>
    <w:rsid w:val="007A4FC8"/>
    <w:rsid w:val="007A62ED"/>
    <w:rsid w:val="007C6531"/>
    <w:rsid w:val="007D5D9C"/>
    <w:rsid w:val="007E3D61"/>
    <w:rsid w:val="00835526"/>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87D0E"/>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1DC3FF-D727-439C-9139-DD1BC816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010014"/>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010014"/>
    <w:pPr>
      <w:ind w:left="708"/>
    </w:pPr>
    <w:rPr>
      <w:lang w:val="es-CO"/>
    </w:rPr>
  </w:style>
  <w:style w:type="paragraph" w:styleId="NormalWeb">
    <w:name w:val="Normal (Web)"/>
    <w:basedOn w:val="Normal"/>
    <w:rsid w:val="00010014"/>
    <w:pPr>
      <w:suppressAutoHyphens/>
      <w:spacing w:before="280" w:after="280"/>
    </w:pPr>
    <w:rPr>
      <w:lang w:val="es-CO" w:eastAsia="ar-SA"/>
    </w:rPr>
  </w:style>
  <w:style w:type="paragraph" w:styleId="Textoindependiente">
    <w:name w:val="Body Text"/>
    <w:basedOn w:val="Normal"/>
    <w:link w:val="TextoindependienteCar"/>
    <w:rsid w:val="00010014"/>
    <w:pPr>
      <w:jc w:val="both"/>
    </w:pPr>
    <w:rPr>
      <w:sz w:val="20"/>
      <w:szCs w:val="20"/>
      <w:lang w:val="es-ES_tradnl"/>
    </w:rPr>
  </w:style>
  <w:style w:type="character" w:customStyle="1" w:styleId="TextoindependienteCar">
    <w:name w:val="Texto independiente Car"/>
    <w:link w:val="Textoindependiente"/>
    <w:rsid w:val="00010014"/>
    <w:rPr>
      <w:lang w:val="es-ES_tradnl" w:eastAsia="es-ES"/>
    </w:rPr>
  </w:style>
  <w:style w:type="character" w:customStyle="1" w:styleId="st1">
    <w:name w:val="st1"/>
    <w:rsid w:val="00010014"/>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350575535">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2199</Words>
  <Characters>12097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14268</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2019-07-08T20:43:00Z</dcterms:created>
  <dcterms:modified xsi:type="dcterms:W3CDTF">2019-07-08T20:43:00Z</dcterms:modified>
</cp:coreProperties>
</file>