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A03" w:rsidRPr="00EA2D4A" w:rsidRDefault="00A10A42" w:rsidP="00243A03">
      <w:pPr>
        <w:pStyle w:val="Ttulo1"/>
        <w:keepNext w:val="0"/>
        <w:widowControl w:val="0"/>
        <w:jc w:val="center"/>
        <w:rPr>
          <w:rFonts w:ascii="Tahoma" w:eastAsia="Arial Unicode MS" w:hAnsi="Tahoma" w:cs="Tahoma"/>
          <w:b/>
          <w:bCs/>
          <w:lang w:val="es-ES"/>
        </w:rPr>
      </w:pPr>
      <w:bookmarkStart w:id="0" w:name="_GoBack"/>
      <w:bookmarkEnd w:id="0"/>
      <w:r w:rsidRPr="00EA2D4A">
        <w:rPr>
          <w:rFonts w:ascii="Tahoma" w:eastAsia="Arial Unicode MS" w:hAnsi="Tahoma" w:cs="Tahoma"/>
          <w:b/>
          <w:bCs/>
          <w:noProof/>
          <w:lang w:val="es-CO"/>
        </w:rPr>
        <w:drawing>
          <wp:anchor distT="0" distB="0" distL="114300" distR="114300" simplePos="0" relativeHeight="251657728" behindDoc="0" locked="0" layoutInCell="1" allowOverlap="1">
            <wp:simplePos x="0" y="0"/>
            <wp:positionH relativeFrom="margin">
              <wp:posOffset>2237105</wp:posOffset>
            </wp:positionH>
            <wp:positionV relativeFrom="paragraph">
              <wp:posOffset>74930</wp:posOffset>
            </wp:positionV>
            <wp:extent cx="960120" cy="88265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0120"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A03" w:rsidRPr="00EA2D4A" w:rsidRDefault="00243A03" w:rsidP="00243A03">
      <w:pPr>
        <w:pStyle w:val="Ttulo1"/>
        <w:keepNext w:val="0"/>
        <w:widowControl w:val="0"/>
        <w:jc w:val="center"/>
        <w:rPr>
          <w:rFonts w:ascii="Tahoma" w:eastAsia="Arial Unicode MS" w:hAnsi="Tahoma" w:cs="Tahoma"/>
          <w:b/>
          <w:bCs/>
          <w:lang w:val="es-ES"/>
        </w:rPr>
      </w:pPr>
    </w:p>
    <w:p w:rsidR="00243A03" w:rsidRPr="00EA2D4A" w:rsidRDefault="00243A03" w:rsidP="00243A03">
      <w:pPr>
        <w:pStyle w:val="Ttulo1"/>
        <w:keepNext w:val="0"/>
        <w:widowControl w:val="0"/>
        <w:jc w:val="center"/>
        <w:rPr>
          <w:rFonts w:ascii="Tahoma" w:eastAsia="Arial Unicode MS" w:hAnsi="Tahoma" w:cs="Tahoma"/>
          <w:b/>
          <w:bCs/>
          <w:lang w:val="es-ES"/>
        </w:rPr>
      </w:pPr>
    </w:p>
    <w:p w:rsidR="00243A03" w:rsidRPr="00EA2D4A" w:rsidRDefault="00243A03" w:rsidP="00243A03">
      <w:pPr>
        <w:spacing w:line="360" w:lineRule="auto"/>
        <w:jc w:val="center"/>
        <w:rPr>
          <w:rFonts w:ascii="Tahoma" w:eastAsia="Arial Unicode MS" w:hAnsi="Tahoma" w:cs="Tahoma"/>
          <w:b/>
          <w:bCs/>
          <w:sz w:val="24"/>
          <w:szCs w:val="24"/>
        </w:rPr>
      </w:pPr>
    </w:p>
    <w:p w:rsidR="00243A03" w:rsidRPr="00EA2D4A" w:rsidRDefault="00243A03" w:rsidP="00243A03">
      <w:pPr>
        <w:spacing w:line="360" w:lineRule="auto"/>
        <w:jc w:val="center"/>
        <w:rPr>
          <w:rFonts w:ascii="Tahoma" w:eastAsia="Arial Unicode MS" w:hAnsi="Tahoma" w:cs="Tahoma"/>
          <w:b/>
          <w:bCs/>
          <w:sz w:val="24"/>
          <w:szCs w:val="24"/>
        </w:rPr>
      </w:pPr>
      <w:r w:rsidRPr="00EA2D4A">
        <w:rPr>
          <w:rFonts w:ascii="Tahoma" w:eastAsia="Arial Unicode MS" w:hAnsi="Tahoma" w:cs="Tahoma"/>
          <w:b/>
          <w:bCs/>
          <w:sz w:val="24"/>
          <w:szCs w:val="24"/>
        </w:rPr>
        <w:t>SALA DE LO CONTENCIOSO ADMINISTRATIVO</w:t>
      </w:r>
    </w:p>
    <w:p w:rsidR="00243A03" w:rsidRPr="00EA2D4A" w:rsidRDefault="00243A03" w:rsidP="00243A03">
      <w:pPr>
        <w:pStyle w:val="Ttulo2"/>
        <w:keepNext w:val="0"/>
        <w:widowControl w:val="0"/>
        <w:rPr>
          <w:rFonts w:ascii="Tahoma" w:eastAsia="Arial Unicode MS" w:hAnsi="Tahoma" w:cs="Tahoma"/>
        </w:rPr>
      </w:pPr>
      <w:r w:rsidRPr="00EA2D4A">
        <w:rPr>
          <w:rFonts w:ascii="Tahoma" w:eastAsia="Arial Unicode MS" w:hAnsi="Tahoma" w:cs="Tahoma"/>
        </w:rPr>
        <w:t>SECCIÓN QUINTA</w:t>
      </w:r>
    </w:p>
    <w:p w:rsidR="00243A03" w:rsidRPr="00EA2D4A" w:rsidRDefault="00243A03" w:rsidP="00243A03">
      <w:pPr>
        <w:pStyle w:val="Ttulo2"/>
        <w:keepNext w:val="0"/>
        <w:widowControl w:val="0"/>
        <w:rPr>
          <w:rFonts w:ascii="Tahoma" w:eastAsia="Arial Unicode MS" w:hAnsi="Tahoma" w:cs="Tahoma"/>
          <w:lang w:val="es-MX"/>
        </w:rPr>
      </w:pPr>
    </w:p>
    <w:p w:rsidR="00243A03" w:rsidRPr="00EA2D4A" w:rsidRDefault="00243A03" w:rsidP="00243A03">
      <w:pPr>
        <w:pStyle w:val="Ttulo2"/>
        <w:keepNext w:val="0"/>
        <w:widowControl w:val="0"/>
        <w:rPr>
          <w:rFonts w:ascii="Tahoma" w:eastAsia="Arial Unicode MS" w:hAnsi="Tahoma" w:cs="Tahoma"/>
          <w:lang w:val="es-CO"/>
        </w:rPr>
      </w:pPr>
      <w:r w:rsidRPr="00EA2D4A">
        <w:rPr>
          <w:rFonts w:ascii="Tahoma" w:eastAsia="Arial Unicode MS" w:hAnsi="Tahoma" w:cs="Tahoma"/>
        </w:rPr>
        <w:t>Consejer</w:t>
      </w:r>
      <w:r w:rsidRPr="00EA2D4A">
        <w:rPr>
          <w:rFonts w:ascii="Tahoma" w:eastAsia="Arial Unicode MS" w:hAnsi="Tahoma" w:cs="Tahoma"/>
          <w:lang w:val="es-CO"/>
        </w:rPr>
        <w:t>a</w:t>
      </w:r>
      <w:r w:rsidRPr="00EA2D4A">
        <w:rPr>
          <w:rFonts w:ascii="Tahoma" w:eastAsia="Arial Unicode MS" w:hAnsi="Tahoma" w:cs="Tahoma"/>
        </w:rPr>
        <w:t xml:space="preserve"> Ponente: </w:t>
      </w:r>
      <w:r w:rsidRPr="00EA2D4A">
        <w:rPr>
          <w:rFonts w:ascii="Tahoma" w:eastAsia="Arial Unicode MS" w:hAnsi="Tahoma" w:cs="Tahoma"/>
          <w:lang w:val="es-CO"/>
        </w:rPr>
        <w:t>ROCÍO ARAÚJO OÑATE</w:t>
      </w:r>
    </w:p>
    <w:p w:rsidR="00243A03" w:rsidRPr="00EA2D4A" w:rsidRDefault="00243A03" w:rsidP="00243A03">
      <w:pPr>
        <w:contextualSpacing/>
        <w:rPr>
          <w:rFonts w:ascii="Arial" w:hAnsi="Arial" w:cs="Arial"/>
          <w:sz w:val="24"/>
          <w:szCs w:val="24"/>
        </w:rPr>
      </w:pPr>
    </w:p>
    <w:p w:rsidR="00243A03" w:rsidRPr="00EA2D4A" w:rsidRDefault="00243A03" w:rsidP="00243A03">
      <w:pPr>
        <w:spacing w:line="360" w:lineRule="auto"/>
        <w:contextualSpacing/>
        <w:rPr>
          <w:rFonts w:ascii="Tahoma" w:hAnsi="Tahoma" w:cs="Tahoma"/>
          <w:sz w:val="24"/>
          <w:szCs w:val="24"/>
        </w:rPr>
      </w:pPr>
      <w:r w:rsidRPr="00EA2D4A">
        <w:rPr>
          <w:rFonts w:ascii="Tahoma" w:hAnsi="Tahoma" w:cs="Tahoma"/>
          <w:sz w:val="24"/>
          <w:szCs w:val="24"/>
        </w:rPr>
        <w:t>Bogotá, D.C., diecinueve (19) de agosto de dos mil dieciséis (2016)</w:t>
      </w:r>
    </w:p>
    <w:p w:rsidR="00243A03" w:rsidRPr="00EA2D4A" w:rsidRDefault="00243A03" w:rsidP="00243A03">
      <w:pPr>
        <w:spacing w:line="360" w:lineRule="auto"/>
        <w:ind w:left="708"/>
        <w:jc w:val="both"/>
        <w:rPr>
          <w:rFonts w:ascii="Tahoma" w:hAnsi="Tahoma" w:cs="Tahoma"/>
          <w:b/>
          <w:bCs/>
          <w:sz w:val="24"/>
          <w:szCs w:val="24"/>
        </w:rPr>
      </w:pPr>
    </w:p>
    <w:p w:rsidR="00243A03" w:rsidRPr="00752422" w:rsidRDefault="00243A03" w:rsidP="00243A03">
      <w:pPr>
        <w:tabs>
          <w:tab w:val="left" w:pos="2835"/>
        </w:tabs>
        <w:spacing w:line="360" w:lineRule="auto"/>
        <w:ind w:left="708"/>
        <w:jc w:val="both"/>
        <w:rPr>
          <w:rFonts w:ascii="Tahoma" w:hAnsi="Tahoma" w:cs="Tahoma"/>
          <w:sz w:val="24"/>
          <w:szCs w:val="24"/>
        </w:rPr>
      </w:pPr>
      <w:r w:rsidRPr="00752422">
        <w:rPr>
          <w:rFonts w:ascii="Tahoma" w:hAnsi="Tahoma" w:cs="Tahoma"/>
          <w:b/>
          <w:bCs/>
          <w:sz w:val="24"/>
          <w:szCs w:val="24"/>
        </w:rPr>
        <w:t xml:space="preserve">Radicación número: </w:t>
      </w:r>
      <w:r w:rsidRPr="00752422">
        <w:rPr>
          <w:rFonts w:ascii="Tahoma" w:hAnsi="Tahoma" w:cs="Tahoma"/>
          <w:b/>
          <w:bCs/>
          <w:sz w:val="24"/>
          <w:szCs w:val="24"/>
        </w:rPr>
        <w:tab/>
      </w:r>
      <w:r>
        <w:rPr>
          <w:rFonts w:ascii="Tahoma" w:hAnsi="Tahoma" w:cs="Tahoma"/>
          <w:bCs/>
          <w:color w:val="000000"/>
          <w:sz w:val="24"/>
          <w:szCs w:val="24"/>
        </w:rPr>
        <w:t>73</w:t>
      </w:r>
      <w:r w:rsidRPr="00752422">
        <w:rPr>
          <w:rFonts w:ascii="Tahoma" w:hAnsi="Tahoma" w:cs="Tahoma"/>
          <w:bCs/>
          <w:color w:val="000000"/>
          <w:sz w:val="24"/>
          <w:szCs w:val="24"/>
        </w:rPr>
        <w:t>001-23-33-000-</w:t>
      </w:r>
      <w:r w:rsidRPr="00752422">
        <w:rPr>
          <w:rFonts w:ascii="Tahoma" w:hAnsi="Tahoma" w:cs="Tahoma"/>
          <w:b/>
          <w:bCs/>
          <w:color w:val="000000"/>
          <w:sz w:val="24"/>
          <w:szCs w:val="24"/>
        </w:rPr>
        <w:t>2016-0</w:t>
      </w:r>
      <w:r>
        <w:rPr>
          <w:rFonts w:ascii="Tahoma" w:hAnsi="Tahoma" w:cs="Tahoma"/>
          <w:b/>
          <w:bCs/>
          <w:color w:val="000000"/>
          <w:sz w:val="24"/>
          <w:szCs w:val="24"/>
        </w:rPr>
        <w:t>0475</w:t>
      </w:r>
      <w:r w:rsidRPr="00752422">
        <w:rPr>
          <w:rFonts w:ascii="Tahoma" w:hAnsi="Tahoma" w:cs="Tahoma"/>
          <w:bCs/>
          <w:color w:val="000000"/>
          <w:sz w:val="24"/>
          <w:szCs w:val="24"/>
        </w:rPr>
        <w:t>-01</w:t>
      </w:r>
    </w:p>
    <w:p w:rsidR="00243A03" w:rsidRPr="00752422" w:rsidRDefault="00243A03" w:rsidP="00243A03">
      <w:pPr>
        <w:spacing w:line="360" w:lineRule="auto"/>
        <w:ind w:left="3540" w:hanging="2832"/>
        <w:jc w:val="both"/>
        <w:rPr>
          <w:rFonts w:ascii="Tahoma" w:hAnsi="Tahoma" w:cs="Tahoma"/>
          <w:bCs/>
          <w:sz w:val="24"/>
          <w:szCs w:val="24"/>
        </w:rPr>
      </w:pPr>
      <w:r w:rsidRPr="00752422">
        <w:rPr>
          <w:rFonts w:ascii="Tahoma" w:hAnsi="Tahoma" w:cs="Tahoma"/>
          <w:b/>
          <w:bCs/>
          <w:sz w:val="24"/>
          <w:szCs w:val="24"/>
        </w:rPr>
        <w:t>Accionante:</w:t>
      </w:r>
      <w:r w:rsidRPr="00752422">
        <w:rPr>
          <w:rFonts w:ascii="Tahoma" w:hAnsi="Tahoma" w:cs="Tahoma"/>
          <w:bCs/>
          <w:sz w:val="24"/>
          <w:szCs w:val="24"/>
        </w:rPr>
        <w:t xml:space="preserve"> </w:t>
      </w:r>
      <w:r w:rsidRPr="00752422">
        <w:rPr>
          <w:rFonts w:ascii="Tahoma" w:hAnsi="Tahoma" w:cs="Tahoma"/>
          <w:bCs/>
          <w:sz w:val="24"/>
          <w:szCs w:val="24"/>
        </w:rPr>
        <w:tab/>
      </w:r>
      <w:r>
        <w:rPr>
          <w:rFonts w:ascii="Tahoma" w:hAnsi="Tahoma" w:cs="Tahoma"/>
          <w:bCs/>
          <w:sz w:val="24"/>
          <w:szCs w:val="24"/>
        </w:rPr>
        <w:t>Aldinever Laguna Parra</w:t>
      </w:r>
    </w:p>
    <w:p w:rsidR="00243A03" w:rsidRPr="00752422" w:rsidRDefault="00243A03" w:rsidP="00243A03">
      <w:pPr>
        <w:spacing w:line="360" w:lineRule="auto"/>
        <w:ind w:left="3540" w:hanging="2832"/>
        <w:jc w:val="both"/>
        <w:rPr>
          <w:rFonts w:ascii="Tahoma" w:hAnsi="Tahoma" w:cs="Tahoma"/>
          <w:bCs/>
          <w:sz w:val="24"/>
          <w:szCs w:val="24"/>
        </w:rPr>
      </w:pPr>
      <w:r w:rsidRPr="00752422">
        <w:rPr>
          <w:rFonts w:ascii="Tahoma" w:hAnsi="Tahoma" w:cs="Tahoma"/>
          <w:b/>
          <w:bCs/>
          <w:sz w:val="24"/>
          <w:szCs w:val="24"/>
        </w:rPr>
        <w:t xml:space="preserve">Accionados: </w:t>
      </w:r>
      <w:r w:rsidRPr="00752422">
        <w:rPr>
          <w:rFonts w:ascii="Tahoma" w:hAnsi="Tahoma" w:cs="Tahoma"/>
          <w:b/>
          <w:bCs/>
          <w:sz w:val="24"/>
          <w:szCs w:val="24"/>
        </w:rPr>
        <w:tab/>
      </w:r>
      <w:r>
        <w:rPr>
          <w:rFonts w:ascii="Tahoma" w:hAnsi="Tahoma" w:cs="Tahoma"/>
          <w:bCs/>
          <w:sz w:val="24"/>
          <w:szCs w:val="24"/>
        </w:rPr>
        <w:t>Consejo Superior de la Judicatura – Sala Administrativa – Unidad de Administración de Carrera Judicial</w:t>
      </w:r>
    </w:p>
    <w:p w:rsidR="00243A03" w:rsidRPr="00752422" w:rsidRDefault="00243A03" w:rsidP="00243A03">
      <w:pPr>
        <w:spacing w:line="360" w:lineRule="auto"/>
        <w:ind w:left="3540" w:hanging="2832"/>
        <w:jc w:val="both"/>
        <w:rPr>
          <w:rFonts w:ascii="Tahoma" w:hAnsi="Tahoma" w:cs="Tahoma"/>
          <w:bCs/>
          <w:sz w:val="24"/>
          <w:szCs w:val="24"/>
        </w:rPr>
      </w:pPr>
      <w:r w:rsidRPr="00752422">
        <w:rPr>
          <w:rFonts w:ascii="Tahoma" w:hAnsi="Tahoma" w:cs="Tahoma"/>
          <w:b/>
          <w:bCs/>
          <w:sz w:val="24"/>
          <w:szCs w:val="24"/>
        </w:rPr>
        <w:t>Naturaleza:</w:t>
      </w:r>
      <w:r w:rsidRPr="00752422">
        <w:rPr>
          <w:rFonts w:ascii="Tahoma" w:hAnsi="Tahoma" w:cs="Tahoma"/>
          <w:bCs/>
          <w:sz w:val="24"/>
          <w:szCs w:val="24"/>
        </w:rPr>
        <w:t xml:space="preserve"> </w:t>
      </w:r>
      <w:r w:rsidRPr="00752422">
        <w:rPr>
          <w:rFonts w:ascii="Tahoma" w:hAnsi="Tahoma" w:cs="Tahoma"/>
          <w:bCs/>
          <w:sz w:val="24"/>
          <w:szCs w:val="24"/>
        </w:rPr>
        <w:tab/>
        <w:t xml:space="preserve">Acción de tutela </w:t>
      </w:r>
    </w:p>
    <w:p w:rsidR="00243A03" w:rsidRPr="00EA2D4A" w:rsidRDefault="00243A03" w:rsidP="00243A03">
      <w:pPr>
        <w:spacing w:line="360" w:lineRule="auto"/>
        <w:contextualSpacing/>
        <w:rPr>
          <w:rFonts w:ascii="Tahoma" w:hAnsi="Tahoma" w:cs="Tahoma"/>
          <w:sz w:val="24"/>
          <w:szCs w:val="24"/>
        </w:rPr>
      </w:pPr>
    </w:p>
    <w:p w:rsidR="00243A03" w:rsidRPr="00EA2D4A" w:rsidRDefault="00243A03" w:rsidP="00243A03">
      <w:pPr>
        <w:pStyle w:val="Sinespaciado"/>
        <w:spacing w:line="360" w:lineRule="auto"/>
        <w:rPr>
          <w:rFonts w:ascii="Tahoma" w:hAnsi="Tahoma" w:cs="Tahoma"/>
          <w:i/>
          <w:sz w:val="24"/>
          <w:szCs w:val="24"/>
        </w:rPr>
      </w:pPr>
      <w:r w:rsidRPr="00EA2D4A">
        <w:rPr>
          <w:rFonts w:ascii="Tahoma" w:hAnsi="Tahoma" w:cs="Tahoma"/>
          <w:i/>
          <w:sz w:val="24"/>
          <w:szCs w:val="24"/>
        </w:rPr>
        <w:t>Acción de tutela – Auto que pone en conocimiento nulidad saneable</w:t>
      </w:r>
    </w:p>
    <w:p w:rsidR="00243A03" w:rsidRPr="0048110D" w:rsidRDefault="00243A03" w:rsidP="00243A03">
      <w:pPr>
        <w:spacing w:line="360" w:lineRule="auto"/>
        <w:contextualSpacing/>
        <w:rPr>
          <w:rFonts w:ascii="Tahoma" w:hAnsi="Tahoma" w:cs="Tahoma"/>
          <w:b/>
          <w:sz w:val="23"/>
          <w:szCs w:val="23"/>
        </w:rPr>
      </w:pPr>
    </w:p>
    <w:p w:rsidR="00243A03" w:rsidRPr="00752422" w:rsidRDefault="00243A03" w:rsidP="00243A03">
      <w:pPr>
        <w:spacing w:line="360" w:lineRule="auto"/>
        <w:jc w:val="both"/>
        <w:rPr>
          <w:rFonts w:ascii="Tahoma" w:hAnsi="Tahoma" w:cs="Tahoma"/>
          <w:sz w:val="24"/>
          <w:szCs w:val="24"/>
          <w:lang w:val="es-ES_tradnl"/>
        </w:rPr>
      </w:pPr>
      <w:r>
        <w:rPr>
          <w:rFonts w:ascii="Tahoma" w:hAnsi="Tahoma" w:cs="Tahoma"/>
          <w:sz w:val="24"/>
          <w:szCs w:val="24"/>
          <w:lang w:val="es-ES_tradnl"/>
        </w:rPr>
        <w:t>Mediante escrito radicado el 21</w:t>
      </w:r>
      <w:r w:rsidRPr="00752422">
        <w:rPr>
          <w:rFonts w:ascii="Tahoma" w:hAnsi="Tahoma" w:cs="Tahoma"/>
          <w:sz w:val="24"/>
          <w:szCs w:val="24"/>
          <w:lang w:val="es-ES_tradnl"/>
        </w:rPr>
        <w:t xml:space="preserve"> de </w:t>
      </w:r>
      <w:r>
        <w:rPr>
          <w:rFonts w:ascii="Tahoma" w:hAnsi="Tahoma" w:cs="Tahoma"/>
          <w:sz w:val="24"/>
          <w:szCs w:val="24"/>
          <w:lang w:val="es-ES_tradnl"/>
        </w:rPr>
        <w:t>julio</w:t>
      </w:r>
      <w:r w:rsidRPr="00752422">
        <w:rPr>
          <w:rFonts w:ascii="Tahoma" w:hAnsi="Tahoma" w:cs="Tahoma"/>
          <w:sz w:val="24"/>
          <w:szCs w:val="24"/>
          <w:lang w:val="es-ES_tradnl"/>
        </w:rPr>
        <w:t xml:space="preserve"> de 2016</w:t>
      </w:r>
      <w:r>
        <w:rPr>
          <w:rStyle w:val="Refdenotaalpie"/>
          <w:rFonts w:ascii="Tahoma" w:hAnsi="Tahoma"/>
          <w:sz w:val="24"/>
          <w:szCs w:val="24"/>
          <w:lang w:val="es-ES_tradnl"/>
        </w:rPr>
        <w:footnoteReference w:id="1"/>
      </w:r>
      <w:r>
        <w:rPr>
          <w:rFonts w:ascii="Tahoma" w:hAnsi="Tahoma" w:cs="Tahoma"/>
          <w:sz w:val="24"/>
          <w:szCs w:val="24"/>
          <w:lang w:val="es-ES_tradnl"/>
        </w:rPr>
        <w:t>, conforme al “acta individual de reparto” del Tribunal Administrativo del Tolima, el señor Aldinever Laguna Parra</w:t>
      </w:r>
      <w:r w:rsidRPr="00752422">
        <w:rPr>
          <w:rFonts w:ascii="Tahoma" w:hAnsi="Tahoma" w:cs="Tahoma"/>
          <w:sz w:val="24"/>
          <w:szCs w:val="24"/>
          <w:lang w:val="es-ES_tradnl"/>
        </w:rPr>
        <w:t xml:space="preserve">, </w:t>
      </w:r>
      <w:r>
        <w:rPr>
          <w:rFonts w:ascii="Tahoma" w:hAnsi="Tahoma" w:cs="Tahoma"/>
          <w:sz w:val="24"/>
          <w:szCs w:val="24"/>
          <w:lang w:val="es-ES_tradnl"/>
        </w:rPr>
        <w:t>quien actúa en nombre propio</w:t>
      </w:r>
      <w:r w:rsidRPr="00752422">
        <w:rPr>
          <w:rFonts w:ascii="Tahoma" w:hAnsi="Tahoma" w:cs="Tahoma"/>
          <w:sz w:val="24"/>
          <w:szCs w:val="24"/>
          <w:lang w:val="es-ES_tradnl"/>
        </w:rPr>
        <w:t xml:space="preserve">, </w:t>
      </w:r>
      <w:r>
        <w:rPr>
          <w:rFonts w:ascii="Tahoma" w:hAnsi="Tahoma" w:cs="Tahoma"/>
          <w:sz w:val="24"/>
          <w:szCs w:val="24"/>
          <w:lang w:val="es-ES_tradnl"/>
        </w:rPr>
        <w:t xml:space="preserve">ejerció </w:t>
      </w:r>
      <w:r w:rsidRPr="00752422">
        <w:rPr>
          <w:rFonts w:ascii="Tahoma" w:hAnsi="Tahoma" w:cs="Tahoma"/>
          <w:sz w:val="24"/>
          <w:szCs w:val="24"/>
          <w:lang w:val="es-ES_tradnl"/>
        </w:rPr>
        <w:t>acción de tutela contra</w:t>
      </w:r>
      <w:r w:rsidRPr="00752422">
        <w:rPr>
          <w:rFonts w:ascii="Tahoma" w:hAnsi="Tahoma" w:cs="Tahoma"/>
          <w:bCs/>
          <w:sz w:val="24"/>
          <w:szCs w:val="24"/>
          <w:lang w:val="es-ES_tradnl"/>
        </w:rPr>
        <w:t xml:space="preserve"> </w:t>
      </w:r>
      <w:r>
        <w:rPr>
          <w:rFonts w:ascii="Tahoma" w:hAnsi="Tahoma" w:cs="Tahoma"/>
          <w:bCs/>
          <w:sz w:val="24"/>
          <w:szCs w:val="24"/>
          <w:lang w:val="es-ES_tradnl"/>
        </w:rPr>
        <w:t>el Consejo Superior de la Judicatura – Sala Administrativa – Unidad de Administración de Carrera Judicial</w:t>
      </w:r>
      <w:r w:rsidRPr="00752422">
        <w:rPr>
          <w:rFonts w:ascii="Tahoma" w:hAnsi="Tahoma" w:cs="Tahoma"/>
          <w:bCs/>
          <w:sz w:val="24"/>
          <w:szCs w:val="24"/>
        </w:rPr>
        <w:t xml:space="preserve">, </w:t>
      </w:r>
      <w:r w:rsidRPr="00752422">
        <w:rPr>
          <w:rFonts w:ascii="Tahoma" w:hAnsi="Tahoma" w:cs="Tahoma"/>
          <w:sz w:val="24"/>
          <w:szCs w:val="24"/>
          <w:lang w:val="es-ES_tradnl"/>
        </w:rPr>
        <w:t>con el</w:t>
      </w:r>
      <w:r>
        <w:rPr>
          <w:rFonts w:ascii="Tahoma" w:hAnsi="Tahoma" w:cs="Tahoma"/>
          <w:sz w:val="24"/>
          <w:szCs w:val="24"/>
          <w:lang w:val="es-ES_tradnl"/>
        </w:rPr>
        <w:t xml:space="preserve"> fin de obtener el amparo de sus derechos</w:t>
      </w:r>
      <w:r w:rsidRPr="00752422">
        <w:rPr>
          <w:rFonts w:ascii="Tahoma" w:hAnsi="Tahoma" w:cs="Tahoma"/>
          <w:sz w:val="24"/>
          <w:szCs w:val="24"/>
          <w:lang w:val="es-ES_tradnl"/>
        </w:rPr>
        <w:t xml:space="preserve"> fundamenta</w:t>
      </w:r>
      <w:r>
        <w:rPr>
          <w:rFonts w:ascii="Tahoma" w:hAnsi="Tahoma" w:cs="Tahoma"/>
          <w:sz w:val="24"/>
          <w:szCs w:val="24"/>
          <w:lang w:val="es-ES_tradnl"/>
        </w:rPr>
        <w:t xml:space="preserve">les al debido proceso y </w:t>
      </w:r>
      <w:r w:rsidRPr="009C75C5">
        <w:rPr>
          <w:rFonts w:ascii="Tahoma" w:hAnsi="Tahoma" w:cs="Tahoma"/>
          <w:i/>
          <w:sz w:val="20"/>
          <w:szCs w:val="20"/>
          <w:lang w:val="es-ES_tradnl"/>
        </w:rPr>
        <w:t>“a ocupar y acceder a cargos públicos”</w:t>
      </w:r>
      <w:r w:rsidRPr="009C75C5">
        <w:rPr>
          <w:rStyle w:val="Refdenotaalpie"/>
          <w:rFonts w:ascii="Tahoma" w:hAnsi="Tahoma"/>
          <w:i/>
          <w:sz w:val="20"/>
          <w:szCs w:val="20"/>
          <w:lang w:val="es-ES_tradnl"/>
        </w:rPr>
        <w:footnoteReference w:id="2"/>
      </w:r>
      <w:r w:rsidRPr="009C75C5">
        <w:rPr>
          <w:rFonts w:ascii="Tahoma" w:hAnsi="Tahoma" w:cs="Tahoma"/>
          <w:i/>
          <w:sz w:val="20"/>
          <w:szCs w:val="20"/>
          <w:lang w:val="es-ES_tradnl"/>
        </w:rPr>
        <w:t>.</w:t>
      </w:r>
    </w:p>
    <w:p w:rsidR="00243A03" w:rsidRDefault="00243A03" w:rsidP="00243A03">
      <w:pPr>
        <w:autoSpaceDE w:val="0"/>
        <w:autoSpaceDN w:val="0"/>
        <w:adjustRightInd w:val="0"/>
        <w:spacing w:line="360" w:lineRule="auto"/>
        <w:jc w:val="both"/>
        <w:rPr>
          <w:rFonts w:ascii="Tahoma" w:hAnsi="Tahoma" w:cs="Tahoma"/>
          <w:sz w:val="24"/>
          <w:szCs w:val="24"/>
          <w:lang w:val="es-ES_tradnl"/>
        </w:rPr>
      </w:pPr>
    </w:p>
    <w:p w:rsidR="00243A03" w:rsidRDefault="00243A03" w:rsidP="00243A03">
      <w:pPr>
        <w:autoSpaceDE w:val="0"/>
        <w:autoSpaceDN w:val="0"/>
        <w:adjustRightInd w:val="0"/>
        <w:spacing w:line="360" w:lineRule="auto"/>
        <w:jc w:val="both"/>
        <w:rPr>
          <w:rFonts w:ascii="Tahoma" w:hAnsi="Tahoma" w:cs="Tahoma"/>
          <w:sz w:val="24"/>
          <w:szCs w:val="24"/>
          <w:lang w:val="es-ES_tradnl"/>
        </w:rPr>
      </w:pPr>
      <w:r w:rsidRPr="00752422">
        <w:rPr>
          <w:rFonts w:ascii="Tahoma" w:hAnsi="Tahoma" w:cs="Tahoma"/>
          <w:sz w:val="24"/>
          <w:szCs w:val="24"/>
          <w:lang w:val="es-ES_tradnl"/>
        </w:rPr>
        <w:t>Tales derechos lo</w:t>
      </w:r>
      <w:r>
        <w:rPr>
          <w:rFonts w:ascii="Tahoma" w:hAnsi="Tahoma" w:cs="Tahoma"/>
          <w:sz w:val="24"/>
          <w:szCs w:val="24"/>
          <w:lang w:val="es-ES_tradnl"/>
        </w:rPr>
        <w:t xml:space="preserve">s consideró vulnerados con ocasión </w:t>
      </w:r>
      <w:r w:rsidRPr="007049A3">
        <w:rPr>
          <w:rFonts w:ascii="Tahoma" w:hAnsi="Tahoma" w:cs="Tahoma"/>
          <w:i/>
          <w:sz w:val="20"/>
          <w:szCs w:val="20"/>
          <w:lang w:val="es-ES_tradnl"/>
        </w:rPr>
        <w:t xml:space="preserve">“…a la demora en la resolución de los recursos de apelación impetrados, en aras de obtener la definición de la (sic) alzadas. Es decir, la causa de veneración de </w:t>
      </w:r>
      <w:r w:rsidRPr="000877AE">
        <w:rPr>
          <w:rFonts w:ascii="Tahoma" w:hAnsi="Tahoma" w:cs="Tahoma"/>
          <w:i/>
          <w:sz w:val="20"/>
          <w:szCs w:val="20"/>
          <w:lang w:val="es-ES_tradnl"/>
        </w:rPr>
        <w:t>mis derechos fundamentales, es la prolongación en el tiempo de la firmeza del registro de elegibles, encontrándome carente de cualquier medio administrativo y judicial para la salvaguarda de mis prerrogativas constitucionales, constituyéndose la presente como necesaria para el surtimiento de la siguiente etapa del concurso”</w:t>
      </w:r>
      <w:r w:rsidRPr="000877AE">
        <w:rPr>
          <w:rFonts w:ascii="Tahoma" w:hAnsi="Tahoma" w:cs="Tahoma"/>
          <w:sz w:val="24"/>
          <w:szCs w:val="24"/>
          <w:lang w:val="es-ES_tradnl"/>
        </w:rPr>
        <w:t>.</w:t>
      </w:r>
    </w:p>
    <w:p w:rsidR="00243A03" w:rsidRDefault="00243A03" w:rsidP="00243A03">
      <w:pPr>
        <w:autoSpaceDE w:val="0"/>
        <w:autoSpaceDN w:val="0"/>
        <w:adjustRightInd w:val="0"/>
        <w:spacing w:line="360" w:lineRule="auto"/>
        <w:jc w:val="both"/>
        <w:rPr>
          <w:rFonts w:ascii="Tahoma" w:hAnsi="Tahoma" w:cs="Tahoma"/>
          <w:sz w:val="24"/>
          <w:szCs w:val="24"/>
          <w:lang w:val="es-ES_tradnl"/>
        </w:rPr>
      </w:pPr>
    </w:p>
    <w:p w:rsidR="00243A03" w:rsidRDefault="00243A03" w:rsidP="00243A03">
      <w:pPr>
        <w:autoSpaceDE w:val="0"/>
        <w:autoSpaceDN w:val="0"/>
        <w:adjustRightInd w:val="0"/>
        <w:spacing w:line="360" w:lineRule="auto"/>
        <w:jc w:val="both"/>
        <w:rPr>
          <w:rFonts w:ascii="Tahoma" w:hAnsi="Tahoma" w:cs="Tahoma"/>
          <w:sz w:val="24"/>
          <w:szCs w:val="24"/>
          <w:lang w:val="es-ES_tradnl"/>
        </w:rPr>
      </w:pPr>
      <w:r>
        <w:rPr>
          <w:rFonts w:ascii="Tahoma" w:hAnsi="Tahoma" w:cs="Tahoma"/>
          <w:sz w:val="24"/>
          <w:szCs w:val="24"/>
          <w:lang w:val="es-ES_tradnl"/>
        </w:rPr>
        <w:lastRenderedPageBreak/>
        <w:t>Lo anterior por cuanto afirmó que la dilación de la entidad accionada para resolver todos los recursos de apelación interpuestos contra la Resolución No. PSATR15-00264 del 11 de noviembre de 2015, implica la paralización del concurso de méritos e impide que el Consejo Seccional de la Judicatura del Tolima – Sala Administrativa proceda a dar cumplimiento a las etapas subsiguientes del proceso de selección convocado mediante el Acuerdo PSATA13-071 del 28 de noviembre de 2013.</w:t>
      </w:r>
    </w:p>
    <w:p w:rsidR="00243A03" w:rsidRDefault="00243A03" w:rsidP="00243A03">
      <w:pPr>
        <w:autoSpaceDE w:val="0"/>
        <w:autoSpaceDN w:val="0"/>
        <w:adjustRightInd w:val="0"/>
        <w:spacing w:line="360" w:lineRule="auto"/>
        <w:jc w:val="both"/>
        <w:rPr>
          <w:rFonts w:ascii="Tahoma" w:hAnsi="Tahoma" w:cs="Tahoma"/>
          <w:sz w:val="24"/>
          <w:szCs w:val="24"/>
          <w:lang w:val="es-ES_tradnl"/>
        </w:rPr>
      </w:pPr>
    </w:p>
    <w:p w:rsidR="00243A03" w:rsidRDefault="00243A03" w:rsidP="00243A03">
      <w:pPr>
        <w:autoSpaceDE w:val="0"/>
        <w:autoSpaceDN w:val="0"/>
        <w:adjustRightInd w:val="0"/>
        <w:spacing w:line="360" w:lineRule="auto"/>
        <w:jc w:val="both"/>
        <w:rPr>
          <w:rFonts w:ascii="Tahoma" w:hAnsi="Tahoma" w:cs="Tahoma"/>
          <w:sz w:val="24"/>
          <w:szCs w:val="24"/>
          <w:lang w:val="es-ES_tradnl"/>
        </w:rPr>
      </w:pPr>
      <w:r>
        <w:rPr>
          <w:rFonts w:ascii="Tahoma" w:hAnsi="Tahoma" w:cs="Tahoma"/>
          <w:sz w:val="24"/>
          <w:szCs w:val="24"/>
          <w:lang w:val="es-ES_tradnl"/>
        </w:rPr>
        <w:t xml:space="preserve">Agregó que </w:t>
      </w:r>
      <w:r w:rsidRPr="00B44432">
        <w:rPr>
          <w:rFonts w:ascii="Tahoma" w:hAnsi="Tahoma" w:cs="Tahoma"/>
          <w:i/>
          <w:sz w:val="20"/>
          <w:szCs w:val="20"/>
          <w:lang w:val="es-ES_tradnl"/>
        </w:rPr>
        <w:t>“…como la resolución de los recursos de apelación es lo único que falta para la culminación de la etapa clasificatoria de este específico proceso de selección y no existe justificación para que el CONSEJO SUPERIOR DE LA JUDICATURA – SALA ADMINISTRATIVA – UNIDAD DE ADMINISTRACIÓN DE CARRERA JUDICIAL se sustraiga por más tiempo de proferir las decisiones a que haya lugar, puesto que, como se dijo, la falta de un calendario o cronograma de cada etapa del trámite no es argumento válido para desarrollar indefinidamente el concurso, además que dicha situación solo es atribuible a su omisión legal-administrativo y toda vez que la prolongación indefinida en el tiempo de las actuaciones de la administración tendientes a finiquitar el concurso de méritos no es acorde a un Estado Social de Derecho, se debe considerar que la demora en la resolución de los recursos de apelación por parte de la accionada  e incluso la existencia de dilaciones en todas las etapas del concurso, ha vulnerado mis derechos fundamentales, así como los principios que rigen las actuaciones administrativas”</w:t>
      </w:r>
      <w:r>
        <w:rPr>
          <w:rFonts w:ascii="Tahoma" w:hAnsi="Tahoma" w:cs="Tahoma"/>
          <w:sz w:val="24"/>
          <w:szCs w:val="24"/>
          <w:lang w:val="es-ES_tradnl"/>
        </w:rPr>
        <w:t>.</w:t>
      </w:r>
    </w:p>
    <w:p w:rsidR="00243A03" w:rsidRPr="0048110D" w:rsidRDefault="00243A03" w:rsidP="00243A03">
      <w:pPr>
        <w:autoSpaceDE w:val="0"/>
        <w:autoSpaceDN w:val="0"/>
        <w:adjustRightInd w:val="0"/>
        <w:spacing w:line="360" w:lineRule="auto"/>
        <w:jc w:val="both"/>
        <w:rPr>
          <w:rFonts w:ascii="Tahoma" w:hAnsi="Tahoma" w:cs="Tahoma"/>
          <w:sz w:val="23"/>
          <w:szCs w:val="23"/>
          <w:lang w:val="es-ES_tradnl"/>
        </w:rPr>
      </w:pPr>
    </w:p>
    <w:p w:rsidR="00243A03" w:rsidRDefault="00243A03" w:rsidP="00243A03">
      <w:pPr>
        <w:pStyle w:val="NormalWeb"/>
        <w:shd w:val="clear" w:color="auto" w:fill="FFFFFF"/>
        <w:spacing w:before="0" w:beforeAutospacing="0" w:after="0" w:afterAutospacing="0" w:line="360" w:lineRule="auto"/>
        <w:jc w:val="both"/>
        <w:rPr>
          <w:rFonts w:ascii="Tahoma" w:hAnsi="Tahoma" w:cs="Tahoma"/>
        </w:rPr>
      </w:pPr>
      <w:r>
        <w:rPr>
          <w:rFonts w:ascii="Tahoma" w:hAnsi="Tahoma" w:cs="Tahoma"/>
        </w:rPr>
        <w:t xml:space="preserve">Encontrándose el expediente para producir fallo de segunda instancia, se observa que el Tribunal Administrativo del Tolima, al momento de dictar el correspondiente auto admisorio, no vinculó, en su calidad de terceros con interés en las resultas del presente proceso a </w:t>
      </w:r>
      <w:r w:rsidRPr="00EA2D4A">
        <w:rPr>
          <w:rFonts w:ascii="Tahoma" w:hAnsi="Tahoma" w:cs="Tahoma"/>
        </w:rPr>
        <w:t>l</w:t>
      </w:r>
      <w:r>
        <w:rPr>
          <w:rFonts w:ascii="Tahoma" w:hAnsi="Tahoma" w:cs="Tahoma"/>
        </w:rPr>
        <w:t>os demás participantes del concurso de méritos para la provisión de los cargos de empleados de carrera de Tribunales, Juzgados y Centros de Servicios en el Distrito Judicial de Ibagué y Distrito Judicial Administrativo del Tolima, en especial aquellos incluidos en el Registro Seccional de Elegibles para el cargo de Escribiente de Juzgado Municipal y/o Equivalentes. Dicha situación se observa necesaria, dado que cualquiera sea la decisión que se tome en el presente trámite, puede afectar el interés de los concursantes, más teniendo en cuenta que en dicha actuación, ya se conformó la correspondiente lista de elegibles.</w:t>
      </w:r>
    </w:p>
    <w:p w:rsidR="00243A03" w:rsidRDefault="00243A03" w:rsidP="00243A03">
      <w:pPr>
        <w:pStyle w:val="NormalWeb"/>
        <w:shd w:val="clear" w:color="auto" w:fill="FFFFFF"/>
        <w:spacing w:before="0" w:beforeAutospacing="0" w:after="0" w:afterAutospacing="0" w:line="360" w:lineRule="auto"/>
        <w:jc w:val="both"/>
        <w:rPr>
          <w:rFonts w:ascii="Tahoma" w:hAnsi="Tahoma" w:cs="Tahoma"/>
        </w:rPr>
      </w:pPr>
    </w:p>
    <w:p w:rsidR="00243A03" w:rsidRPr="00EA2D4A" w:rsidRDefault="00243A03" w:rsidP="00243A03">
      <w:pPr>
        <w:spacing w:line="360" w:lineRule="auto"/>
        <w:jc w:val="both"/>
        <w:rPr>
          <w:rFonts w:ascii="Tahoma" w:hAnsi="Tahoma" w:cs="Tahoma"/>
          <w:bCs/>
          <w:color w:val="000000"/>
          <w:sz w:val="24"/>
          <w:szCs w:val="24"/>
        </w:rPr>
      </w:pPr>
      <w:r w:rsidRPr="00EA2D4A">
        <w:rPr>
          <w:rFonts w:ascii="Tahoma" w:hAnsi="Tahoma" w:cs="Tahoma"/>
          <w:bCs/>
          <w:color w:val="000000"/>
          <w:sz w:val="24"/>
          <w:szCs w:val="24"/>
        </w:rPr>
        <w:t>Como esa notificación no se produjo, la Consejera Ponente considera que el proceso está viciado de una nulidad de carácter saneable que debe</w:t>
      </w:r>
      <w:r>
        <w:rPr>
          <w:rFonts w:ascii="Tahoma" w:hAnsi="Tahoma" w:cs="Tahoma"/>
          <w:bCs/>
          <w:color w:val="000000"/>
          <w:sz w:val="24"/>
          <w:szCs w:val="24"/>
        </w:rPr>
        <w:t>n</w:t>
      </w:r>
      <w:r w:rsidRPr="00EA2D4A">
        <w:rPr>
          <w:rFonts w:ascii="Tahoma" w:hAnsi="Tahoma" w:cs="Tahoma"/>
          <w:bCs/>
          <w:color w:val="000000"/>
          <w:sz w:val="24"/>
          <w:szCs w:val="24"/>
        </w:rPr>
        <w:t xml:space="preserve"> </w:t>
      </w:r>
      <w:r w:rsidRPr="00EA2D4A">
        <w:rPr>
          <w:rFonts w:ascii="Tahoma" w:hAnsi="Tahoma" w:cs="Tahoma"/>
          <w:b/>
          <w:bCs/>
          <w:color w:val="000000"/>
          <w:sz w:val="24"/>
          <w:szCs w:val="24"/>
        </w:rPr>
        <w:t>alegar o sanear</w:t>
      </w:r>
      <w:r>
        <w:rPr>
          <w:rFonts w:ascii="Tahoma" w:hAnsi="Tahoma" w:cs="Tahoma"/>
          <w:bCs/>
          <w:color w:val="000000"/>
          <w:sz w:val="24"/>
          <w:szCs w:val="24"/>
        </w:rPr>
        <w:t xml:space="preserve"> los directos interesados</w:t>
      </w:r>
      <w:r w:rsidRPr="00EA2D4A">
        <w:rPr>
          <w:rFonts w:ascii="Tahoma" w:hAnsi="Tahoma" w:cs="Tahoma"/>
          <w:bCs/>
          <w:color w:val="000000"/>
          <w:sz w:val="24"/>
          <w:szCs w:val="24"/>
        </w:rPr>
        <w:t>.</w:t>
      </w:r>
    </w:p>
    <w:p w:rsidR="00243A03" w:rsidRPr="00EA2D4A" w:rsidRDefault="00243A03" w:rsidP="00243A03">
      <w:pPr>
        <w:spacing w:line="360" w:lineRule="auto"/>
        <w:jc w:val="both"/>
        <w:rPr>
          <w:rFonts w:ascii="Tahoma" w:hAnsi="Tahoma" w:cs="Tahoma"/>
          <w:bCs/>
          <w:color w:val="000000"/>
          <w:sz w:val="24"/>
          <w:szCs w:val="24"/>
        </w:rPr>
      </w:pPr>
    </w:p>
    <w:p w:rsidR="00243A03" w:rsidRPr="00EA2D4A" w:rsidRDefault="00243A03" w:rsidP="00243A03">
      <w:pPr>
        <w:spacing w:line="360" w:lineRule="auto"/>
        <w:jc w:val="both"/>
        <w:rPr>
          <w:rFonts w:ascii="Tahoma" w:hAnsi="Tahoma" w:cs="Tahoma"/>
          <w:bCs/>
          <w:color w:val="000000"/>
          <w:sz w:val="24"/>
          <w:szCs w:val="24"/>
        </w:rPr>
      </w:pPr>
      <w:r w:rsidRPr="00EA2D4A">
        <w:rPr>
          <w:rFonts w:ascii="Tahoma" w:hAnsi="Tahoma" w:cs="Tahoma"/>
          <w:bCs/>
          <w:color w:val="000000"/>
          <w:sz w:val="24"/>
          <w:szCs w:val="24"/>
        </w:rPr>
        <w:t xml:space="preserve">En consecuencia, en aplicación de los artículos 136 y 137 del Código General del Proceso, se ordenará que por Secretaría General se ponga en conocimiento </w:t>
      </w:r>
      <w:r>
        <w:rPr>
          <w:rFonts w:ascii="Tahoma" w:hAnsi="Tahoma" w:cs="Tahoma"/>
          <w:bCs/>
          <w:color w:val="000000"/>
          <w:sz w:val="24"/>
          <w:szCs w:val="24"/>
        </w:rPr>
        <w:t xml:space="preserve">de </w:t>
      </w:r>
      <w:r w:rsidRPr="00EA2D4A">
        <w:rPr>
          <w:rFonts w:ascii="Tahoma" w:hAnsi="Tahoma" w:cs="Tahoma"/>
          <w:sz w:val="24"/>
          <w:szCs w:val="24"/>
        </w:rPr>
        <w:t>l</w:t>
      </w:r>
      <w:r>
        <w:rPr>
          <w:rFonts w:ascii="Tahoma" w:hAnsi="Tahoma" w:cs="Tahoma"/>
          <w:sz w:val="24"/>
          <w:szCs w:val="24"/>
        </w:rPr>
        <w:t>os participantes del concurso al cual dio apertura la Resolución No. PSATR15-00264 del 11 de noviembre de 2015, en especial, aquellos inscritos en la Convocatoria del Acuerdo 071 de 2013 para la provisión de los cargos de Escribiente de Juzgado Municipal y/o Equivalentes,</w:t>
      </w:r>
      <w:r w:rsidRPr="00EA2D4A">
        <w:rPr>
          <w:rFonts w:ascii="Tahoma" w:hAnsi="Tahoma" w:cs="Tahoma"/>
          <w:bCs/>
          <w:color w:val="000000"/>
          <w:sz w:val="24"/>
          <w:szCs w:val="24"/>
        </w:rPr>
        <w:t xml:space="preserve"> la nulidad saneable que se presenta en el proceso de la referencia para que, dentro de los tres (3) días siguientes a su notificación: (a) alegue</w:t>
      </w:r>
      <w:r>
        <w:rPr>
          <w:rFonts w:ascii="Tahoma" w:hAnsi="Tahoma" w:cs="Tahoma"/>
          <w:bCs/>
          <w:color w:val="000000"/>
          <w:sz w:val="24"/>
          <w:szCs w:val="24"/>
        </w:rPr>
        <w:t>n</w:t>
      </w:r>
      <w:r w:rsidRPr="00EA2D4A">
        <w:rPr>
          <w:rFonts w:ascii="Tahoma" w:hAnsi="Tahoma" w:cs="Tahoma"/>
          <w:bCs/>
          <w:color w:val="000000"/>
          <w:sz w:val="24"/>
          <w:szCs w:val="24"/>
        </w:rPr>
        <w:t xml:space="preserve"> la nulidad si a bien lo tiene</w:t>
      </w:r>
      <w:r>
        <w:rPr>
          <w:rFonts w:ascii="Tahoma" w:hAnsi="Tahoma" w:cs="Tahoma"/>
          <w:bCs/>
          <w:color w:val="000000"/>
          <w:sz w:val="24"/>
          <w:szCs w:val="24"/>
        </w:rPr>
        <w:t>n</w:t>
      </w:r>
      <w:r w:rsidRPr="00EA2D4A">
        <w:rPr>
          <w:rFonts w:ascii="Tahoma" w:hAnsi="Tahoma" w:cs="Tahoma"/>
          <w:bCs/>
          <w:color w:val="000000"/>
          <w:sz w:val="24"/>
          <w:szCs w:val="24"/>
        </w:rPr>
        <w:t>; (b) se pronuncie</w:t>
      </w:r>
      <w:r>
        <w:rPr>
          <w:rFonts w:ascii="Tahoma" w:hAnsi="Tahoma" w:cs="Tahoma"/>
          <w:bCs/>
          <w:color w:val="000000"/>
          <w:sz w:val="24"/>
          <w:szCs w:val="24"/>
        </w:rPr>
        <w:t>n</w:t>
      </w:r>
      <w:r w:rsidRPr="00EA2D4A">
        <w:rPr>
          <w:rFonts w:ascii="Tahoma" w:hAnsi="Tahoma" w:cs="Tahoma"/>
          <w:bCs/>
          <w:color w:val="000000"/>
          <w:sz w:val="24"/>
          <w:szCs w:val="24"/>
        </w:rPr>
        <w:t xml:space="preserve"> sobre la solicitud de amparo sin alegar la nulidad o, (c) guarde</w:t>
      </w:r>
      <w:r>
        <w:rPr>
          <w:rFonts w:ascii="Tahoma" w:hAnsi="Tahoma" w:cs="Tahoma"/>
          <w:bCs/>
          <w:color w:val="000000"/>
          <w:sz w:val="24"/>
          <w:szCs w:val="24"/>
        </w:rPr>
        <w:t>n</w:t>
      </w:r>
      <w:r w:rsidRPr="00EA2D4A">
        <w:rPr>
          <w:rFonts w:ascii="Tahoma" w:hAnsi="Tahoma" w:cs="Tahoma"/>
          <w:bCs/>
          <w:color w:val="000000"/>
          <w:sz w:val="24"/>
          <w:szCs w:val="24"/>
        </w:rPr>
        <w:t xml:space="preserve"> silencio. En estos dos últimos eventos, aquella se entenderá saneada.</w:t>
      </w:r>
    </w:p>
    <w:p w:rsidR="00243A03" w:rsidRDefault="00243A03" w:rsidP="00243A03">
      <w:pPr>
        <w:spacing w:line="360" w:lineRule="auto"/>
        <w:jc w:val="both"/>
        <w:rPr>
          <w:rFonts w:ascii="Tahoma" w:hAnsi="Tahoma" w:cs="Tahoma"/>
          <w:bCs/>
          <w:color w:val="000000"/>
          <w:sz w:val="24"/>
          <w:szCs w:val="24"/>
        </w:rPr>
      </w:pPr>
    </w:p>
    <w:p w:rsidR="00243A03" w:rsidRDefault="00243A03" w:rsidP="00243A03">
      <w:pPr>
        <w:spacing w:line="360" w:lineRule="auto"/>
        <w:contextualSpacing/>
        <w:jc w:val="both"/>
        <w:rPr>
          <w:rFonts w:ascii="Tahoma" w:hAnsi="Tahoma" w:cs="Tahoma"/>
          <w:lang w:val="es-ES_tradnl"/>
        </w:rPr>
      </w:pPr>
      <w:r>
        <w:rPr>
          <w:rFonts w:ascii="Tahoma" w:hAnsi="Tahoma" w:cs="Tahoma"/>
          <w:bCs/>
          <w:color w:val="000000"/>
          <w:sz w:val="24"/>
          <w:szCs w:val="24"/>
        </w:rPr>
        <w:t>Para efectuar la notificación correspondiente</w:t>
      </w:r>
      <w:r>
        <w:rPr>
          <w:rFonts w:ascii="Tahoma" w:hAnsi="Tahoma" w:cs="Tahoma"/>
          <w:b/>
          <w:bCs/>
          <w:color w:val="000000"/>
          <w:sz w:val="24"/>
          <w:szCs w:val="24"/>
        </w:rPr>
        <w:t xml:space="preserve"> </w:t>
      </w:r>
      <w:r>
        <w:rPr>
          <w:rFonts w:ascii="Tahoma" w:hAnsi="Tahoma" w:cs="Tahoma"/>
          <w:sz w:val="24"/>
          <w:szCs w:val="24"/>
        </w:rPr>
        <w:t>s</w:t>
      </w:r>
      <w:r w:rsidRPr="00ED75C8">
        <w:rPr>
          <w:rFonts w:ascii="Tahoma" w:hAnsi="Tahoma" w:cs="Tahoma"/>
          <w:sz w:val="24"/>
          <w:szCs w:val="24"/>
        </w:rPr>
        <w:t xml:space="preserve">e </w:t>
      </w:r>
      <w:r w:rsidRPr="00ED75C8">
        <w:rPr>
          <w:rFonts w:ascii="Tahoma" w:hAnsi="Tahoma" w:cs="Tahoma"/>
          <w:b/>
          <w:sz w:val="24"/>
          <w:szCs w:val="24"/>
        </w:rPr>
        <w:t xml:space="preserve">ORDENA </w:t>
      </w:r>
      <w:r w:rsidRPr="00ED75C8">
        <w:rPr>
          <w:rFonts w:ascii="Tahoma" w:hAnsi="Tahoma" w:cs="Tahoma"/>
          <w:sz w:val="24"/>
          <w:szCs w:val="24"/>
        </w:rPr>
        <w:t xml:space="preserve">a la Secretaría General de esta Corporación, </w:t>
      </w:r>
      <w:r w:rsidRPr="00ED75C8">
        <w:rPr>
          <w:rFonts w:ascii="Tahoma" w:hAnsi="Tahoma" w:cs="Tahoma"/>
          <w:b/>
          <w:sz w:val="24"/>
          <w:szCs w:val="24"/>
          <w:lang w:val="es-ES_tradnl"/>
        </w:rPr>
        <w:t xml:space="preserve">PUBLICAR, </w:t>
      </w:r>
      <w:r w:rsidRPr="00ED75C8">
        <w:rPr>
          <w:rFonts w:ascii="Tahoma" w:hAnsi="Tahoma" w:cs="Tahoma"/>
          <w:sz w:val="24"/>
          <w:szCs w:val="24"/>
          <w:lang w:val="es-ES_tradnl"/>
        </w:rPr>
        <w:t>por una sola vez, un aviso en la página web del Consejo de Estado, que contenga el auto admisorio de la demanda</w:t>
      </w:r>
      <w:r>
        <w:rPr>
          <w:rFonts w:ascii="Tahoma" w:hAnsi="Tahoma" w:cs="Tahoma"/>
          <w:sz w:val="24"/>
          <w:szCs w:val="24"/>
          <w:lang w:val="es-ES_tradnl"/>
        </w:rPr>
        <w:t xml:space="preserve"> de tutela de la referencia</w:t>
      </w:r>
      <w:r w:rsidRPr="00ED75C8">
        <w:rPr>
          <w:rFonts w:ascii="Tahoma" w:hAnsi="Tahoma" w:cs="Tahoma"/>
          <w:sz w:val="24"/>
          <w:szCs w:val="24"/>
          <w:lang w:val="es-ES_tradnl"/>
        </w:rPr>
        <w:t xml:space="preserve"> </w:t>
      </w:r>
      <w:r>
        <w:rPr>
          <w:rFonts w:ascii="Tahoma" w:hAnsi="Tahoma" w:cs="Tahoma"/>
          <w:sz w:val="24"/>
          <w:szCs w:val="24"/>
          <w:lang w:val="es-ES_tradnl"/>
        </w:rPr>
        <w:t>y la presente providencia</w:t>
      </w:r>
      <w:r w:rsidRPr="00ED75C8">
        <w:rPr>
          <w:rFonts w:ascii="Tahoma" w:hAnsi="Tahoma" w:cs="Tahoma"/>
          <w:sz w:val="24"/>
          <w:szCs w:val="24"/>
          <w:lang w:val="es-ES_tradnl"/>
        </w:rPr>
        <w:t xml:space="preserve">. Igualmente, </w:t>
      </w:r>
      <w:r w:rsidRPr="00ED75C8">
        <w:rPr>
          <w:rFonts w:ascii="Tahoma" w:hAnsi="Tahoma" w:cs="Tahoma"/>
          <w:b/>
          <w:sz w:val="24"/>
          <w:szCs w:val="24"/>
          <w:lang w:val="es-ES_tradnl"/>
        </w:rPr>
        <w:t>PUBLICAR</w:t>
      </w:r>
      <w:r w:rsidRPr="00ED75C8">
        <w:rPr>
          <w:rFonts w:ascii="Tahoma" w:hAnsi="Tahoma" w:cs="Tahoma"/>
          <w:sz w:val="24"/>
          <w:szCs w:val="24"/>
          <w:lang w:val="es-ES_tradnl"/>
        </w:rPr>
        <w:t xml:space="preserve"> lo anterior en un periódico de alta circulación nacional un día domingo.</w:t>
      </w:r>
      <w:r>
        <w:rPr>
          <w:rFonts w:ascii="Tahoma" w:hAnsi="Tahoma" w:cs="Tahoma"/>
          <w:lang w:val="es-ES_tradnl"/>
        </w:rPr>
        <w:t xml:space="preserve"> </w:t>
      </w:r>
    </w:p>
    <w:p w:rsidR="00243A03" w:rsidRDefault="00243A03" w:rsidP="00243A03">
      <w:pPr>
        <w:spacing w:line="360" w:lineRule="auto"/>
        <w:jc w:val="both"/>
        <w:rPr>
          <w:rFonts w:ascii="Tahoma" w:hAnsi="Tahoma" w:cs="Tahoma"/>
          <w:b/>
          <w:bCs/>
          <w:color w:val="000000"/>
          <w:sz w:val="24"/>
          <w:szCs w:val="24"/>
          <w:lang w:val="es-ES_tradnl"/>
        </w:rPr>
      </w:pPr>
    </w:p>
    <w:p w:rsidR="00243A03" w:rsidRPr="00ED75C8" w:rsidRDefault="00243A03" w:rsidP="00243A03">
      <w:pPr>
        <w:spacing w:line="360" w:lineRule="auto"/>
        <w:jc w:val="both"/>
        <w:rPr>
          <w:rFonts w:ascii="Tahoma" w:hAnsi="Tahoma" w:cs="Tahoma"/>
          <w:bCs/>
          <w:color w:val="000000"/>
          <w:sz w:val="24"/>
          <w:szCs w:val="24"/>
          <w:lang w:val="es-ES_tradnl"/>
        </w:rPr>
      </w:pPr>
      <w:r>
        <w:rPr>
          <w:rFonts w:ascii="Tahoma" w:hAnsi="Tahoma" w:cs="Tahoma"/>
          <w:bCs/>
          <w:color w:val="000000"/>
          <w:sz w:val="24"/>
          <w:szCs w:val="24"/>
          <w:lang w:val="es-ES_tradnl"/>
        </w:rPr>
        <w:t xml:space="preserve">Así mismo, se procederá a </w:t>
      </w:r>
      <w:r>
        <w:rPr>
          <w:rFonts w:ascii="Tahoma" w:hAnsi="Tahoma" w:cs="Tahoma"/>
          <w:b/>
          <w:bCs/>
          <w:color w:val="000000"/>
          <w:sz w:val="24"/>
          <w:szCs w:val="24"/>
          <w:lang w:val="es-ES_tradnl"/>
        </w:rPr>
        <w:t xml:space="preserve">OFICIAR </w:t>
      </w:r>
      <w:r>
        <w:rPr>
          <w:rFonts w:ascii="Tahoma" w:hAnsi="Tahoma" w:cs="Tahoma"/>
          <w:bCs/>
          <w:color w:val="000000"/>
          <w:sz w:val="24"/>
          <w:szCs w:val="24"/>
          <w:lang w:val="es-ES_tradnl"/>
        </w:rPr>
        <w:t xml:space="preserve">al Consejo Seccional de la Judicatura del Tolima para que </w:t>
      </w:r>
      <w:r w:rsidRPr="00ED75C8">
        <w:rPr>
          <w:rFonts w:ascii="Tahoma" w:hAnsi="Tahoma" w:cs="Tahoma"/>
          <w:b/>
          <w:bCs/>
          <w:color w:val="000000"/>
          <w:sz w:val="24"/>
          <w:szCs w:val="24"/>
          <w:lang w:val="es-ES_tradnl"/>
        </w:rPr>
        <w:t>PUBLIQUE,</w:t>
      </w:r>
      <w:r>
        <w:rPr>
          <w:rFonts w:ascii="Tahoma" w:hAnsi="Tahoma" w:cs="Tahoma"/>
          <w:bCs/>
          <w:color w:val="000000"/>
          <w:sz w:val="24"/>
          <w:szCs w:val="24"/>
          <w:lang w:val="es-ES_tradnl"/>
        </w:rPr>
        <w:t xml:space="preserve"> por una sola vez, </w:t>
      </w:r>
      <w:r w:rsidRPr="00ED75C8">
        <w:rPr>
          <w:rFonts w:ascii="Tahoma" w:hAnsi="Tahoma" w:cs="Tahoma"/>
          <w:bCs/>
          <w:color w:val="000000"/>
          <w:sz w:val="24"/>
          <w:szCs w:val="24"/>
          <w:lang w:val="es-ES_tradnl"/>
        </w:rPr>
        <w:t>en</w:t>
      </w:r>
      <w:r>
        <w:rPr>
          <w:rFonts w:ascii="Tahoma" w:hAnsi="Tahoma" w:cs="Tahoma"/>
          <w:bCs/>
          <w:color w:val="000000"/>
          <w:sz w:val="24"/>
          <w:szCs w:val="24"/>
          <w:lang w:val="es-ES_tradnl"/>
        </w:rPr>
        <w:t xml:space="preserve"> la página web del concurso de méritos convocado mediante Resolución No. </w:t>
      </w:r>
      <w:r>
        <w:rPr>
          <w:rFonts w:ascii="Tahoma" w:hAnsi="Tahoma" w:cs="Tahoma"/>
          <w:sz w:val="24"/>
          <w:szCs w:val="24"/>
        </w:rPr>
        <w:t>PSATR15-00264 del 11 de noviembre de 2015</w:t>
      </w:r>
      <w:r>
        <w:rPr>
          <w:rFonts w:ascii="Tahoma" w:hAnsi="Tahoma" w:cs="Tahoma"/>
          <w:bCs/>
          <w:color w:val="000000"/>
          <w:sz w:val="24"/>
          <w:szCs w:val="24"/>
          <w:lang w:val="es-ES_tradnl"/>
        </w:rPr>
        <w:t xml:space="preserve">, el auto admisorio de la demanda de tutela de la referencia y la presente providencia. </w:t>
      </w:r>
    </w:p>
    <w:p w:rsidR="00243A03" w:rsidRPr="00173FB9" w:rsidRDefault="00243A03" w:rsidP="00243A03">
      <w:pPr>
        <w:spacing w:line="360" w:lineRule="auto"/>
        <w:jc w:val="both"/>
        <w:rPr>
          <w:rFonts w:ascii="Tahoma" w:hAnsi="Tahoma" w:cs="Tahoma"/>
          <w:bCs/>
          <w:color w:val="000000"/>
          <w:sz w:val="24"/>
          <w:szCs w:val="24"/>
        </w:rPr>
      </w:pPr>
      <w:r w:rsidRPr="00EA2D4A">
        <w:rPr>
          <w:rFonts w:ascii="Tahoma" w:hAnsi="Tahoma" w:cs="Tahoma"/>
          <w:bCs/>
          <w:color w:val="000000"/>
          <w:sz w:val="24"/>
          <w:szCs w:val="24"/>
        </w:rPr>
        <w:t xml:space="preserve">                </w:t>
      </w:r>
    </w:p>
    <w:p w:rsidR="00243A03" w:rsidRPr="00EA2D4A" w:rsidRDefault="00243A03" w:rsidP="00243A03">
      <w:pPr>
        <w:widowControl w:val="0"/>
        <w:tabs>
          <w:tab w:val="left" w:pos="567"/>
        </w:tabs>
        <w:suppressAutoHyphens/>
        <w:autoSpaceDE w:val="0"/>
        <w:spacing w:line="360" w:lineRule="auto"/>
        <w:ind w:right="284"/>
        <w:contextualSpacing/>
        <w:rPr>
          <w:rFonts w:ascii="Tahoma" w:hAnsi="Tahoma" w:cs="Tahoma"/>
          <w:b/>
          <w:sz w:val="24"/>
          <w:szCs w:val="24"/>
        </w:rPr>
      </w:pPr>
      <w:r w:rsidRPr="00EA2D4A">
        <w:rPr>
          <w:rFonts w:ascii="Tahoma" w:hAnsi="Tahoma" w:cs="Tahoma"/>
          <w:b/>
          <w:sz w:val="24"/>
          <w:szCs w:val="24"/>
        </w:rPr>
        <w:t>NOTIFÍQUESE Y CÚMPLASE</w:t>
      </w:r>
    </w:p>
    <w:p w:rsidR="00243A03" w:rsidRPr="00EA2D4A" w:rsidRDefault="00243A03" w:rsidP="00243A03">
      <w:pPr>
        <w:widowControl w:val="0"/>
        <w:tabs>
          <w:tab w:val="left" w:pos="567"/>
        </w:tabs>
        <w:suppressAutoHyphens/>
        <w:autoSpaceDE w:val="0"/>
        <w:spacing w:line="360" w:lineRule="auto"/>
        <w:ind w:left="284" w:right="284"/>
        <w:contextualSpacing/>
        <w:rPr>
          <w:rFonts w:ascii="Tahoma" w:hAnsi="Tahoma" w:cs="Tahoma"/>
          <w:b/>
          <w:sz w:val="24"/>
          <w:szCs w:val="24"/>
        </w:rPr>
      </w:pPr>
    </w:p>
    <w:p w:rsidR="00243A03" w:rsidRPr="00EA2D4A" w:rsidRDefault="00243A03" w:rsidP="00243A03">
      <w:pPr>
        <w:widowControl w:val="0"/>
        <w:tabs>
          <w:tab w:val="left" w:pos="567"/>
        </w:tabs>
        <w:suppressAutoHyphens/>
        <w:autoSpaceDE w:val="0"/>
        <w:spacing w:line="360" w:lineRule="auto"/>
        <w:ind w:right="284"/>
        <w:contextualSpacing/>
        <w:rPr>
          <w:rFonts w:ascii="Tahoma" w:hAnsi="Tahoma" w:cs="Tahoma"/>
          <w:b/>
          <w:sz w:val="24"/>
          <w:szCs w:val="24"/>
        </w:rPr>
      </w:pPr>
    </w:p>
    <w:p w:rsidR="00243A03" w:rsidRPr="00EA2D4A" w:rsidRDefault="00243A03" w:rsidP="00243A03">
      <w:pPr>
        <w:widowControl w:val="0"/>
        <w:tabs>
          <w:tab w:val="left" w:pos="567"/>
        </w:tabs>
        <w:suppressAutoHyphens/>
        <w:autoSpaceDE w:val="0"/>
        <w:spacing w:line="360" w:lineRule="auto"/>
        <w:ind w:right="284"/>
        <w:contextualSpacing/>
        <w:rPr>
          <w:rFonts w:ascii="Tahoma" w:hAnsi="Tahoma" w:cs="Tahoma"/>
          <w:b/>
          <w:sz w:val="24"/>
          <w:szCs w:val="24"/>
        </w:rPr>
      </w:pPr>
    </w:p>
    <w:p w:rsidR="00243A03" w:rsidRPr="00EA2D4A" w:rsidRDefault="00243A03" w:rsidP="00243A03">
      <w:pPr>
        <w:widowControl w:val="0"/>
        <w:tabs>
          <w:tab w:val="left" w:pos="567"/>
        </w:tabs>
        <w:suppressAutoHyphens/>
        <w:autoSpaceDE w:val="0"/>
        <w:spacing w:line="360" w:lineRule="auto"/>
        <w:ind w:left="284" w:right="284"/>
        <w:contextualSpacing/>
        <w:jc w:val="center"/>
        <w:rPr>
          <w:rFonts w:ascii="Tahoma" w:hAnsi="Tahoma" w:cs="Tahoma"/>
          <w:b/>
          <w:sz w:val="24"/>
          <w:szCs w:val="24"/>
        </w:rPr>
      </w:pPr>
      <w:r w:rsidRPr="00EA2D4A">
        <w:rPr>
          <w:rFonts w:ascii="Tahoma" w:hAnsi="Tahoma" w:cs="Tahoma"/>
          <w:b/>
          <w:sz w:val="24"/>
          <w:szCs w:val="24"/>
        </w:rPr>
        <w:t>ROCÍO ARAÚJO OÑATE</w:t>
      </w:r>
    </w:p>
    <w:p w:rsidR="00243A03" w:rsidRPr="00EA2D4A" w:rsidRDefault="00243A03" w:rsidP="00243A03">
      <w:pPr>
        <w:widowControl w:val="0"/>
        <w:tabs>
          <w:tab w:val="left" w:pos="567"/>
        </w:tabs>
        <w:suppressAutoHyphens/>
        <w:autoSpaceDE w:val="0"/>
        <w:spacing w:line="360" w:lineRule="auto"/>
        <w:ind w:left="284" w:right="284"/>
        <w:contextualSpacing/>
        <w:jc w:val="center"/>
        <w:rPr>
          <w:rFonts w:ascii="Tahoma" w:hAnsi="Tahoma" w:cs="Tahoma"/>
          <w:b/>
          <w:sz w:val="24"/>
          <w:szCs w:val="24"/>
        </w:rPr>
      </w:pPr>
      <w:r w:rsidRPr="00EA2D4A">
        <w:rPr>
          <w:rFonts w:ascii="Tahoma" w:hAnsi="Tahoma" w:cs="Tahoma"/>
          <w:b/>
          <w:sz w:val="24"/>
          <w:szCs w:val="24"/>
        </w:rPr>
        <w:t>Consejera de Estado</w:t>
      </w:r>
    </w:p>
    <w:p w:rsidR="00243A03" w:rsidRPr="00EA2D4A" w:rsidRDefault="00243A03" w:rsidP="00243A03">
      <w:pPr>
        <w:rPr>
          <w:sz w:val="24"/>
          <w:szCs w:val="24"/>
        </w:rPr>
      </w:pPr>
    </w:p>
    <w:p w:rsidR="00BB78E2" w:rsidRPr="00243A03" w:rsidRDefault="00BB78E2" w:rsidP="00243A03"/>
    <w:sectPr w:rsidR="00BB78E2" w:rsidRPr="00243A03" w:rsidSect="000364A6">
      <w:headerReference w:type="even" r:id="rId7"/>
      <w:headerReference w:type="default" r:id="rId8"/>
      <w:pgSz w:w="12242" w:h="18722" w:code="120"/>
      <w:pgMar w:top="1701" w:right="1701" w:bottom="1701" w:left="1701" w:header="96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4A6" w:rsidRDefault="000364A6" w:rsidP="00243A03">
      <w:r>
        <w:separator/>
      </w:r>
    </w:p>
  </w:endnote>
  <w:endnote w:type="continuationSeparator" w:id="0">
    <w:p w:rsidR="000364A6" w:rsidRDefault="000364A6" w:rsidP="0024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4A6" w:rsidRDefault="000364A6" w:rsidP="00243A03">
      <w:r>
        <w:separator/>
      </w:r>
    </w:p>
  </w:footnote>
  <w:footnote w:type="continuationSeparator" w:id="0">
    <w:p w:rsidR="000364A6" w:rsidRDefault="000364A6" w:rsidP="00243A03">
      <w:r>
        <w:continuationSeparator/>
      </w:r>
    </w:p>
  </w:footnote>
  <w:footnote w:id="1">
    <w:p w:rsidR="00243A03" w:rsidRPr="00103604" w:rsidRDefault="00243A03" w:rsidP="00243A03">
      <w:pPr>
        <w:pStyle w:val="Textonotapie"/>
        <w:rPr>
          <w:rFonts w:ascii="Tahoma" w:hAnsi="Tahoma" w:cs="Tahoma"/>
          <w:sz w:val="18"/>
          <w:szCs w:val="18"/>
        </w:rPr>
      </w:pPr>
      <w:r w:rsidRPr="00103604">
        <w:rPr>
          <w:rStyle w:val="Refdenotaalpie"/>
          <w:rFonts w:ascii="Tahoma" w:hAnsi="Tahoma" w:cs="Tahoma"/>
          <w:sz w:val="18"/>
          <w:szCs w:val="18"/>
        </w:rPr>
        <w:footnoteRef/>
      </w:r>
      <w:r w:rsidRPr="00103604">
        <w:rPr>
          <w:rFonts w:ascii="Tahoma" w:hAnsi="Tahoma" w:cs="Tahoma"/>
          <w:sz w:val="18"/>
          <w:szCs w:val="18"/>
        </w:rPr>
        <w:t xml:space="preserve"> Folio 1 del expediente.</w:t>
      </w:r>
    </w:p>
  </w:footnote>
  <w:footnote w:id="2">
    <w:p w:rsidR="00243A03" w:rsidRPr="00103604" w:rsidRDefault="00243A03" w:rsidP="00243A03">
      <w:pPr>
        <w:pStyle w:val="Textonotapie"/>
        <w:rPr>
          <w:rFonts w:ascii="Tahoma" w:hAnsi="Tahoma" w:cs="Tahoma"/>
          <w:sz w:val="18"/>
          <w:szCs w:val="18"/>
        </w:rPr>
      </w:pPr>
      <w:r w:rsidRPr="00103604">
        <w:rPr>
          <w:rStyle w:val="Refdenotaalpie"/>
          <w:rFonts w:ascii="Tahoma" w:hAnsi="Tahoma" w:cs="Tahoma"/>
          <w:sz w:val="18"/>
          <w:szCs w:val="18"/>
        </w:rPr>
        <w:footnoteRef/>
      </w:r>
      <w:r w:rsidRPr="00103604">
        <w:rPr>
          <w:rFonts w:ascii="Tahoma" w:hAnsi="Tahoma" w:cs="Tahoma"/>
          <w:sz w:val="18"/>
          <w:szCs w:val="18"/>
        </w:rPr>
        <w:t xml:space="preserve"> Folio </w:t>
      </w:r>
      <w:r>
        <w:rPr>
          <w:rFonts w:ascii="Tahoma" w:hAnsi="Tahoma" w:cs="Tahoma"/>
          <w:sz w:val="18"/>
          <w:szCs w:val="18"/>
        </w:rPr>
        <w:t>15 del expediente.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A6" w:rsidRDefault="000364A6" w:rsidP="000364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0364A6" w:rsidRDefault="000364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A6" w:rsidRPr="00EA4ACB" w:rsidRDefault="000364A6" w:rsidP="000364A6">
    <w:pPr>
      <w:pStyle w:val="Encabezado"/>
      <w:framePr w:wrap="around" w:vAnchor="text" w:hAnchor="margin" w:xAlign="center" w:y="1"/>
      <w:rPr>
        <w:rStyle w:val="Nmerodepgina"/>
        <w:rFonts w:ascii="Tahoma" w:hAnsi="Tahoma" w:cs="Tahoma"/>
        <w:sz w:val="18"/>
        <w:szCs w:val="18"/>
      </w:rPr>
    </w:pPr>
    <w:r w:rsidRPr="00EA4ACB">
      <w:rPr>
        <w:rStyle w:val="Nmerodepgina"/>
        <w:rFonts w:ascii="Tahoma" w:hAnsi="Tahoma" w:cs="Tahoma"/>
        <w:sz w:val="18"/>
        <w:szCs w:val="18"/>
      </w:rPr>
      <w:fldChar w:fldCharType="begin"/>
    </w:r>
    <w:r w:rsidRPr="00EA4ACB">
      <w:rPr>
        <w:rStyle w:val="Nmerodepgina"/>
        <w:rFonts w:ascii="Tahoma" w:hAnsi="Tahoma" w:cs="Tahoma"/>
        <w:sz w:val="18"/>
        <w:szCs w:val="18"/>
      </w:rPr>
      <w:instrText xml:space="preserve">PAGE  </w:instrText>
    </w:r>
    <w:r w:rsidRPr="00EA4ACB">
      <w:rPr>
        <w:rStyle w:val="Nmerodepgina"/>
        <w:rFonts w:ascii="Tahoma" w:hAnsi="Tahoma" w:cs="Tahoma"/>
        <w:sz w:val="18"/>
        <w:szCs w:val="18"/>
      </w:rPr>
      <w:fldChar w:fldCharType="separate"/>
    </w:r>
    <w:r w:rsidR="00A10A42">
      <w:rPr>
        <w:rStyle w:val="Nmerodepgina"/>
        <w:rFonts w:ascii="Tahoma" w:hAnsi="Tahoma" w:cs="Tahoma"/>
        <w:noProof/>
        <w:sz w:val="18"/>
        <w:szCs w:val="18"/>
      </w:rPr>
      <w:t>3</w:t>
    </w:r>
    <w:r w:rsidRPr="00EA4ACB">
      <w:rPr>
        <w:rStyle w:val="Nmerodepgina"/>
        <w:rFonts w:ascii="Tahoma" w:hAnsi="Tahoma" w:cs="Tahoma"/>
        <w:sz w:val="18"/>
        <w:szCs w:val="18"/>
      </w:rPr>
      <w:fldChar w:fldCharType="end"/>
    </w:r>
  </w:p>
  <w:p w:rsidR="000364A6" w:rsidRPr="005D2B63" w:rsidRDefault="000364A6" w:rsidP="000364A6">
    <w:pPr>
      <w:pStyle w:val="Encabezado"/>
      <w:tabs>
        <w:tab w:val="left" w:pos="3715"/>
        <w:tab w:val="center" w:pos="4338"/>
      </w:tabs>
      <w:rPr>
        <w:rFonts w:ascii="Tahoma" w:hAnsi="Tahoma" w:cs="Tahoma"/>
        <w:lang w:val="es-CO"/>
      </w:rPr>
    </w:pPr>
    <w:r w:rsidRPr="005D2B63">
      <w:rPr>
        <w:rFonts w:ascii="Tahoma" w:hAnsi="Tahoma" w:cs="Tahoma"/>
      </w:rPr>
      <w:tab/>
    </w:r>
  </w:p>
  <w:p w:rsidR="000364A6" w:rsidRPr="002C5737" w:rsidRDefault="000364A6" w:rsidP="000364A6">
    <w:pPr>
      <w:pStyle w:val="Encabezado"/>
      <w:tabs>
        <w:tab w:val="left" w:pos="3715"/>
        <w:tab w:val="center" w:pos="4338"/>
      </w:tabs>
      <w:jc w:val="center"/>
      <w:rPr>
        <w:rFonts w:ascii="Tahoma" w:hAnsi="Tahoma" w:cs="Tahoma"/>
        <w:sz w:val="18"/>
        <w:szCs w:val="18"/>
      </w:rPr>
    </w:pPr>
    <w:r w:rsidRPr="002C5737">
      <w:rPr>
        <w:rFonts w:ascii="Tahoma" w:hAnsi="Tahoma" w:cs="Tahoma"/>
        <w:sz w:val="18"/>
        <w:szCs w:val="18"/>
      </w:rPr>
      <w:t xml:space="preserve">Acción de tutela – </w:t>
    </w:r>
    <w:r>
      <w:rPr>
        <w:rFonts w:ascii="Tahoma" w:hAnsi="Tahoma" w:cs="Tahoma"/>
        <w:sz w:val="18"/>
        <w:szCs w:val="18"/>
        <w:lang w:val="es-CO"/>
      </w:rPr>
      <w:t>auto de pone en conocimiento nulidad saneable</w:t>
    </w:r>
  </w:p>
  <w:p w:rsidR="000364A6" w:rsidRPr="002C5737" w:rsidRDefault="000364A6" w:rsidP="000364A6">
    <w:pPr>
      <w:jc w:val="center"/>
      <w:rPr>
        <w:rFonts w:ascii="Tahoma" w:hAnsi="Tahoma" w:cs="Tahoma"/>
        <w:bCs/>
        <w:sz w:val="18"/>
        <w:szCs w:val="18"/>
      </w:rPr>
    </w:pPr>
    <w:r>
      <w:rPr>
        <w:rFonts w:ascii="Tahoma" w:hAnsi="Tahoma" w:cs="Tahoma"/>
        <w:sz w:val="18"/>
        <w:szCs w:val="18"/>
      </w:rPr>
      <w:t>Accionante: Aldinever Laguna Parra</w:t>
    </w:r>
  </w:p>
  <w:p w:rsidR="000364A6" w:rsidRDefault="000364A6" w:rsidP="000364A6">
    <w:pPr>
      <w:jc w:val="center"/>
      <w:rPr>
        <w:rFonts w:ascii="Tahoma" w:hAnsi="Tahoma" w:cs="Tahoma"/>
        <w:bCs/>
        <w:color w:val="000000"/>
        <w:sz w:val="18"/>
        <w:szCs w:val="18"/>
      </w:rPr>
    </w:pPr>
    <w:r w:rsidRPr="002C5737">
      <w:rPr>
        <w:rFonts w:ascii="Tahoma" w:hAnsi="Tahoma" w:cs="Tahoma"/>
        <w:sz w:val="18"/>
        <w:szCs w:val="18"/>
      </w:rPr>
      <w:t xml:space="preserve">Rad. </w:t>
    </w:r>
    <w:r>
      <w:rPr>
        <w:rFonts w:ascii="Tahoma" w:hAnsi="Tahoma" w:cs="Tahoma"/>
        <w:bCs/>
        <w:color w:val="000000"/>
        <w:sz w:val="18"/>
        <w:szCs w:val="18"/>
      </w:rPr>
      <w:t>73</w:t>
    </w:r>
    <w:r w:rsidRPr="001A3B60">
      <w:rPr>
        <w:rFonts w:ascii="Tahoma" w:hAnsi="Tahoma" w:cs="Tahoma"/>
        <w:bCs/>
        <w:color w:val="000000"/>
        <w:sz w:val="18"/>
        <w:szCs w:val="18"/>
      </w:rPr>
      <w:t>001-</w:t>
    </w:r>
    <w:r>
      <w:rPr>
        <w:rFonts w:ascii="Tahoma" w:hAnsi="Tahoma" w:cs="Tahoma"/>
        <w:bCs/>
        <w:color w:val="000000"/>
        <w:sz w:val="18"/>
        <w:szCs w:val="18"/>
      </w:rPr>
      <w:t>2</w:t>
    </w:r>
    <w:r w:rsidRPr="001A3B60">
      <w:rPr>
        <w:rFonts w:ascii="Tahoma" w:hAnsi="Tahoma" w:cs="Tahoma"/>
        <w:bCs/>
        <w:color w:val="000000"/>
        <w:sz w:val="18"/>
        <w:szCs w:val="18"/>
      </w:rPr>
      <w:t>3-33-000-2016-0</w:t>
    </w:r>
    <w:r>
      <w:rPr>
        <w:rFonts w:ascii="Tahoma" w:hAnsi="Tahoma" w:cs="Tahoma"/>
        <w:bCs/>
        <w:color w:val="000000"/>
        <w:sz w:val="18"/>
        <w:szCs w:val="18"/>
      </w:rPr>
      <w:t>0475</w:t>
    </w:r>
    <w:r w:rsidRPr="001A3B60">
      <w:rPr>
        <w:rFonts w:ascii="Tahoma" w:hAnsi="Tahoma" w:cs="Tahoma"/>
        <w:bCs/>
        <w:color w:val="000000"/>
        <w:sz w:val="18"/>
        <w:szCs w:val="18"/>
      </w:rPr>
      <w:t>-01</w:t>
    </w:r>
  </w:p>
  <w:p w:rsidR="000364A6" w:rsidRPr="005D2B63" w:rsidRDefault="000364A6" w:rsidP="000364A6">
    <w:pPr>
      <w:pStyle w:val="Encabezado"/>
      <w:tabs>
        <w:tab w:val="clear" w:pos="4419"/>
        <w:tab w:val="clear" w:pos="8838"/>
        <w:tab w:val="left" w:pos="5437"/>
      </w:tabs>
      <w:rPr>
        <w:rFonts w:ascii="Tahoma" w:hAnsi="Tahoma" w:cs="Tahoma"/>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7B"/>
    <w:rsid w:val="000364A6"/>
    <w:rsid w:val="00056ACF"/>
    <w:rsid w:val="00243A03"/>
    <w:rsid w:val="00501BF1"/>
    <w:rsid w:val="007901E2"/>
    <w:rsid w:val="007A437B"/>
    <w:rsid w:val="00A10A42"/>
    <w:rsid w:val="00BB78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D6255AD-00C6-4D67-A703-4B8766FC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1">
    <w:name w:val="heading 1"/>
    <w:basedOn w:val="Normal"/>
    <w:next w:val="Normal"/>
    <w:link w:val="Ttulo1Car"/>
    <w:uiPriority w:val="99"/>
    <w:qFormat/>
    <w:rsid w:val="00243A03"/>
    <w:pPr>
      <w:keepNext/>
      <w:overflowPunct w:val="0"/>
      <w:autoSpaceDE w:val="0"/>
      <w:autoSpaceDN w:val="0"/>
      <w:adjustRightInd w:val="0"/>
      <w:spacing w:line="360" w:lineRule="auto"/>
      <w:textAlignment w:val="baseline"/>
      <w:outlineLvl w:val="0"/>
    </w:pPr>
    <w:rPr>
      <w:rFonts w:ascii="Arial" w:hAnsi="Arial"/>
      <w:sz w:val="24"/>
      <w:szCs w:val="24"/>
      <w:lang w:val="en-US" w:eastAsia="es-CO"/>
    </w:rPr>
  </w:style>
  <w:style w:type="paragraph" w:styleId="Ttulo2">
    <w:name w:val="heading 2"/>
    <w:basedOn w:val="Normal"/>
    <w:next w:val="Normal"/>
    <w:link w:val="Ttulo2Car"/>
    <w:uiPriority w:val="99"/>
    <w:qFormat/>
    <w:rsid w:val="00243A03"/>
    <w:pPr>
      <w:keepNext/>
      <w:overflowPunct w:val="0"/>
      <w:autoSpaceDE w:val="0"/>
      <w:autoSpaceDN w:val="0"/>
      <w:adjustRightInd w:val="0"/>
      <w:spacing w:line="360" w:lineRule="auto"/>
      <w:jc w:val="center"/>
      <w:textAlignment w:val="baseline"/>
      <w:outlineLvl w:val="1"/>
    </w:pPr>
    <w:rPr>
      <w:rFonts w:ascii="Arial" w:hAnsi="Arial"/>
      <w:b/>
      <w:bCs/>
      <w:sz w:val="24"/>
      <w:szCs w:val="24"/>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43A03"/>
    <w:rPr>
      <w:rFonts w:ascii="Arial" w:hAnsi="Arial"/>
      <w:sz w:val="24"/>
      <w:szCs w:val="24"/>
      <w:lang w:val="en-US"/>
    </w:rPr>
  </w:style>
  <w:style w:type="character" w:customStyle="1" w:styleId="Ttulo2Car">
    <w:name w:val="Título 2 Car"/>
    <w:link w:val="Ttulo2"/>
    <w:uiPriority w:val="99"/>
    <w:rsid w:val="00243A03"/>
    <w:rPr>
      <w:rFonts w:ascii="Arial" w:hAnsi="Arial"/>
      <w:b/>
      <w:bCs/>
      <w:sz w:val="24"/>
      <w:szCs w:val="24"/>
      <w:lang w:val="x-none"/>
    </w:rPr>
  </w:style>
  <w:style w:type="paragraph" w:styleId="Encabezado">
    <w:name w:val="header"/>
    <w:basedOn w:val="Normal"/>
    <w:link w:val="EncabezadoCar"/>
    <w:uiPriority w:val="99"/>
    <w:rsid w:val="00243A03"/>
    <w:pPr>
      <w:tabs>
        <w:tab w:val="center" w:pos="4419"/>
        <w:tab w:val="right" w:pos="8838"/>
      </w:tabs>
    </w:pPr>
    <w:rPr>
      <w:rFonts w:ascii="Times New Roman" w:hAnsi="Times New Roman"/>
      <w:sz w:val="24"/>
      <w:szCs w:val="24"/>
      <w:lang w:val="x-none" w:eastAsia="es-ES"/>
    </w:rPr>
  </w:style>
  <w:style w:type="character" w:customStyle="1" w:styleId="EncabezadoCar">
    <w:name w:val="Encabezado Car"/>
    <w:link w:val="Encabezado"/>
    <w:uiPriority w:val="99"/>
    <w:rsid w:val="00243A03"/>
    <w:rPr>
      <w:rFonts w:ascii="Times New Roman" w:hAnsi="Times New Roman"/>
      <w:sz w:val="24"/>
      <w:szCs w:val="24"/>
      <w:lang w:val="x-none" w:eastAsia="es-ES"/>
    </w:rPr>
  </w:style>
  <w:style w:type="character" w:styleId="Nmerodepgina">
    <w:name w:val="page number"/>
    <w:rsid w:val="00243A03"/>
    <w:rPr>
      <w:rFonts w:cs="Times New Roman"/>
    </w:rPr>
  </w:style>
  <w:style w:type="paragraph" w:styleId="Sinespaciado">
    <w:name w:val="No Spacing"/>
    <w:uiPriority w:val="1"/>
    <w:qFormat/>
    <w:rsid w:val="00243A03"/>
    <w:rPr>
      <w:sz w:val="22"/>
      <w:szCs w:val="22"/>
      <w:lang w:eastAsia="en-US"/>
    </w:rPr>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f,C, C"/>
    <w:basedOn w:val="Normal"/>
    <w:link w:val="TextonotapieCar1"/>
    <w:qFormat/>
    <w:rsid w:val="00243A03"/>
    <w:rPr>
      <w:sz w:val="20"/>
      <w:szCs w:val="20"/>
      <w:lang w:val="x-none" w:eastAsia="es-ES"/>
    </w:rPr>
  </w:style>
  <w:style w:type="character" w:customStyle="1" w:styleId="TextonotapieCar">
    <w:name w:val="Texto nota pie Car"/>
    <w:uiPriority w:val="99"/>
    <w:semiHidden/>
    <w:rsid w:val="00243A03"/>
    <w:rPr>
      <w:lang w:eastAsia="en-US"/>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f Car,C Car, C Car"/>
    <w:link w:val="Textonotapie"/>
    <w:locked/>
    <w:rsid w:val="00243A03"/>
    <w:rPr>
      <w:lang w:val="x-none" w:eastAsia="es-ES"/>
    </w:rPr>
  </w:style>
  <w:style w:type="character" w:styleId="Refdenotaalpie">
    <w:name w:val="footnote reference"/>
    <w:aliases w:val="Texto de nota al pie,referencia nota al pie,Ref. de nota al pie 2,Pie de Página,FC,Appel note de bas de page,Texto de nota al pi,Texto de nota al p,Pie de Pàgina,F,Pie de P_gin,Pie de P_,Pie de P_g,Footnotes refss,Footnote number,4_G"/>
    <w:uiPriority w:val="99"/>
    <w:qFormat/>
    <w:rsid w:val="00243A03"/>
    <w:rPr>
      <w:rFonts w:cs="Times New Roman"/>
      <w:vertAlign w:val="superscript"/>
    </w:rPr>
  </w:style>
  <w:style w:type="paragraph" w:styleId="NormalWeb">
    <w:name w:val="Normal (Web)"/>
    <w:basedOn w:val="Normal"/>
    <w:uiPriority w:val="99"/>
    <w:unhideWhenUsed/>
    <w:rsid w:val="00243A03"/>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INES MORENO SALAZAR</dc:creator>
  <cp:keywords/>
  <dc:description/>
  <cp:lastModifiedBy>JULIANA ANDREA STERLING STERLING</cp:lastModifiedBy>
  <cp:revision>2</cp:revision>
  <dcterms:created xsi:type="dcterms:W3CDTF">2016-09-23T20:26:00Z</dcterms:created>
  <dcterms:modified xsi:type="dcterms:W3CDTF">2016-09-23T20:26:00Z</dcterms:modified>
</cp:coreProperties>
</file>