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F95" w:rsidRPr="00211F0C" w:rsidRDefault="00DB7F95" w:rsidP="00DB7F95">
      <w:pPr>
        <w:tabs>
          <w:tab w:val="left" w:pos="1044"/>
        </w:tabs>
        <w:contextualSpacing/>
        <w:rPr>
          <w:b/>
          <w:bCs/>
          <w:sz w:val="24"/>
          <w:szCs w:val="24"/>
        </w:rPr>
      </w:pPr>
    </w:p>
    <w:p w:rsidR="00DB7F95" w:rsidRPr="00211F0C" w:rsidRDefault="00DB7F95" w:rsidP="00DB7F95">
      <w:pPr>
        <w:pStyle w:val="Sinespaciado"/>
        <w:spacing w:line="240" w:lineRule="auto"/>
      </w:pPr>
      <w:r>
        <w:rPr>
          <w:caps w:val="0"/>
          <w:szCs w:val="24"/>
        </w:rPr>
        <w:t>M</w:t>
      </w:r>
      <w:r w:rsidRPr="004E33DC">
        <w:rPr>
          <w:caps w:val="0"/>
          <w:szCs w:val="24"/>
        </w:rPr>
        <w:t>agistrado ponente</w:t>
      </w:r>
      <w:r w:rsidRPr="00211F0C">
        <w:t>: JAIME ENRIQUE RODRÍGUEZ NAVAS</w:t>
      </w:r>
    </w:p>
    <w:p w:rsidR="00DB7F95" w:rsidRPr="00211F0C" w:rsidRDefault="00DB7F95" w:rsidP="00DB7F95">
      <w:pPr>
        <w:contextualSpacing/>
        <w:rPr>
          <w:b/>
          <w:bCs/>
          <w:sz w:val="24"/>
          <w:szCs w:val="24"/>
        </w:rPr>
      </w:pPr>
    </w:p>
    <w:p w:rsidR="00DB7F95" w:rsidRPr="00A73A26" w:rsidRDefault="00DB7F95" w:rsidP="00DB7F95">
      <w:pPr>
        <w:contextualSpacing/>
        <w:rPr>
          <w:bCs/>
          <w:sz w:val="24"/>
          <w:szCs w:val="24"/>
        </w:rPr>
      </w:pPr>
      <w:r w:rsidRPr="005905CF">
        <w:rPr>
          <w:b/>
          <w:sz w:val="24"/>
          <w:szCs w:val="24"/>
        </w:rPr>
        <w:t>Bogotá D.C.,</w:t>
      </w:r>
      <w:r>
        <w:rPr>
          <w:b/>
          <w:sz w:val="24"/>
          <w:szCs w:val="24"/>
        </w:rPr>
        <w:t xml:space="preserve"> </w:t>
      </w:r>
      <w:r w:rsidR="00C06B96">
        <w:rPr>
          <w:b/>
          <w:sz w:val="24"/>
          <w:szCs w:val="24"/>
        </w:rPr>
        <w:t xml:space="preserve">quince (15) </w:t>
      </w:r>
      <w:r>
        <w:rPr>
          <w:b/>
          <w:sz w:val="24"/>
          <w:szCs w:val="24"/>
        </w:rPr>
        <w:t xml:space="preserve">de marzo de dos mil veintitrés (2023). </w:t>
      </w:r>
    </w:p>
    <w:p w:rsidR="00DB7F95" w:rsidRDefault="00DB7F95" w:rsidP="00DB7F95">
      <w:pPr>
        <w:tabs>
          <w:tab w:val="left" w:pos="1985"/>
        </w:tabs>
        <w:contextualSpacing/>
        <w:rPr>
          <w:b/>
          <w:sz w:val="24"/>
          <w:szCs w:val="24"/>
        </w:rPr>
      </w:pPr>
    </w:p>
    <w:p w:rsidR="00DB7F95" w:rsidRPr="002004D6" w:rsidRDefault="00DB7F95" w:rsidP="00DB7F95">
      <w:pPr>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Radicado número:</w:t>
      </w:r>
      <w:r>
        <w:rPr>
          <w:rFonts w:eastAsia="Times New Roman"/>
          <w:color w:val="0D0D0D"/>
          <w:spacing w:val="-3"/>
          <w:sz w:val="24"/>
          <w:szCs w:val="24"/>
          <w:lang w:eastAsia="zh-CN"/>
        </w:rPr>
        <w:tab/>
      </w:r>
      <w:r>
        <w:rPr>
          <w:rFonts w:eastAsia="Times New Roman"/>
          <w:color w:val="0D0D0D"/>
          <w:spacing w:val="-3"/>
          <w:sz w:val="24"/>
          <w:szCs w:val="24"/>
          <w:lang w:eastAsia="zh-CN"/>
        </w:rPr>
        <w:tab/>
      </w:r>
      <w:r>
        <w:rPr>
          <w:rFonts w:eastAsia="Times New Roman"/>
          <w:bCs/>
          <w:color w:val="0D0D0D"/>
          <w:spacing w:val="-3"/>
          <w:sz w:val="24"/>
          <w:szCs w:val="24"/>
          <w:lang w:eastAsia="zh-CN"/>
        </w:rPr>
        <w:t>11001-03-15-000-2023-01263-00.</w:t>
      </w:r>
    </w:p>
    <w:p w:rsidR="00DB7F95" w:rsidRDefault="00DB7F95" w:rsidP="00DB7F95">
      <w:pPr>
        <w:ind w:left="2832" w:hanging="2832"/>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Accionante:</w:t>
      </w:r>
      <w:r>
        <w:rPr>
          <w:rFonts w:eastAsia="Times New Roman"/>
          <w:color w:val="0D0D0D"/>
          <w:spacing w:val="-3"/>
          <w:sz w:val="24"/>
          <w:szCs w:val="24"/>
          <w:lang w:eastAsia="zh-CN"/>
        </w:rPr>
        <w:tab/>
        <w:t xml:space="preserve"> Elkin </w:t>
      </w:r>
      <w:r w:rsidR="000660AE">
        <w:rPr>
          <w:rFonts w:eastAsia="Times New Roman"/>
          <w:color w:val="0D0D0D"/>
          <w:spacing w:val="-3"/>
          <w:sz w:val="24"/>
          <w:szCs w:val="24"/>
          <w:lang w:eastAsia="zh-CN"/>
        </w:rPr>
        <w:t xml:space="preserve">Enrique </w:t>
      </w:r>
      <w:r>
        <w:rPr>
          <w:rFonts w:eastAsia="Times New Roman"/>
          <w:color w:val="0D0D0D"/>
          <w:spacing w:val="-3"/>
          <w:sz w:val="24"/>
          <w:szCs w:val="24"/>
          <w:lang w:eastAsia="zh-CN"/>
        </w:rPr>
        <w:t>Díaz Camacho.</w:t>
      </w:r>
    </w:p>
    <w:p w:rsidR="00DB7F95" w:rsidRPr="00D07772" w:rsidRDefault="00DB7F95" w:rsidP="00DB7F95">
      <w:pPr>
        <w:ind w:left="2880" w:hanging="2880"/>
        <w:contextualSpacing/>
        <w:rPr>
          <w:rFonts w:eastAsia="Times New Roman"/>
          <w:color w:val="0D0D0D"/>
          <w:spacing w:val="-3"/>
          <w:sz w:val="24"/>
          <w:szCs w:val="24"/>
          <w:lang w:eastAsia="zh-CN"/>
        </w:rPr>
      </w:pPr>
      <w:r>
        <w:rPr>
          <w:rFonts w:eastAsia="Times New Roman"/>
          <w:b/>
          <w:bCs/>
          <w:color w:val="0D0D0D"/>
          <w:spacing w:val="-3"/>
          <w:sz w:val="24"/>
          <w:szCs w:val="24"/>
          <w:lang w:eastAsia="zh-CN"/>
        </w:rPr>
        <w:t>Accionado:</w:t>
      </w:r>
      <w:r>
        <w:rPr>
          <w:rFonts w:eastAsia="Times New Roman"/>
          <w:b/>
          <w:bCs/>
          <w:color w:val="0D0D0D"/>
          <w:spacing w:val="-3"/>
          <w:sz w:val="24"/>
          <w:szCs w:val="24"/>
          <w:lang w:eastAsia="zh-CN"/>
        </w:rPr>
        <w:tab/>
      </w:r>
      <w:r w:rsidR="007C6BD9">
        <w:rPr>
          <w:rFonts w:eastAsia="Times New Roman"/>
          <w:color w:val="0D0D0D"/>
          <w:spacing w:val="-3"/>
          <w:sz w:val="24"/>
          <w:szCs w:val="24"/>
          <w:lang w:eastAsia="zh-CN"/>
        </w:rPr>
        <w:t xml:space="preserve">Consejo de Estado – Sección Primera y Subsección B de la Sección Segunda. </w:t>
      </w:r>
    </w:p>
    <w:p w:rsidR="00DB7F95" w:rsidRPr="00A73A26" w:rsidRDefault="00DB7F95" w:rsidP="00DB7F95">
      <w:pPr>
        <w:ind w:left="2126" w:hanging="2126"/>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Referencia:</w:t>
      </w:r>
      <w:r>
        <w:rPr>
          <w:rFonts w:eastAsia="Times New Roman"/>
          <w:color w:val="0D0D0D"/>
          <w:spacing w:val="-3"/>
          <w:sz w:val="24"/>
          <w:szCs w:val="24"/>
          <w:lang w:eastAsia="zh-CN"/>
        </w:rPr>
        <w:tab/>
      </w:r>
      <w:r>
        <w:rPr>
          <w:rFonts w:eastAsia="Times New Roman"/>
          <w:color w:val="0D0D0D"/>
          <w:spacing w:val="-3"/>
          <w:sz w:val="24"/>
          <w:szCs w:val="24"/>
          <w:lang w:eastAsia="zh-CN"/>
        </w:rPr>
        <w:tab/>
      </w:r>
      <w:r w:rsidRPr="002004D6">
        <w:rPr>
          <w:rFonts w:eastAsia="Times New Roman"/>
          <w:color w:val="0D0D0D"/>
          <w:spacing w:val="-3"/>
          <w:sz w:val="24"/>
          <w:szCs w:val="24"/>
          <w:lang w:eastAsia="zh-CN"/>
        </w:rPr>
        <w:t>Acción de tutela</w:t>
      </w:r>
      <w:r>
        <w:rPr>
          <w:rFonts w:eastAsia="Times New Roman"/>
          <w:color w:val="0D0D0D"/>
          <w:spacing w:val="-3"/>
          <w:sz w:val="24"/>
          <w:szCs w:val="24"/>
          <w:lang w:eastAsia="zh-CN"/>
        </w:rPr>
        <w:t xml:space="preserve">. </w:t>
      </w:r>
    </w:p>
    <w:p w:rsidR="00DB7F95" w:rsidRPr="00211F0C" w:rsidRDefault="00DB7F95" w:rsidP="00DB7F95">
      <w:pPr>
        <w:tabs>
          <w:tab w:val="left" w:pos="8222"/>
        </w:tabs>
        <w:ind w:right="51"/>
        <w:contextualSpacing/>
        <w:rPr>
          <w:b/>
          <w:sz w:val="24"/>
          <w:szCs w:val="24"/>
        </w:rPr>
      </w:pPr>
    </w:p>
    <w:p w:rsidR="00DB7F95" w:rsidRPr="00211F0C" w:rsidRDefault="00DB7F95" w:rsidP="00DB7F95">
      <w:pPr>
        <w:pBdr>
          <w:bottom w:val="single" w:sz="12" w:space="0" w:color="auto"/>
        </w:pBdr>
        <w:ind w:left="2832" w:hanging="2832"/>
        <w:contextualSpacing/>
        <w:rPr>
          <w:b/>
          <w:sz w:val="24"/>
          <w:szCs w:val="24"/>
        </w:rPr>
      </w:pPr>
      <w:r w:rsidRPr="00211F0C">
        <w:rPr>
          <w:b/>
          <w:sz w:val="24"/>
          <w:szCs w:val="24"/>
        </w:rPr>
        <w:t>AUTO ADMISORIO</w:t>
      </w:r>
      <w:r w:rsidR="00E112AA">
        <w:rPr>
          <w:b/>
          <w:sz w:val="24"/>
          <w:szCs w:val="24"/>
        </w:rPr>
        <w:t xml:space="preserve"> </w:t>
      </w:r>
    </w:p>
    <w:p w:rsidR="00DB7F95" w:rsidRDefault="00DB7F95" w:rsidP="00DB7F95">
      <w:pPr>
        <w:tabs>
          <w:tab w:val="left" w:pos="1985"/>
        </w:tabs>
        <w:contextualSpacing/>
        <w:rPr>
          <w:sz w:val="24"/>
          <w:szCs w:val="24"/>
        </w:rPr>
      </w:pPr>
    </w:p>
    <w:p w:rsidR="005C068E" w:rsidRDefault="005C068E" w:rsidP="00DB7F95">
      <w:pPr>
        <w:tabs>
          <w:tab w:val="left" w:pos="1985"/>
        </w:tabs>
        <w:contextualSpacing/>
        <w:rPr>
          <w:sz w:val="24"/>
          <w:szCs w:val="24"/>
        </w:rPr>
      </w:pPr>
      <w:r>
        <w:rPr>
          <w:sz w:val="24"/>
          <w:szCs w:val="24"/>
        </w:rPr>
        <w:t xml:space="preserve">El Despacho decide sobre la admisión de la tutela </w:t>
      </w:r>
      <w:r w:rsidR="00A15127">
        <w:rPr>
          <w:sz w:val="24"/>
          <w:szCs w:val="24"/>
        </w:rPr>
        <w:t>con</w:t>
      </w:r>
      <w:r>
        <w:rPr>
          <w:sz w:val="24"/>
          <w:szCs w:val="24"/>
        </w:rPr>
        <w:t xml:space="preserve"> solicitud de medida cautelar interpuesta por Elkin Díaz Camacho. </w:t>
      </w:r>
    </w:p>
    <w:p w:rsidR="005C068E" w:rsidRDefault="005C068E" w:rsidP="00DB7F95">
      <w:pPr>
        <w:tabs>
          <w:tab w:val="left" w:pos="1985"/>
        </w:tabs>
        <w:contextualSpacing/>
        <w:rPr>
          <w:sz w:val="24"/>
          <w:szCs w:val="24"/>
        </w:rPr>
      </w:pPr>
    </w:p>
    <w:p w:rsidR="005C068E" w:rsidRDefault="005C068E" w:rsidP="005C068E">
      <w:pPr>
        <w:tabs>
          <w:tab w:val="left" w:pos="1985"/>
        </w:tabs>
        <w:contextualSpacing/>
        <w:jc w:val="center"/>
        <w:rPr>
          <w:sz w:val="24"/>
          <w:szCs w:val="24"/>
        </w:rPr>
      </w:pPr>
      <w:r w:rsidRPr="005C068E">
        <w:rPr>
          <w:b/>
          <w:sz w:val="24"/>
          <w:szCs w:val="24"/>
        </w:rPr>
        <w:t>I. ANTECEDENTES</w:t>
      </w:r>
      <w:r>
        <w:rPr>
          <w:b/>
          <w:sz w:val="24"/>
          <w:szCs w:val="24"/>
        </w:rPr>
        <w:t xml:space="preserve"> </w:t>
      </w:r>
    </w:p>
    <w:p w:rsidR="005C068E" w:rsidRDefault="005C068E" w:rsidP="005C068E">
      <w:pPr>
        <w:tabs>
          <w:tab w:val="left" w:pos="1985"/>
        </w:tabs>
        <w:contextualSpacing/>
        <w:jc w:val="center"/>
        <w:rPr>
          <w:sz w:val="24"/>
          <w:szCs w:val="24"/>
        </w:rPr>
      </w:pPr>
    </w:p>
    <w:p w:rsidR="007C6BD9" w:rsidRPr="005C068E" w:rsidRDefault="005C068E" w:rsidP="00DB7F95">
      <w:pPr>
        <w:tabs>
          <w:tab w:val="left" w:pos="1985"/>
        </w:tabs>
        <w:contextualSpacing/>
        <w:rPr>
          <w:sz w:val="24"/>
          <w:szCs w:val="24"/>
        </w:rPr>
      </w:pPr>
      <w:r w:rsidRPr="005C068E">
        <w:rPr>
          <w:b/>
          <w:sz w:val="24"/>
          <w:szCs w:val="24"/>
        </w:rPr>
        <w:t xml:space="preserve">1.1. </w:t>
      </w:r>
      <w:r w:rsidR="007C6BD9" w:rsidRPr="007C6BD9">
        <w:rPr>
          <w:rFonts w:eastAsia="Times New Roman"/>
          <w:spacing w:val="-3"/>
          <w:sz w:val="24"/>
          <w:szCs w:val="24"/>
          <w:lang w:eastAsia="zh-CN"/>
        </w:rPr>
        <w:t xml:space="preserve">Elkin </w:t>
      </w:r>
      <w:r w:rsidR="000660AE">
        <w:rPr>
          <w:rFonts w:eastAsia="Times New Roman"/>
          <w:spacing w:val="-3"/>
          <w:sz w:val="24"/>
          <w:szCs w:val="24"/>
          <w:lang w:eastAsia="zh-CN"/>
        </w:rPr>
        <w:t xml:space="preserve">Enrique </w:t>
      </w:r>
      <w:r w:rsidR="007C6BD9" w:rsidRPr="007C6BD9">
        <w:rPr>
          <w:rFonts w:eastAsia="Times New Roman"/>
          <w:spacing w:val="-3"/>
          <w:sz w:val="24"/>
          <w:szCs w:val="24"/>
          <w:lang w:eastAsia="zh-CN"/>
        </w:rPr>
        <w:t>Díaz Camacho, en nombre propio, presentó solicitud de amparo</w:t>
      </w:r>
      <w:r w:rsidR="002A593F">
        <w:rPr>
          <w:rStyle w:val="Refdenotaalpie"/>
          <w:rFonts w:eastAsia="Times New Roman"/>
          <w:spacing w:val="-3"/>
          <w:sz w:val="24"/>
          <w:szCs w:val="24"/>
          <w:lang w:eastAsia="zh-CN"/>
        </w:rPr>
        <w:footnoteReference w:id="1"/>
      </w:r>
      <w:r w:rsidR="007C6BD9" w:rsidRPr="007C6BD9">
        <w:rPr>
          <w:rFonts w:eastAsia="Times New Roman"/>
          <w:spacing w:val="-3"/>
          <w:sz w:val="24"/>
          <w:szCs w:val="24"/>
          <w:lang w:eastAsia="zh-CN"/>
        </w:rPr>
        <w:t xml:space="preserve"> de su derecho fundamental al debido proceso, así como a las garantías de cosa juzgada, seguridad jurídica, confianza legítima y tutela </w:t>
      </w:r>
      <w:r w:rsidR="00C06B96">
        <w:rPr>
          <w:rFonts w:eastAsia="Times New Roman"/>
          <w:spacing w:val="-3"/>
          <w:sz w:val="24"/>
          <w:szCs w:val="24"/>
          <w:lang w:eastAsia="zh-CN"/>
        </w:rPr>
        <w:t xml:space="preserve">judicial </w:t>
      </w:r>
      <w:r w:rsidR="007C6BD9" w:rsidRPr="007C6BD9">
        <w:rPr>
          <w:rFonts w:eastAsia="Times New Roman"/>
          <w:spacing w:val="-3"/>
          <w:sz w:val="24"/>
          <w:szCs w:val="24"/>
          <w:lang w:eastAsia="zh-CN"/>
        </w:rPr>
        <w:t xml:space="preserve">efectiva. </w:t>
      </w:r>
    </w:p>
    <w:p w:rsidR="007C6BD9" w:rsidRPr="007C6BD9" w:rsidRDefault="007C6BD9" w:rsidP="00DB7F95">
      <w:pPr>
        <w:tabs>
          <w:tab w:val="left" w:pos="1985"/>
        </w:tabs>
        <w:contextualSpacing/>
        <w:rPr>
          <w:rFonts w:eastAsia="Times New Roman"/>
          <w:spacing w:val="-3"/>
          <w:sz w:val="24"/>
          <w:szCs w:val="24"/>
          <w:lang w:eastAsia="zh-CN"/>
        </w:rPr>
      </w:pPr>
    </w:p>
    <w:p w:rsidR="007C6BD9" w:rsidRPr="008A0D41" w:rsidRDefault="007C6BD9" w:rsidP="00DB7F95">
      <w:pPr>
        <w:tabs>
          <w:tab w:val="left" w:pos="1985"/>
        </w:tabs>
        <w:contextualSpacing/>
        <w:rPr>
          <w:rFonts w:eastAsia="Times New Roman"/>
          <w:spacing w:val="-3"/>
          <w:sz w:val="24"/>
          <w:szCs w:val="24"/>
          <w:lang w:eastAsia="zh-CN"/>
        </w:rPr>
      </w:pPr>
      <w:r w:rsidRPr="007C6BD9">
        <w:rPr>
          <w:rFonts w:eastAsia="Times New Roman"/>
          <w:spacing w:val="-3"/>
          <w:sz w:val="24"/>
          <w:szCs w:val="24"/>
          <w:lang w:eastAsia="zh-CN"/>
        </w:rPr>
        <w:t xml:space="preserve">Tales garantías las consideró vulneradas por las secciones Primera y Segunda, Subsección B del Consejo de Estado, al dictar las providencias del 1 de diciembre de 2022 y del 9 de febrero de 2023, </w:t>
      </w:r>
      <w:r w:rsidR="00861F5B">
        <w:rPr>
          <w:rFonts w:eastAsia="Times New Roman"/>
          <w:spacing w:val="-3"/>
          <w:sz w:val="24"/>
          <w:szCs w:val="24"/>
          <w:lang w:eastAsia="zh-CN"/>
        </w:rPr>
        <w:t xml:space="preserve">en las que la </w:t>
      </w:r>
      <w:r w:rsidR="00A15127">
        <w:rPr>
          <w:rFonts w:eastAsia="Times New Roman"/>
          <w:spacing w:val="-3"/>
          <w:sz w:val="24"/>
          <w:szCs w:val="24"/>
          <w:lang w:eastAsia="zh-CN"/>
        </w:rPr>
        <w:t>S</w:t>
      </w:r>
      <w:r w:rsidR="00861F5B">
        <w:rPr>
          <w:rFonts w:eastAsia="Times New Roman"/>
          <w:spacing w:val="-3"/>
          <w:sz w:val="24"/>
          <w:szCs w:val="24"/>
          <w:lang w:eastAsia="zh-CN"/>
        </w:rPr>
        <w:t xml:space="preserve">ección Primera no aceptó la recusación contra sus magistrados integrantes y ordenó el envío del trámite a la sección Segunda, </w:t>
      </w:r>
      <w:r w:rsidR="00A15127">
        <w:rPr>
          <w:rFonts w:eastAsia="Times New Roman"/>
          <w:spacing w:val="-3"/>
          <w:sz w:val="24"/>
          <w:szCs w:val="24"/>
          <w:lang w:eastAsia="zh-CN"/>
        </w:rPr>
        <w:t>quien</w:t>
      </w:r>
      <w:r w:rsidR="00861F5B">
        <w:rPr>
          <w:rFonts w:eastAsia="Times New Roman"/>
          <w:spacing w:val="-3"/>
          <w:sz w:val="24"/>
          <w:szCs w:val="24"/>
          <w:lang w:eastAsia="zh-CN"/>
        </w:rPr>
        <w:t xml:space="preserve"> por conducto de la Subsección B, también rechazó de plano</w:t>
      </w:r>
      <w:r w:rsidR="007B00EA">
        <w:rPr>
          <w:rFonts w:eastAsia="Times New Roman"/>
          <w:spacing w:val="-3"/>
          <w:sz w:val="24"/>
          <w:szCs w:val="24"/>
          <w:lang w:eastAsia="zh-CN"/>
        </w:rPr>
        <w:t xml:space="preserve"> por improcedente</w:t>
      </w:r>
      <w:r w:rsidR="00861F5B">
        <w:rPr>
          <w:rFonts w:eastAsia="Times New Roman"/>
          <w:spacing w:val="-3"/>
          <w:sz w:val="24"/>
          <w:szCs w:val="24"/>
          <w:lang w:eastAsia="zh-CN"/>
        </w:rPr>
        <w:t xml:space="preserve"> la recusación </w:t>
      </w:r>
      <w:r w:rsidR="00A15127">
        <w:rPr>
          <w:rFonts w:eastAsia="Times New Roman"/>
          <w:spacing w:val="-3"/>
          <w:sz w:val="24"/>
          <w:szCs w:val="24"/>
          <w:lang w:eastAsia="zh-CN"/>
        </w:rPr>
        <w:t xml:space="preserve">y ordenó el </w:t>
      </w:r>
      <w:r w:rsidR="007B00EA">
        <w:rPr>
          <w:rFonts w:eastAsia="Times New Roman"/>
          <w:spacing w:val="-3"/>
          <w:sz w:val="24"/>
          <w:szCs w:val="24"/>
          <w:lang w:eastAsia="zh-CN"/>
        </w:rPr>
        <w:t>envío del expediente al consejero de Estado sustanciador</w:t>
      </w:r>
      <w:r w:rsidR="00A15127">
        <w:rPr>
          <w:rFonts w:eastAsia="Times New Roman"/>
          <w:spacing w:val="-3"/>
          <w:sz w:val="24"/>
          <w:szCs w:val="24"/>
          <w:lang w:eastAsia="zh-CN"/>
        </w:rPr>
        <w:t>.</w:t>
      </w:r>
      <w:r w:rsidR="00861F5B">
        <w:rPr>
          <w:rFonts w:eastAsia="Times New Roman"/>
          <w:spacing w:val="-3"/>
          <w:sz w:val="24"/>
          <w:szCs w:val="24"/>
          <w:lang w:eastAsia="zh-CN"/>
        </w:rPr>
        <w:t xml:space="preserve"> Lo anterior, </w:t>
      </w:r>
      <w:r w:rsidR="008A0D41">
        <w:rPr>
          <w:rFonts w:eastAsia="Times New Roman"/>
          <w:spacing w:val="-3"/>
          <w:sz w:val="24"/>
          <w:szCs w:val="24"/>
          <w:lang w:eastAsia="zh-CN"/>
        </w:rPr>
        <w:t xml:space="preserve">dentro del </w:t>
      </w:r>
      <w:r w:rsidRPr="007C6BD9">
        <w:rPr>
          <w:rFonts w:eastAsia="Times New Roman"/>
          <w:spacing w:val="-3"/>
          <w:sz w:val="24"/>
          <w:szCs w:val="24"/>
          <w:lang w:eastAsia="zh-CN"/>
        </w:rPr>
        <w:t xml:space="preserve">proceso de nulidad electoral radicado al número </w:t>
      </w:r>
      <w:r w:rsidRPr="007C6BD9">
        <w:rPr>
          <w:sz w:val="24"/>
          <w:szCs w:val="24"/>
        </w:rPr>
        <w:t>70001-23-33-000-2020-00004-03 (</w:t>
      </w:r>
      <w:r>
        <w:rPr>
          <w:sz w:val="24"/>
          <w:szCs w:val="24"/>
        </w:rPr>
        <w:t>expediente a</w:t>
      </w:r>
      <w:r w:rsidRPr="007C6BD9">
        <w:rPr>
          <w:sz w:val="24"/>
          <w:szCs w:val="24"/>
        </w:rPr>
        <w:t>cumulado</w:t>
      </w:r>
      <w:r w:rsidR="00484CB7">
        <w:rPr>
          <w:rStyle w:val="Refdenotaalpie"/>
          <w:sz w:val="24"/>
          <w:szCs w:val="24"/>
        </w:rPr>
        <w:footnoteReference w:id="2"/>
      </w:r>
      <w:r w:rsidRPr="007C6BD9">
        <w:rPr>
          <w:sz w:val="24"/>
          <w:szCs w:val="24"/>
        </w:rPr>
        <w:t>)</w:t>
      </w:r>
      <w:r>
        <w:rPr>
          <w:sz w:val="24"/>
          <w:szCs w:val="24"/>
        </w:rPr>
        <w:t xml:space="preserve">. </w:t>
      </w:r>
    </w:p>
    <w:p w:rsidR="007C6BD9" w:rsidRDefault="007C6BD9" w:rsidP="00DB7F95">
      <w:pPr>
        <w:tabs>
          <w:tab w:val="left" w:pos="1985"/>
        </w:tabs>
        <w:contextualSpacing/>
        <w:rPr>
          <w:rFonts w:eastAsia="Times New Roman"/>
          <w:spacing w:val="-3"/>
          <w:sz w:val="24"/>
          <w:szCs w:val="24"/>
          <w:lang w:eastAsia="zh-CN"/>
        </w:rPr>
      </w:pPr>
    </w:p>
    <w:p w:rsidR="00F66B0D" w:rsidRDefault="007C6BD9" w:rsidP="00DB7F95">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El anterior proceso fue iniciado por el accionante y por Omar de Jesús Ochoa García y Nataly Strusberg Castañeda, en contra de Andrés Eduardo Gómez Martínez, en su condición de alcalde de Sincelejo para el periodo comprendido entre el 2020 al 2023. </w:t>
      </w:r>
      <w:r w:rsidR="00A15127">
        <w:rPr>
          <w:rFonts w:eastAsia="Times New Roman"/>
          <w:spacing w:val="-3"/>
          <w:sz w:val="24"/>
          <w:szCs w:val="24"/>
          <w:lang w:eastAsia="zh-CN"/>
        </w:rPr>
        <w:t>E</w:t>
      </w:r>
      <w:r w:rsidR="002360CC">
        <w:rPr>
          <w:rFonts w:eastAsia="Times New Roman"/>
          <w:spacing w:val="-3"/>
          <w:sz w:val="24"/>
          <w:szCs w:val="24"/>
          <w:lang w:eastAsia="zh-CN"/>
        </w:rPr>
        <w:t>l Tribunal Administrativo de Sucre el 4 de noviembre de 2021 dictó sentencia de primera instancia en la que negó las pretensiones de la demanda, no obstante</w:t>
      </w:r>
      <w:r w:rsidR="00387ED0">
        <w:rPr>
          <w:rFonts w:eastAsia="Times New Roman"/>
          <w:spacing w:val="-3"/>
          <w:sz w:val="24"/>
          <w:szCs w:val="24"/>
          <w:lang w:eastAsia="zh-CN"/>
        </w:rPr>
        <w:t xml:space="preserve">, </w:t>
      </w:r>
      <w:r w:rsidR="002360CC">
        <w:rPr>
          <w:rFonts w:eastAsia="Times New Roman"/>
          <w:spacing w:val="-3"/>
          <w:sz w:val="24"/>
          <w:szCs w:val="24"/>
          <w:lang w:eastAsia="zh-CN"/>
        </w:rPr>
        <w:t xml:space="preserve">la Sección Quinta del Consejo de Estado revocó dicha decisión en fallo del 23 de junio de 2022, en el que accedió a los pedimentos y, en consecuencia, declaró la nulidad de la elección de Andrés Eduardo Gómez Martínez. </w:t>
      </w:r>
    </w:p>
    <w:p w:rsidR="008A0D41" w:rsidRDefault="008A0D41" w:rsidP="00DB7F95">
      <w:pPr>
        <w:tabs>
          <w:tab w:val="left" w:pos="1985"/>
        </w:tabs>
        <w:contextualSpacing/>
        <w:rPr>
          <w:rFonts w:eastAsia="Times New Roman"/>
          <w:spacing w:val="-3"/>
          <w:sz w:val="24"/>
          <w:szCs w:val="24"/>
          <w:lang w:eastAsia="zh-CN"/>
        </w:rPr>
      </w:pPr>
    </w:p>
    <w:p w:rsidR="00A15127" w:rsidRDefault="00A15127" w:rsidP="00DB7F95">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Las recusaciones </w:t>
      </w:r>
      <w:r w:rsidR="00876A58">
        <w:rPr>
          <w:rFonts w:eastAsia="Times New Roman"/>
          <w:spacing w:val="-3"/>
          <w:sz w:val="24"/>
          <w:szCs w:val="24"/>
          <w:lang w:eastAsia="zh-CN"/>
        </w:rPr>
        <w:t>que dieron origen a las providencias y el trámite cuestionado a través de este mecanismo constitucional, fueron</w:t>
      </w:r>
      <w:r>
        <w:rPr>
          <w:rFonts w:eastAsia="Times New Roman"/>
          <w:spacing w:val="-3"/>
          <w:sz w:val="24"/>
          <w:szCs w:val="24"/>
          <w:lang w:eastAsia="zh-CN"/>
        </w:rPr>
        <w:t xml:space="preserve"> presentaron con posterioridad a las providencias de primera y segunda instancia que definieron la controversia electoral.</w:t>
      </w:r>
    </w:p>
    <w:p w:rsidR="00A15127" w:rsidRDefault="00A15127" w:rsidP="00DB7F95">
      <w:pPr>
        <w:tabs>
          <w:tab w:val="left" w:pos="1985"/>
        </w:tabs>
        <w:contextualSpacing/>
        <w:rPr>
          <w:rFonts w:eastAsia="Times New Roman"/>
          <w:spacing w:val="-3"/>
          <w:sz w:val="24"/>
          <w:szCs w:val="24"/>
          <w:lang w:eastAsia="zh-CN"/>
        </w:rPr>
      </w:pPr>
    </w:p>
    <w:p w:rsidR="00850CC2" w:rsidRDefault="005C068E" w:rsidP="00DB7F95">
      <w:pPr>
        <w:tabs>
          <w:tab w:val="left" w:pos="1985"/>
        </w:tabs>
        <w:contextualSpacing/>
        <w:rPr>
          <w:rFonts w:eastAsia="Times New Roman"/>
          <w:spacing w:val="-3"/>
          <w:sz w:val="24"/>
          <w:szCs w:val="24"/>
          <w:lang w:eastAsia="zh-CN"/>
        </w:rPr>
      </w:pPr>
      <w:r w:rsidRPr="005C068E">
        <w:rPr>
          <w:rFonts w:eastAsia="Times New Roman"/>
          <w:b/>
          <w:spacing w:val="-3"/>
          <w:sz w:val="24"/>
          <w:szCs w:val="24"/>
          <w:lang w:eastAsia="zh-CN"/>
        </w:rPr>
        <w:t>1.2.</w:t>
      </w:r>
      <w:r>
        <w:rPr>
          <w:rFonts w:eastAsia="Times New Roman"/>
          <w:spacing w:val="-3"/>
          <w:sz w:val="24"/>
          <w:szCs w:val="24"/>
          <w:lang w:eastAsia="zh-CN"/>
        </w:rPr>
        <w:t xml:space="preserve"> </w:t>
      </w:r>
      <w:r w:rsidR="00064DDB">
        <w:rPr>
          <w:rFonts w:eastAsia="Times New Roman"/>
          <w:spacing w:val="-3"/>
          <w:sz w:val="24"/>
          <w:szCs w:val="24"/>
          <w:lang w:eastAsia="zh-CN"/>
        </w:rPr>
        <w:t xml:space="preserve">El señor </w:t>
      </w:r>
      <w:r w:rsidR="00850CC2" w:rsidRPr="00850CC2">
        <w:rPr>
          <w:rFonts w:eastAsia="Times New Roman"/>
          <w:spacing w:val="-3"/>
          <w:sz w:val="24"/>
          <w:szCs w:val="24"/>
          <w:lang w:eastAsia="zh-CN"/>
        </w:rPr>
        <w:t xml:space="preserve">Díaz Camacho </w:t>
      </w:r>
      <w:r w:rsidR="00850CC2">
        <w:rPr>
          <w:rFonts w:eastAsia="Times New Roman"/>
          <w:spacing w:val="-3"/>
          <w:sz w:val="24"/>
          <w:szCs w:val="24"/>
          <w:lang w:eastAsia="zh-CN"/>
        </w:rPr>
        <w:t>solicitó como medida provisional</w:t>
      </w:r>
      <w:r w:rsidR="00DB1F59">
        <w:rPr>
          <w:rFonts w:eastAsia="Times New Roman"/>
          <w:spacing w:val="-3"/>
          <w:sz w:val="24"/>
          <w:szCs w:val="24"/>
          <w:lang w:eastAsia="zh-CN"/>
        </w:rPr>
        <w:t xml:space="preserve"> </w:t>
      </w:r>
      <w:r w:rsidR="008A517F">
        <w:rPr>
          <w:rFonts w:eastAsia="Times New Roman"/>
          <w:spacing w:val="-3"/>
          <w:sz w:val="24"/>
          <w:szCs w:val="24"/>
          <w:lang w:eastAsia="zh-CN"/>
        </w:rPr>
        <w:t>de</w:t>
      </w:r>
      <w:r w:rsidR="008A517F" w:rsidRPr="008A517F">
        <w:rPr>
          <w:rFonts w:eastAsia="Times New Roman"/>
          <w:b/>
          <w:spacing w:val="-3"/>
          <w:sz w:val="24"/>
          <w:szCs w:val="24"/>
          <w:lang w:eastAsia="zh-CN"/>
        </w:rPr>
        <w:t xml:space="preserve"> urgencia</w:t>
      </w:r>
      <w:r w:rsidR="008A517F">
        <w:rPr>
          <w:rFonts w:eastAsia="Times New Roman"/>
          <w:spacing w:val="-3"/>
          <w:sz w:val="24"/>
          <w:szCs w:val="24"/>
          <w:lang w:eastAsia="zh-CN"/>
        </w:rPr>
        <w:t xml:space="preserve"> </w:t>
      </w:r>
      <w:r w:rsidR="00DB1F59">
        <w:rPr>
          <w:rFonts w:eastAsia="Times New Roman"/>
          <w:spacing w:val="-3"/>
          <w:sz w:val="24"/>
          <w:szCs w:val="24"/>
          <w:lang w:eastAsia="zh-CN"/>
        </w:rPr>
        <w:t>que este juez constitucional</w:t>
      </w:r>
      <w:r w:rsidR="00850CC2">
        <w:rPr>
          <w:rFonts w:eastAsia="Times New Roman"/>
          <w:spacing w:val="-3"/>
          <w:sz w:val="24"/>
          <w:szCs w:val="24"/>
          <w:lang w:eastAsia="zh-CN"/>
        </w:rPr>
        <w:t xml:space="preserve">: </w:t>
      </w:r>
    </w:p>
    <w:p w:rsidR="00DB1F59" w:rsidRDefault="00DB1F59" w:rsidP="00DB7F95">
      <w:pPr>
        <w:tabs>
          <w:tab w:val="left" w:pos="1985"/>
        </w:tabs>
        <w:contextualSpacing/>
        <w:rPr>
          <w:rFonts w:eastAsia="Times New Roman"/>
          <w:spacing w:val="-3"/>
          <w:sz w:val="24"/>
          <w:szCs w:val="24"/>
          <w:lang w:eastAsia="zh-CN"/>
        </w:rPr>
      </w:pPr>
    </w:p>
    <w:p w:rsidR="00DB1F59" w:rsidRDefault="00DB1F59" w:rsidP="00DB1F59">
      <w:pPr>
        <w:tabs>
          <w:tab w:val="left" w:pos="1985"/>
        </w:tabs>
        <w:ind w:left="708"/>
        <w:contextualSpacing/>
        <w:rPr>
          <w:sz w:val="22"/>
          <w:szCs w:val="22"/>
        </w:rPr>
      </w:pPr>
      <w:r>
        <w:rPr>
          <w:sz w:val="22"/>
          <w:szCs w:val="22"/>
        </w:rPr>
        <w:t>(…) “</w:t>
      </w:r>
      <w:r w:rsidRPr="00DB1F59">
        <w:rPr>
          <w:sz w:val="22"/>
          <w:szCs w:val="22"/>
        </w:rPr>
        <w:t xml:space="preserve">ordene, a la Honorable Sección Segunda – Subsección B, que cese el trámite de recusaciones que ante ellos se ventila, y devuelva de manera inmediata el expediente, al despacho del Honorable Consejero CARLOS ENRIQUE MORENO RUBIO, </w:t>
      </w:r>
      <w:r w:rsidR="00A15127">
        <w:rPr>
          <w:sz w:val="22"/>
          <w:szCs w:val="22"/>
        </w:rPr>
        <w:t>p</w:t>
      </w:r>
      <w:r w:rsidRPr="00DB1F59">
        <w:rPr>
          <w:sz w:val="22"/>
          <w:szCs w:val="22"/>
        </w:rPr>
        <w:t xml:space="preserve">onente del proceso de nulidad electoral </w:t>
      </w:r>
      <w:r w:rsidR="00A15127">
        <w:rPr>
          <w:sz w:val="22"/>
          <w:szCs w:val="22"/>
        </w:rPr>
        <w:t>a</w:t>
      </w:r>
      <w:r w:rsidRPr="00DB1F59">
        <w:rPr>
          <w:sz w:val="22"/>
          <w:szCs w:val="22"/>
        </w:rPr>
        <w:t xml:space="preserve">cumulado 70001- 23-33-000-2020-00004-03, para que continúe con el trámite correspondiente del proceso de </w:t>
      </w:r>
      <w:r w:rsidRPr="00DB1F59">
        <w:rPr>
          <w:sz w:val="22"/>
          <w:szCs w:val="22"/>
        </w:rPr>
        <w:lastRenderedPageBreak/>
        <w:t>nulidad</w:t>
      </w:r>
      <w:r w:rsidR="00D66597">
        <w:rPr>
          <w:sz w:val="22"/>
          <w:szCs w:val="22"/>
        </w:rPr>
        <w:t xml:space="preserve"> </w:t>
      </w:r>
      <w:r w:rsidRPr="00DB1F59">
        <w:rPr>
          <w:sz w:val="22"/>
          <w:szCs w:val="22"/>
        </w:rPr>
        <w:t xml:space="preserve">electoral, seguido contra el recusante, tal como fue ordenado por providencia de </w:t>
      </w:r>
      <w:r w:rsidR="00A15127">
        <w:rPr>
          <w:sz w:val="22"/>
          <w:szCs w:val="22"/>
        </w:rPr>
        <w:t>n</w:t>
      </w:r>
      <w:r w:rsidRPr="00DB1F59">
        <w:rPr>
          <w:sz w:val="22"/>
          <w:szCs w:val="22"/>
        </w:rPr>
        <w:t>oviembre 11 de 2022 dictada por la Sala de lo Contencioso Administrativo Sección Primera, que confirmó como infundada, la recusación formulada en contra de los consejeros de la Sección Quinta del Consejo de Estado Pedro Pablo Vanegas Gil, Luis Alberto Álvarez Parra, Rocío Araujo Oñate y Carlos Enrique Moreno Rubio</w:t>
      </w:r>
      <w:r>
        <w:rPr>
          <w:sz w:val="22"/>
          <w:szCs w:val="22"/>
        </w:rPr>
        <w:t>”</w:t>
      </w:r>
      <w:r w:rsidR="00337A6F">
        <w:rPr>
          <w:rStyle w:val="Refdenotaalpie"/>
          <w:sz w:val="22"/>
          <w:szCs w:val="22"/>
        </w:rPr>
        <w:footnoteReference w:id="3"/>
      </w:r>
      <w:r>
        <w:rPr>
          <w:sz w:val="22"/>
          <w:szCs w:val="22"/>
        </w:rPr>
        <w:t xml:space="preserve">. </w:t>
      </w:r>
    </w:p>
    <w:p w:rsidR="0090648A" w:rsidRDefault="0090648A" w:rsidP="00DB1F59">
      <w:pPr>
        <w:tabs>
          <w:tab w:val="left" w:pos="1985"/>
        </w:tabs>
        <w:ind w:left="708"/>
        <w:contextualSpacing/>
        <w:rPr>
          <w:sz w:val="22"/>
          <w:szCs w:val="22"/>
        </w:rPr>
      </w:pPr>
    </w:p>
    <w:p w:rsidR="00D66597" w:rsidRDefault="003A77F7" w:rsidP="003A77F7">
      <w:pPr>
        <w:tabs>
          <w:tab w:val="left" w:pos="1985"/>
        </w:tabs>
        <w:contextualSpacing/>
        <w:rPr>
          <w:rFonts w:eastAsia="Times New Roman"/>
          <w:spacing w:val="-3"/>
          <w:sz w:val="24"/>
          <w:szCs w:val="24"/>
          <w:lang w:eastAsia="zh-CN"/>
        </w:rPr>
      </w:pPr>
      <w:r w:rsidRPr="003A77F7">
        <w:rPr>
          <w:rFonts w:eastAsia="Times New Roman"/>
          <w:spacing w:val="-3"/>
          <w:sz w:val="24"/>
          <w:szCs w:val="24"/>
          <w:lang w:eastAsia="zh-CN"/>
        </w:rPr>
        <w:t xml:space="preserve">Sustentó dicha medida </w:t>
      </w:r>
      <w:r>
        <w:rPr>
          <w:rFonts w:eastAsia="Times New Roman"/>
          <w:spacing w:val="-3"/>
          <w:sz w:val="24"/>
          <w:szCs w:val="24"/>
          <w:lang w:eastAsia="zh-CN"/>
        </w:rPr>
        <w:t>en la necesidad de obtener una decisión oportuna en la presente acción constitucional, toda vez que</w:t>
      </w:r>
      <w:r w:rsidR="00C50272">
        <w:rPr>
          <w:rFonts w:eastAsia="Times New Roman"/>
          <w:spacing w:val="-3"/>
          <w:sz w:val="24"/>
          <w:szCs w:val="24"/>
          <w:lang w:eastAsia="zh-CN"/>
        </w:rPr>
        <w:t>,</w:t>
      </w:r>
      <w:r>
        <w:rPr>
          <w:rFonts w:eastAsia="Times New Roman"/>
          <w:spacing w:val="-3"/>
          <w:sz w:val="24"/>
          <w:szCs w:val="24"/>
          <w:lang w:eastAsia="zh-CN"/>
        </w:rPr>
        <w:t xml:space="preserve"> de no ponerse fin a las persistentes dilaciones</w:t>
      </w:r>
      <w:r w:rsidR="008C7A63">
        <w:rPr>
          <w:rFonts w:eastAsia="Times New Roman"/>
          <w:spacing w:val="-3"/>
          <w:sz w:val="24"/>
          <w:szCs w:val="24"/>
          <w:lang w:eastAsia="zh-CN"/>
        </w:rPr>
        <w:t xml:space="preserve"> intencionales propuestas por Andrés Eduardo Gómez Martínez, se generaría la concreción de un perjuicio irremediable en su contra, al tornar en nugatorios los efectos materializados en la providencia del 23 de junio de 2022, en la que la Sección Quinta del Consejo de Estado </w:t>
      </w:r>
      <w:r w:rsidR="00876A58">
        <w:rPr>
          <w:rFonts w:eastAsia="Times New Roman"/>
          <w:spacing w:val="-3"/>
          <w:sz w:val="24"/>
          <w:szCs w:val="24"/>
          <w:lang w:eastAsia="zh-CN"/>
        </w:rPr>
        <w:t xml:space="preserve">anuló la elección. </w:t>
      </w:r>
    </w:p>
    <w:p w:rsidR="00876A58" w:rsidRDefault="00876A58" w:rsidP="003A77F7">
      <w:pPr>
        <w:tabs>
          <w:tab w:val="left" w:pos="1985"/>
        </w:tabs>
        <w:contextualSpacing/>
        <w:rPr>
          <w:rFonts w:eastAsia="Times New Roman"/>
          <w:spacing w:val="-3"/>
          <w:sz w:val="24"/>
          <w:szCs w:val="24"/>
          <w:lang w:eastAsia="zh-CN"/>
        </w:rPr>
      </w:pPr>
    </w:p>
    <w:p w:rsidR="00C50272" w:rsidRDefault="00C50272" w:rsidP="003A77F7">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En tales términos, puso de presente que la sentencia fechada 23 de junio de 2022 no ha podido ser ejecutada, como consecuencia de las </w:t>
      </w:r>
      <w:r w:rsidR="008A4E55">
        <w:rPr>
          <w:rFonts w:eastAsia="Times New Roman"/>
          <w:spacing w:val="-3"/>
          <w:sz w:val="24"/>
          <w:szCs w:val="24"/>
          <w:lang w:eastAsia="zh-CN"/>
        </w:rPr>
        <w:t xml:space="preserve">cinco </w:t>
      </w:r>
      <w:r>
        <w:rPr>
          <w:rFonts w:eastAsia="Times New Roman"/>
          <w:spacing w:val="-3"/>
          <w:sz w:val="24"/>
          <w:szCs w:val="24"/>
          <w:lang w:eastAsia="zh-CN"/>
        </w:rPr>
        <w:t xml:space="preserve">dilaciones injustificadas </w:t>
      </w:r>
      <w:r w:rsidR="008A4E55">
        <w:rPr>
          <w:rFonts w:eastAsia="Times New Roman"/>
          <w:spacing w:val="-3"/>
          <w:sz w:val="24"/>
          <w:szCs w:val="24"/>
          <w:lang w:eastAsia="zh-CN"/>
        </w:rPr>
        <w:t xml:space="preserve">que </w:t>
      </w:r>
      <w:r w:rsidR="00A51330">
        <w:rPr>
          <w:rFonts w:eastAsia="Times New Roman"/>
          <w:spacing w:val="-3"/>
          <w:sz w:val="24"/>
          <w:szCs w:val="24"/>
          <w:lang w:eastAsia="zh-CN"/>
        </w:rPr>
        <w:t xml:space="preserve">con su actuar ha promovido </w:t>
      </w:r>
      <w:r w:rsidR="008A4E55">
        <w:rPr>
          <w:rFonts w:eastAsia="Times New Roman"/>
          <w:spacing w:val="-3"/>
          <w:sz w:val="24"/>
          <w:szCs w:val="24"/>
          <w:lang w:eastAsia="zh-CN"/>
        </w:rPr>
        <w:t xml:space="preserve">el señor Gómez Martínez, cuestión que traería consigo que el citado siga recusando a la totalidad de los magistrados </w:t>
      </w:r>
      <w:r w:rsidR="00A51330">
        <w:rPr>
          <w:rFonts w:eastAsia="Times New Roman"/>
          <w:spacing w:val="-3"/>
          <w:sz w:val="24"/>
          <w:szCs w:val="24"/>
          <w:lang w:eastAsia="zh-CN"/>
        </w:rPr>
        <w:t xml:space="preserve">con la potencialidad de influir </w:t>
      </w:r>
      <w:r w:rsidR="008A4E55">
        <w:rPr>
          <w:rFonts w:eastAsia="Times New Roman"/>
          <w:spacing w:val="-3"/>
          <w:sz w:val="24"/>
          <w:szCs w:val="24"/>
          <w:lang w:eastAsia="zh-CN"/>
        </w:rPr>
        <w:t xml:space="preserve">en </w:t>
      </w:r>
      <w:r w:rsidR="0037062C">
        <w:rPr>
          <w:rFonts w:eastAsia="Times New Roman"/>
          <w:spacing w:val="-3"/>
          <w:sz w:val="24"/>
          <w:szCs w:val="24"/>
          <w:lang w:eastAsia="zh-CN"/>
        </w:rPr>
        <w:t xml:space="preserve">la </w:t>
      </w:r>
      <w:r w:rsidR="003912F4">
        <w:rPr>
          <w:rFonts w:eastAsia="Times New Roman"/>
          <w:spacing w:val="-3"/>
          <w:sz w:val="24"/>
          <w:szCs w:val="24"/>
          <w:lang w:eastAsia="zh-CN"/>
        </w:rPr>
        <w:t xml:space="preserve">materialización </w:t>
      </w:r>
      <w:r w:rsidR="0037062C">
        <w:rPr>
          <w:rFonts w:eastAsia="Times New Roman"/>
          <w:spacing w:val="-3"/>
          <w:sz w:val="24"/>
          <w:szCs w:val="24"/>
          <w:lang w:eastAsia="zh-CN"/>
        </w:rPr>
        <w:t xml:space="preserve">de la decisión que le puso fin al proceso electoral, manteniéndose en el cargo frente al que fue desvinculado hasta la terminación de su período el 31 de diciembre del año en curso. </w:t>
      </w:r>
    </w:p>
    <w:p w:rsidR="005C068E" w:rsidRDefault="005C068E" w:rsidP="003A77F7">
      <w:pPr>
        <w:tabs>
          <w:tab w:val="left" w:pos="1985"/>
        </w:tabs>
        <w:contextualSpacing/>
        <w:rPr>
          <w:rFonts w:eastAsia="Times New Roman"/>
          <w:spacing w:val="-3"/>
          <w:sz w:val="24"/>
          <w:szCs w:val="24"/>
          <w:lang w:eastAsia="zh-CN"/>
        </w:rPr>
      </w:pPr>
    </w:p>
    <w:p w:rsidR="005C068E" w:rsidRDefault="005C068E" w:rsidP="005C068E">
      <w:pPr>
        <w:tabs>
          <w:tab w:val="left" w:pos="1985"/>
        </w:tabs>
        <w:contextualSpacing/>
        <w:jc w:val="center"/>
        <w:rPr>
          <w:rFonts w:eastAsia="Times New Roman"/>
          <w:b/>
          <w:spacing w:val="-3"/>
          <w:sz w:val="24"/>
          <w:szCs w:val="24"/>
          <w:lang w:eastAsia="zh-CN"/>
        </w:rPr>
      </w:pPr>
      <w:r w:rsidRPr="005C068E">
        <w:rPr>
          <w:rFonts w:eastAsia="Times New Roman"/>
          <w:b/>
          <w:spacing w:val="-3"/>
          <w:sz w:val="24"/>
          <w:szCs w:val="24"/>
          <w:lang w:eastAsia="zh-CN"/>
        </w:rPr>
        <w:t>II. CONSIDERACIONES</w:t>
      </w:r>
    </w:p>
    <w:p w:rsidR="005C068E" w:rsidRDefault="005C068E" w:rsidP="005C068E">
      <w:pPr>
        <w:tabs>
          <w:tab w:val="left" w:pos="1985"/>
        </w:tabs>
        <w:contextualSpacing/>
        <w:jc w:val="center"/>
        <w:rPr>
          <w:rFonts w:eastAsia="Times New Roman"/>
          <w:spacing w:val="-3"/>
          <w:sz w:val="24"/>
          <w:szCs w:val="24"/>
          <w:lang w:eastAsia="zh-CN"/>
        </w:rPr>
      </w:pPr>
    </w:p>
    <w:p w:rsidR="005C068E" w:rsidRDefault="005C068E" w:rsidP="005C068E">
      <w:pPr>
        <w:tabs>
          <w:tab w:val="left" w:pos="1985"/>
        </w:tabs>
        <w:contextualSpacing/>
        <w:rPr>
          <w:rFonts w:eastAsia="Times New Roman"/>
          <w:spacing w:val="-3"/>
          <w:sz w:val="24"/>
          <w:szCs w:val="24"/>
          <w:lang w:eastAsia="zh-CN"/>
        </w:rPr>
      </w:pPr>
      <w:r w:rsidRPr="005C068E">
        <w:rPr>
          <w:rFonts w:eastAsia="Times New Roman"/>
          <w:b/>
          <w:spacing w:val="-3"/>
          <w:sz w:val="24"/>
          <w:szCs w:val="24"/>
          <w:lang w:eastAsia="zh-CN"/>
        </w:rPr>
        <w:t xml:space="preserve">2.2. </w:t>
      </w:r>
      <w:r>
        <w:rPr>
          <w:rFonts w:eastAsia="Times New Roman"/>
          <w:b/>
          <w:spacing w:val="-3"/>
          <w:sz w:val="24"/>
          <w:szCs w:val="24"/>
          <w:lang w:eastAsia="zh-CN"/>
        </w:rPr>
        <w:t xml:space="preserve">Competencia </w:t>
      </w:r>
    </w:p>
    <w:p w:rsidR="005C068E" w:rsidRDefault="005C068E" w:rsidP="005C068E">
      <w:pPr>
        <w:tabs>
          <w:tab w:val="left" w:pos="1985"/>
        </w:tabs>
        <w:contextualSpacing/>
        <w:rPr>
          <w:rFonts w:eastAsia="Times New Roman"/>
          <w:spacing w:val="-3"/>
          <w:sz w:val="24"/>
          <w:szCs w:val="24"/>
          <w:lang w:eastAsia="zh-CN"/>
        </w:rPr>
      </w:pPr>
    </w:p>
    <w:p w:rsidR="005C068E" w:rsidRDefault="005C068E" w:rsidP="005C068E">
      <w:pPr>
        <w:overflowPunct w:val="0"/>
        <w:autoSpaceDE w:val="0"/>
        <w:autoSpaceDN w:val="0"/>
        <w:adjustRightInd w:val="0"/>
        <w:textAlignment w:val="baseline"/>
        <w:rPr>
          <w:rFonts w:eastAsia="Times New Roman"/>
          <w:sz w:val="24"/>
          <w:szCs w:val="24"/>
          <w:lang w:val="es-ES_tradnl" w:eastAsia="es-ES"/>
        </w:rPr>
      </w:pPr>
      <w:r>
        <w:rPr>
          <w:rFonts w:eastAsia="Times New Roman"/>
          <w:sz w:val="24"/>
          <w:szCs w:val="24"/>
          <w:lang w:val="es-ES_tradnl" w:eastAsia="es-ES"/>
        </w:rPr>
        <w:t xml:space="preserve">Este Despacho tiene competencia para conocer del asunto de la referencia, en virtud de lo dispuesto en el artículo 86 Superior y 37 del Decreto 2591 de 1991. </w:t>
      </w:r>
    </w:p>
    <w:p w:rsidR="005C068E" w:rsidRDefault="005C068E" w:rsidP="005C068E">
      <w:pPr>
        <w:tabs>
          <w:tab w:val="left" w:pos="1985"/>
        </w:tabs>
        <w:contextualSpacing/>
        <w:rPr>
          <w:rFonts w:eastAsia="Times New Roman"/>
          <w:spacing w:val="-3"/>
          <w:sz w:val="24"/>
          <w:szCs w:val="24"/>
          <w:lang w:eastAsia="zh-CN"/>
        </w:rPr>
      </w:pPr>
    </w:p>
    <w:p w:rsidR="005C068E" w:rsidRPr="005C068E" w:rsidRDefault="005C068E" w:rsidP="005C068E">
      <w:pPr>
        <w:tabs>
          <w:tab w:val="left" w:pos="1985"/>
        </w:tabs>
        <w:contextualSpacing/>
        <w:rPr>
          <w:rFonts w:eastAsia="Times New Roman"/>
          <w:spacing w:val="-3"/>
          <w:sz w:val="24"/>
          <w:szCs w:val="24"/>
          <w:lang w:eastAsia="zh-CN"/>
        </w:rPr>
      </w:pPr>
      <w:r w:rsidRPr="005C068E">
        <w:rPr>
          <w:rFonts w:eastAsia="Times New Roman"/>
          <w:b/>
          <w:spacing w:val="-3"/>
          <w:sz w:val="24"/>
          <w:szCs w:val="24"/>
          <w:lang w:eastAsia="zh-CN"/>
        </w:rPr>
        <w:t xml:space="preserve">2.2. Medida provisional </w:t>
      </w:r>
    </w:p>
    <w:p w:rsidR="00A873F4" w:rsidRPr="00B2072B" w:rsidRDefault="00D53083" w:rsidP="00A873F4">
      <w:pPr>
        <w:tabs>
          <w:tab w:val="left" w:pos="1985"/>
        </w:tabs>
        <w:spacing w:before="240" w:after="240"/>
        <w:rPr>
          <w:sz w:val="24"/>
          <w:szCs w:val="24"/>
          <w:lang w:val="es-ES"/>
        </w:rPr>
      </w:pPr>
      <w:r>
        <w:rPr>
          <w:sz w:val="24"/>
          <w:szCs w:val="24"/>
          <w:lang w:val="es-ES_tradnl"/>
        </w:rPr>
        <w:t xml:space="preserve">Para resolver sobre esta solicitud, es preciso tener presente que el </w:t>
      </w:r>
      <w:r w:rsidR="00A873F4" w:rsidRPr="00B2072B">
        <w:rPr>
          <w:sz w:val="24"/>
          <w:szCs w:val="24"/>
          <w:lang w:val="es-ES_tradnl"/>
        </w:rPr>
        <w:t xml:space="preserve">Decreto 2591 de 1991, </w:t>
      </w:r>
      <w:r w:rsidR="00A873F4" w:rsidRPr="00B2072B">
        <w:rPr>
          <w:sz w:val="24"/>
          <w:szCs w:val="24"/>
          <w:lang w:val="es-ES"/>
        </w:rPr>
        <w:t xml:space="preserve">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rsidR="000245D4" w:rsidRDefault="00A873F4" w:rsidP="00A873F4">
      <w:pPr>
        <w:tabs>
          <w:tab w:val="left" w:pos="1985"/>
        </w:tabs>
        <w:spacing w:before="240" w:after="240"/>
        <w:rPr>
          <w:sz w:val="24"/>
          <w:szCs w:val="24"/>
        </w:rPr>
      </w:pPr>
      <w:r w:rsidRPr="00B2072B">
        <w:rPr>
          <w:sz w:val="24"/>
          <w:szCs w:val="24"/>
          <w:lang w:val="es-E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En esta medida, la jurisprudencia constitucional ha definido que las medidas provisionales deben cumplir con tres exigencias</w:t>
      </w:r>
      <w:r w:rsidRPr="00B2072B">
        <w:rPr>
          <w:rStyle w:val="Refdenotaalpie"/>
          <w:sz w:val="24"/>
          <w:szCs w:val="24"/>
          <w:lang w:val="es-ES"/>
        </w:rPr>
        <w:footnoteReference w:id="4"/>
      </w:r>
      <w:r w:rsidRPr="00B2072B">
        <w:rPr>
          <w:sz w:val="24"/>
          <w:szCs w:val="24"/>
          <w:lang w:val="es-ES"/>
        </w:rPr>
        <w:t>, a saber: i) “</w:t>
      </w:r>
      <w:r w:rsidRPr="00B2072B">
        <w:rPr>
          <w:sz w:val="24"/>
          <w:szCs w:val="24"/>
        </w:rPr>
        <w:t>vocación de viabilidad por estar respaldada en fundamentos fácticos y jurídicos razonables”</w:t>
      </w:r>
      <w:r w:rsidRPr="00B2072B">
        <w:rPr>
          <w:rStyle w:val="Refdenotaalpie"/>
          <w:sz w:val="24"/>
          <w:szCs w:val="24"/>
        </w:rPr>
        <w:footnoteReference w:id="5"/>
      </w:r>
      <w:r w:rsidRPr="00B2072B">
        <w:rPr>
          <w:sz w:val="24"/>
          <w:szCs w:val="24"/>
          <w:lang w:val="es-ES"/>
        </w:rPr>
        <w:t xml:space="preserve">, para que “el juez pueda inferir, al menos, </w:t>
      </w:r>
      <w:r w:rsidRPr="00B2072B">
        <w:rPr>
          <w:i/>
          <w:iCs/>
          <w:sz w:val="24"/>
          <w:szCs w:val="24"/>
          <w:lang w:val="es-ES"/>
        </w:rPr>
        <w:t>prima facie</w:t>
      </w:r>
      <w:r w:rsidRPr="00B2072B">
        <w:rPr>
          <w:sz w:val="24"/>
          <w:szCs w:val="24"/>
          <w:lang w:val="es-ES"/>
        </w:rPr>
        <w:t>, algún grado de afectación del derecho”</w:t>
      </w:r>
      <w:r w:rsidRPr="00B2072B">
        <w:rPr>
          <w:rStyle w:val="Refdenotaalpie"/>
          <w:sz w:val="24"/>
          <w:szCs w:val="24"/>
          <w:lang w:val="es-ES"/>
        </w:rPr>
        <w:footnoteReference w:id="6"/>
      </w:r>
      <w:r w:rsidRPr="00B2072B">
        <w:rPr>
          <w:sz w:val="24"/>
          <w:szCs w:val="24"/>
          <w:lang w:val="es-ES"/>
        </w:rPr>
        <w:t>; ii) “</w:t>
      </w:r>
      <w:r w:rsidRPr="00B2072B">
        <w:rPr>
          <w:sz w:val="24"/>
          <w:szCs w:val="24"/>
        </w:rPr>
        <w:t>que exista un riesgo de afectación por la demora en el tiempo”</w:t>
      </w:r>
      <w:r w:rsidRPr="00B2072B">
        <w:rPr>
          <w:rStyle w:val="Refdenotaalpie"/>
          <w:sz w:val="24"/>
          <w:szCs w:val="24"/>
        </w:rPr>
        <w:footnoteReference w:id="7"/>
      </w:r>
      <w:r w:rsidR="00A81B77">
        <w:rPr>
          <w:sz w:val="24"/>
          <w:szCs w:val="24"/>
        </w:rPr>
        <w:t xml:space="preserve"> (</w:t>
      </w:r>
      <w:r w:rsidR="00A81B77" w:rsidRPr="00A81B77">
        <w:rPr>
          <w:i/>
          <w:sz w:val="24"/>
          <w:szCs w:val="24"/>
        </w:rPr>
        <w:t>periculum in mora)</w:t>
      </w:r>
      <w:r w:rsidR="00A81B77">
        <w:rPr>
          <w:sz w:val="24"/>
          <w:szCs w:val="24"/>
        </w:rPr>
        <w:t xml:space="preserve"> </w:t>
      </w:r>
      <w:r w:rsidRPr="00B2072B">
        <w:rPr>
          <w:sz w:val="24"/>
          <w:szCs w:val="24"/>
        </w:rPr>
        <w:t>; y iii) “que la medida provisional no genere un daño desproporcionado a quien afecta directamente”</w:t>
      </w:r>
      <w:r w:rsidRPr="00B2072B">
        <w:rPr>
          <w:rStyle w:val="Refdenotaalpie"/>
          <w:sz w:val="24"/>
          <w:szCs w:val="24"/>
        </w:rPr>
        <w:footnoteReference w:id="8"/>
      </w:r>
      <w:r w:rsidRPr="00B2072B">
        <w:rPr>
          <w:sz w:val="24"/>
          <w:szCs w:val="24"/>
        </w:rPr>
        <w:t>.</w:t>
      </w:r>
      <w:r w:rsidR="00B044B5">
        <w:rPr>
          <w:sz w:val="24"/>
          <w:szCs w:val="24"/>
        </w:rPr>
        <w:t xml:space="preserve"> </w:t>
      </w:r>
    </w:p>
    <w:p w:rsidR="00BC528B" w:rsidRDefault="00D53083" w:rsidP="003A77F7">
      <w:pPr>
        <w:tabs>
          <w:tab w:val="left" w:pos="1985"/>
        </w:tabs>
        <w:contextualSpacing/>
        <w:rPr>
          <w:sz w:val="24"/>
          <w:szCs w:val="24"/>
        </w:rPr>
      </w:pPr>
      <w:r>
        <w:rPr>
          <w:sz w:val="24"/>
          <w:szCs w:val="24"/>
        </w:rPr>
        <w:t>En el caso bajo estudio</w:t>
      </w:r>
      <w:r w:rsidR="00626BC4">
        <w:rPr>
          <w:sz w:val="24"/>
          <w:szCs w:val="24"/>
        </w:rPr>
        <w:t xml:space="preserve">, </w:t>
      </w:r>
      <w:r w:rsidR="00626BC4" w:rsidRPr="00626BC4">
        <w:rPr>
          <w:sz w:val="24"/>
          <w:szCs w:val="24"/>
        </w:rPr>
        <w:t>Elkin</w:t>
      </w:r>
      <w:r w:rsidR="00626BC4">
        <w:rPr>
          <w:sz w:val="24"/>
          <w:szCs w:val="24"/>
        </w:rPr>
        <w:t xml:space="preserve"> </w:t>
      </w:r>
      <w:r w:rsidR="00BC4692">
        <w:rPr>
          <w:sz w:val="24"/>
          <w:szCs w:val="24"/>
        </w:rPr>
        <w:t xml:space="preserve">Enrique </w:t>
      </w:r>
      <w:r w:rsidR="00626BC4">
        <w:rPr>
          <w:sz w:val="24"/>
          <w:szCs w:val="24"/>
        </w:rPr>
        <w:t xml:space="preserve">Díaz Camacho sustentó la viabilidad de la medida provisional, primordialmente, en los efectos nugatorios que traería </w:t>
      </w:r>
      <w:r w:rsidR="00BC528B">
        <w:rPr>
          <w:sz w:val="24"/>
          <w:szCs w:val="24"/>
        </w:rPr>
        <w:t xml:space="preserve">no </w:t>
      </w:r>
      <w:r w:rsidR="00415E6B">
        <w:rPr>
          <w:sz w:val="24"/>
          <w:szCs w:val="24"/>
        </w:rPr>
        <w:t>decretarla para</w:t>
      </w:r>
      <w:r w:rsidR="00BC528B">
        <w:rPr>
          <w:sz w:val="24"/>
          <w:szCs w:val="24"/>
        </w:rPr>
        <w:t xml:space="preserve"> la sentencia </w:t>
      </w:r>
      <w:r w:rsidR="00415E6B">
        <w:rPr>
          <w:sz w:val="24"/>
          <w:szCs w:val="24"/>
        </w:rPr>
        <w:t xml:space="preserve">electoral </w:t>
      </w:r>
      <w:r w:rsidR="00BC528B">
        <w:rPr>
          <w:sz w:val="24"/>
          <w:szCs w:val="24"/>
        </w:rPr>
        <w:t>del 23 de junio de 2022, en la medida en que el trámite de recusaciones posterior a la providencia</w:t>
      </w:r>
      <w:r w:rsidR="00415E6B">
        <w:rPr>
          <w:sz w:val="24"/>
          <w:szCs w:val="24"/>
        </w:rPr>
        <w:t>, h</w:t>
      </w:r>
      <w:r w:rsidR="00BC528B">
        <w:rPr>
          <w:sz w:val="24"/>
          <w:szCs w:val="24"/>
        </w:rPr>
        <w:t>a impedido la ejecutor</w:t>
      </w:r>
      <w:r w:rsidR="00315CE8">
        <w:rPr>
          <w:sz w:val="24"/>
          <w:szCs w:val="24"/>
        </w:rPr>
        <w:t>ia</w:t>
      </w:r>
      <w:r w:rsidR="00BC528B">
        <w:rPr>
          <w:sz w:val="24"/>
          <w:szCs w:val="24"/>
        </w:rPr>
        <w:t xml:space="preserve"> de esta última</w:t>
      </w:r>
      <w:r w:rsidR="00472AA0">
        <w:rPr>
          <w:sz w:val="24"/>
          <w:szCs w:val="24"/>
        </w:rPr>
        <w:t xml:space="preserve">, lo que </w:t>
      </w:r>
      <w:r w:rsidR="00936111">
        <w:rPr>
          <w:sz w:val="24"/>
          <w:szCs w:val="24"/>
        </w:rPr>
        <w:t xml:space="preserve">incidiría en </w:t>
      </w:r>
      <w:r w:rsidR="00472AA0">
        <w:rPr>
          <w:sz w:val="24"/>
          <w:szCs w:val="24"/>
        </w:rPr>
        <w:t xml:space="preserve">la postergación por parte de Andrés Eduardo Gómez Martínez en su cargo de alcalde hasta la terminación de su período el 31 de diciembre de 2023. </w:t>
      </w:r>
    </w:p>
    <w:p w:rsidR="00BC528B" w:rsidRDefault="00BC528B" w:rsidP="003A77F7">
      <w:pPr>
        <w:tabs>
          <w:tab w:val="left" w:pos="1985"/>
        </w:tabs>
        <w:contextualSpacing/>
        <w:rPr>
          <w:sz w:val="24"/>
          <w:szCs w:val="24"/>
        </w:rPr>
      </w:pPr>
    </w:p>
    <w:p w:rsidR="00DC430D" w:rsidRDefault="00BC528B" w:rsidP="003A77F7">
      <w:pPr>
        <w:tabs>
          <w:tab w:val="left" w:pos="1985"/>
        </w:tabs>
        <w:contextualSpacing/>
        <w:rPr>
          <w:rFonts w:eastAsia="Times New Roman"/>
          <w:spacing w:val="-3"/>
          <w:sz w:val="24"/>
          <w:szCs w:val="24"/>
          <w:lang w:eastAsia="zh-CN"/>
        </w:rPr>
      </w:pPr>
      <w:r>
        <w:rPr>
          <w:rFonts w:eastAsia="Times New Roman"/>
          <w:spacing w:val="-3"/>
          <w:sz w:val="24"/>
          <w:szCs w:val="24"/>
          <w:lang w:eastAsia="zh-CN"/>
        </w:rPr>
        <w:t>F</w:t>
      </w:r>
      <w:r w:rsidR="00FA518F">
        <w:rPr>
          <w:rFonts w:eastAsia="Times New Roman"/>
          <w:spacing w:val="-3"/>
          <w:sz w:val="24"/>
          <w:szCs w:val="24"/>
          <w:lang w:eastAsia="zh-CN"/>
        </w:rPr>
        <w:t xml:space="preserve">rente a lo referido, el suscrito magistrado considera que existió una carga mínima de sustentación en torno a </w:t>
      </w:r>
      <w:r w:rsidR="00936111">
        <w:rPr>
          <w:rFonts w:eastAsia="Times New Roman"/>
          <w:spacing w:val="-3"/>
          <w:sz w:val="24"/>
          <w:szCs w:val="24"/>
          <w:lang w:eastAsia="zh-CN"/>
        </w:rPr>
        <w:t xml:space="preserve">la </w:t>
      </w:r>
      <w:r w:rsidR="00FA518F">
        <w:rPr>
          <w:rFonts w:eastAsia="Times New Roman"/>
          <w:spacing w:val="-3"/>
          <w:sz w:val="24"/>
          <w:szCs w:val="24"/>
          <w:lang w:eastAsia="zh-CN"/>
        </w:rPr>
        <w:t xml:space="preserve">fundamentación fáctica y jurídica </w:t>
      </w:r>
      <w:r w:rsidR="00B701B3">
        <w:rPr>
          <w:rFonts w:eastAsia="Times New Roman"/>
          <w:spacing w:val="-3"/>
          <w:sz w:val="24"/>
          <w:szCs w:val="24"/>
          <w:lang w:eastAsia="zh-CN"/>
        </w:rPr>
        <w:t xml:space="preserve">de la </w:t>
      </w:r>
      <w:r w:rsidR="00FA518F">
        <w:rPr>
          <w:rFonts w:eastAsia="Times New Roman"/>
          <w:spacing w:val="-3"/>
          <w:sz w:val="24"/>
          <w:szCs w:val="24"/>
          <w:lang w:eastAsia="zh-CN"/>
        </w:rPr>
        <w:t xml:space="preserve">solicitud de la medida, lo que lo imposibilita advertir, </w:t>
      </w:r>
      <w:r w:rsidR="00FA518F" w:rsidRPr="00FA518F">
        <w:rPr>
          <w:rFonts w:eastAsia="Times New Roman"/>
          <w:i/>
          <w:spacing w:val="-3"/>
          <w:sz w:val="24"/>
          <w:szCs w:val="24"/>
          <w:lang w:eastAsia="zh-CN"/>
        </w:rPr>
        <w:t>prima facie</w:t>
      </w:r>
      <w:r w:rsidR="00FA518F">
        <w:rPr>
          <w:rFonts w:eastAsia="Times New Roman"/>
          <w:spacing w:val="-3"/>
          <w:sz w:val="24"/>
          <w:szCs w:val="24"/>
          <w:lang w:eastAsia="zh-CN"/>
        </w:rPr>
        <w:t xml:space="preserve">, un grado de afectación </w:t>
      </w:r>
      <w:r w:rsidR="00B701B3">
        <w:rPr>
          <w:rFonts w:eastAsia="Times New Roman"/>
          <w:spacing w:val="-3"/>
          <w:sz w:val="24"/>
          <w:szCs w:val="24"/>
          <w:lang w:eastAsia="zh-CN"/>
        </w:rPr>
        <w:t xml:space="preserve">de </w:t>
      </w:r>
      <w:r w:rsidR="00936111">
        <w:rPr>
          <w:rFonts w:eastAsia="Times New Roman"/>
          <w:spacing w:val="-3"/>
          <w:sz w:val="24"/>
          <w:szCs w:val="24"/>
          <w:lang w:eastAsia="zh-CN"/>
        </w:rPr>
        <w:t xml:space="preserve">los derechos fundamentales de la parte actora. </w:t>
      </w:r>
    </w:p>
    <w:p w:rsidR="00936111" w:rsidRDefault="00936111" w:rsidP="003A77F7">
      <w:pPr>
        <w:tabs>
          <w:tab w:val="left" w:pos="1985"/>
        </w:tabs>
        <w:contextualSpacing/>
        <w:rPr>
          <w:rFonts w:eastAsia="Times New Roman"/>
          <w:spacing w:val="-3"/>
          <w:sz w:val="24"/>
          <w:szCs w:val="24"/>
          <w:lang w:eastAsia="zh-CN"/>
        </w:rPr>
      </w:pPr>
    </w:p>
    <w:p w:rsidR="00DC430D" w:rsidRDefault="00DC430D" w:rsidP="003A77F7">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Lo anterior, deviene como consecuencia de que el señor Díaz Camacho </w:t>
      </w:r>
      <w:r w:rsidR="00EE13C4">
        <w:rPr>
          <w:rFonts w:eastAsia="Times New Roman"/>
          <w:spacing w:val="-3"/>
          <w:sz w:val="24"/>
          <w:szCs w:val="24"/>
          <w:lang w:eastAsia="zh-CN"/>
        </w:rPr>
        <w:t xml:space="preserve">no estableció una relación </w:t>
      </w:r>
      <w:r w:rsidR="00472AA0">
        <w:rPr>
          <w:rFonts w:eastAsia="Times New Roman"/>
          <w:spacing w:val="-3"/>
          <w:sz w:val="24"/>
          <w:szCs w:val="24"/>
          <w:lang w:eastAsia="zh-CN"/>
        </w:rPr>
        <w:t xml:space="preserve">entre la </w:t>
      </w:r>
      <w:r w:rsidR="0023585B">
        <w:rPr>
          <w:rFonts w:eastAsia="Times New Roman"/>
          <w:spacing w:val="-3"/>
          <w:sz w:val="24"/>
          <w:szCs w:val="24"/>
          <w:lang w:eastAsia="zh-CN"/>
        </w:rPr>
        <w:t xml:space="preserve">continuación en el </w:t>
      </w:r>
      <w:r w:rsidR="00472AA0">
        <w:rPr>
          <w:rFonts w:eastAsia="Times New Roman"/>
          <w:spacing w:val="-3"/>
          <w:sz w:val="24"/>
          <w:szCs w:val="24"/>
          <w:lang w:eastAsia="zh-CN"/>
        </w:rPr>
        <w:t>cargo de</w:t>
      </w:r>
      <w:r w:rsidR="0023585B">
        <w:rPr>
          <w:rFonts w:eastAsia="Times New Roman"/>
          <w:spacing w:val="-3"/>
          <w:sz w:val="24"/>
          <w:szCs w:val="24"/>
          <w:lang w:eastAsia="zh-CN"/>
        </w:rPr>
        <w:t>l alcalde</w:t>
      </w:r>
      <w:r w:rsidR="00472AA0">
        <w:rPr>
          <w:rFonts w:eastAsia="Times New Roman"/>
          <w:spacing w:val="-3"/>
          <w:sz w:val="24"/>
          <w:szCs w:val="24"/>
          <w:lang w:eastAsia="zh-CN"/>
        </w:rPr>
        <w:t xml:space="preserve"> Andrés Eduardo Gómez Martínez y la afectación inminente </w:t>
      </w:r>
      <w:r w:rsidR="0023585B">
        <w:rPr>
          <w:rFonts w:eastAsia="Times New Roman"/>
          <w:spacing w:val="-3"/>
          <w:sz w:val="24"/>
          <w:szCs w:val="24"/>
          <w:lang w:eastAsia="zh-CN"/>
        </w:rPr>
        <w:t xml:space="preserve">de </w:t>
      </w:r>
      <w:r w:rsidR="00472AA0">
        <w:rPr>
          <w:rFonts w:eastAsia="Times New Roman"/>
          <w:spacing w:val="-3"/>
          <w:sz w:val="24"/>
          <w:szCs w:val="24"/>
          <w:lang w:eastAsia="zh-CN"/>
        </w:rPr>
        <w:t>sus</w:t>
      </w:r>
      <w:r w:rsidR="00936111">
        <w:rPr>
          <w:rFonts w:eastAsia="Times New Roman"/>
          <w:spacing w:val="-3"/>
          <w:sz w:val="24"/>
          <w:szCs w:val="24"/>
          <w:lang w:eastAsia="zh-CN"/>
        </w:rPr>
        <w:t xml:space="preserve"> </w:t>
      </w:r>
      <w:r w:rsidR="00936111" w:rsidRPr="00936111">
        <w:rPr>
          <w:rFonts w:eastAsia="Times New Roman"/>
          <w:i/>
          <w:spacing w:val="-3"/>
          <w:sz w:val="24"/>
          <w:szCs w:val="24"/>
          <w:lang w:eastAsia="zh-CN"/>
        </w:rPr>
        <w:t xml:space="preserve">garantías </w:t>
      </w:r>
      <w:proofErr w:type="spellStart"/>
      <w:r w:rsidR="00936111" w:rsidRPr="00936111">
        <w:rPr>
          <w:rFonts w:eastAsia="Times New Roman"/>
          <w:i/>
          <w:spacing w:val="-3"/>
          <w:sz w:val="24"/>
          <w:szCs w:val="24"/>
          <w:lang w:eastAsia="zh-CN"/>
        </w:rPr>
        <w:t>iusfundamentales</w:t>
      </w:r>
      <w:proofErr w:type="spellEnd"/>
      <w:r w:rsidR="00472AA0">
        <w:rPr>
          <w:rFonts w:eastAsia="Times New Roman"/>
          <w:spacing w:val="-3"/>
          <w:sz w:val="24"/>
          <w:szCs w:val="24"/>
          <w:lang w:eastAsia="zh-CN"/>
        </w:rPr>
        <w:t xml:space="preserve">, a partir de una advertencia frente a la existencia de un perjuicio irremediable en su persona como titular de los derechos </w:t>
      </w:r>
      <w:r w:rsidR="00950279">
        <w:rPr>
          <w:rFonts w:eastAsia="Times New Roman"/>
          <w:spacing w:val="-3"/>
          <w:sz w:val="24"/>
          <w:szCs w:val="24"/>
          <w:lang w:eastAsia="zh-CN"/>
        </w:rPr>
        <w:t>constitucionales</w:t>
      </w:r>
      <w:r w:rsidR="00472AA0">
        <w:rPr>
          <w:rFonts w:eastAsia="Times New Roman"/>
          <w:spacing w:val="-3"/>
          <w:sz w:val="24"/>
          <w:szCs w:val="24"/>
          <w:lang w:eastAsia="zh-CN"/>
        </w:rPr>
        <w:t xml:space="preserve"> que adujo </w:t>
      </w:r>
      <w:r w:rsidR="001444DF">
        <w:rPr>
          <w:rFonts w:eastAsia="Times New Roman"/>
          <w:spacing w:val="-3"/>
          <w:sz w:val="24"/>
          <w:szCs w:val="24"/>
          <w:lang w:eastAsia="zh-CN"/>
        </w:rPr>
        <w:t xml:space="preserve">como </w:t>
      </w:r>
      <w:r w:rsidR="00472AA0">
        <w:rPr>
          <w:rFonts w:eastAsia="Times New Roman"/>
          <w:spacing w:val="-3"/>
          <w:sz w:val="24"/>
          <w:szCs w:val="24"/>
          <w:lang w:eastAsia="zh-CN"/>
        </w:rPr>
        <w:t xml:space="preserve">desconocidos. </w:t>
      </w:r>
    </w:p>
    <w:p w:rsidR="00F66018" w:rsidRDefault="00F66018" w:rsidP="003A77F7">
      <w:pPr>
        <w:tabs>
          <w:tab w:val="left" w:pos="1985"/>
        </w:tabs>
        <w:contextualSpacing/>
        <w:rPr>
          <w:rFonts w:eastAsia="Times New Roman"/>
          <w:spacing w:val="-3"/>
          <w:sz w:val="24"/>
          <w:szCs w:val="24"/>
          <w:lang w:eastAsia="zh-CN"/>
        </w:rPr>
      </w:pPr>
    </w:p>
    <w:p w:rsidR="0023585B" w:rsidRDefault="00F66018" w:rsidP="0023585B">
      <w:pPr>
        <w:tabs>
          <w:tab w:val="left" w:pos="1985"/>
        </w:tabs>
        <w:contextualSpacing/>
        <w:rPr>
          <w:rFonts w:eastAsia="Times New Roman"/>
          <w:spacing w:val="-3"/>
          <w:sz w:val="24"/>
          <w:szCs w:val="24"/>
          <w:lang w:eastAsia="zh-CN"/>
        </w:rPr>
      </w:pPr>
      <w:r>
        <w:rPr>
          <w:rFonts w:eastAsia="Times New Roman"/>
          <w:spacing w:val="-3"/>
          <w:sz w:val="24"/>
          <w:szCs w:val="24"/>
          <w:lang w:eastAsia="zh-CN"/>
        </w:rPr>
        <w:t>Sumado a ello, la determinación concreta en torno a la ejecutoria de la providencia del 23 de junio de 2022 es un asunto que amerita un estudio minucioso del expediente electoral, por lo que frente a dich</w:t>
      </w:r>
      <w:r w:rsidR="0023585B">
        <w:rPr>
          <w:rFonts w:eastAsia="Times New Roman"/>
          <w:spacing w:val="-3"/>
          <w:sz w:val="24"/>
          <w:szCs w:val="24"/>
          <w:lang w:eastAsia="zh-CN"/>
        </w:rPr>
        <w:t xml:space="preserve">o asunto </w:t>
      </w:r>
      <w:r>
        <w:rPr>
          <w:rFonts w:eastAsia="Times New Roman"/>
          <w:spacing w:val="-3"/>
          <w:sz w:val="24"/>
          <w:szCs w:val="24"/>
          <w:lang w:eastAsia="zh-CN"/>
        </w:rPr>
        <w:t xml:space="preserve">se pronunciará </w:t>
      </w:r>
      <w:r w:rsidR="009F7BD7">
        <w:rPr>
          <w:rFonts w:eastAsia="Times New Roman"/>
          <w:spacing w:val="-3"/>
          <w:sz w:val="24"/>
          <w:szCs w:val="24"/>
          <w:lang w:eastAsia="zh-CN"/>
        </w:rPr>
        <w:t xml:space="preserve">la Sala que integra </w:t>
      </w:r>
      <w:r>
        <w:rPr>
          <w:rFonts w:eastAsia="Times New Roman"/>
          <w:spacing w:val="-3"/>
          <w:sz w:val="24"/>
          <w:szCs w:val="24"/>
          <w:lang w:eastAsia="zh-CN"/>
        </w:rPr>
        <w:t>el suscrito magistrado al resolver de fondo la controversia sometida a su consideración</w:t>
      </w:r>
      <w:r w:rsidR="0023585B">
        <w:rPr>
          <w:rFonts w:eastAsia="Times New Roman"/>
          <w:spacing w:val="-3"/>
          <w:sz w:val="24"/>
          <w:szCs w:val="24"/>
          <w:lang w:eastAsia="zh-CN"/>
        </w:rPr>
        <w:t xml:space="preserve">. </w:t>
      </w:r>
    </w:p>
    <w:p w:rsidR="0023585B" w:rsidRDefault="0023585B" w:rsidP="0023585B">
      <w:pPr>
        <w:tabs>
          <w:tab w:val="left" w:pos="1985"/>
        </w:tabs>
        <w:contextualSpacing/>
        <w:rPr>
          <w:rFonts w:eastAsia="Times New Roman"/>
          <w:spacing w:val="-3"/>
          <w:sz w:val="24"/>
          <w:szCs w:val="24"/>
          <w:lang w:eastAsia="zh-CN"/>
        </w:rPr>
      </w:pPr>
    </w:p>
    <w:p w:rsidR="001D3CC1" w:rsidRDefault="00FA518F" w:rsidP="0023585B">
      <w:pPr>
        <w:tabs>
          <w:tab w:val="left" w:pos="1985"/>
        </w:tabs>
        <w:contextualSpacing/>
        <w:rPr>
          <w:rFonts w:eastAsiaTheme="minorHAnsi"/>
          <w:sz w:val="24"/>
          <w:szCs w:val="24"/>
          <w:lang w:val="es-ES" w:eastAsia="en-US"/>
        </w:rPr>
      </w:pPr>
      <w:r>
        <w:rPr>
          <w:rFonts w:eastAsia="Times New Roman"/>
          <w:spacing w:val="-3"/>
          <w:sz w:val="24"/>
          <w:szCs w:val="24"/>
          <w:lang w:eastAsia="zh-CN"/>
        </w:rPr>
        <w:t xml:space="preserve">En la misma línea, el magistrado ponente tampoco logra colegir que exista un riesgo de afectación </w:t>
      </w:r>
      <w:r w:rsidR="00BC528B">
        <w:rPr>
          <w:rFonts w:eastAsia="Times New Roman"/>
          <w:spacing w:val="-3"/>
          <w:sz w:val="24"/>
          <w:szCs w:val="24"/>
          <w:lang w:eastAsia="zh-CN"/>
        </w:rPr>
        <w:t xml:space="preserve">para las garantías </w:t>
      </w:r>
      <w:r w:rsidR="00BC528B" w:rsidRPr="00BC528B">
        <w:rPr>
          <w:rFonts w:eastAsia="Times New Roman"/>
          <w:i/>
          <w:spacing w:val="-3"/>
          <w:sz w:val="24"/>
          <w:szCs w:val="24"/>
          <w:lang w:eastAsia="zh-CN"/>
        </w:rPr>
        <w:t xml:space="preserve">iusfundamentales </w:t>
      </w:r>
      <w:r w:rsidR="00BC528B" w:rsidRPr="00BC528B">
        <w:rPr>
          <w:rFonts w:eastAsia="Times New Roman"/>
          <w:spacing w:val="-3"/>
          <w:sz w:val="24"/>
          <w:szCs w:val="24"/>
          <w:lang w:eastAsia="zh-CN"/>
        </w:rPr>
        <w:t>de</w:t>
      </w:r>
      <w:r w:rsidR="00BC528B">
        <w:rPr>
          <w:rFonts w:eastAsia="Times New Roman"/>
          <w:spacing w:val="-3"/>
          <w:sz w:val="24"/>
          <w:szCs w:val="24"/>
          <w:lang w:eastAsia="zh-CN"/>
        </w:rPr>
        <w:t xml:space="preserve"> la parte actora </w:t>
      </w:r>
      <w:r>
        <w:rPr>
          <w:rFonts w:eastAsia="Times New Roman"/>
          <w:spacing w:val="-3"/>
          <w:sz w:val="24"/>
          <w:szCs w:val="24"/>
          <w:lang w:eastAsia="zh-CN"/>
        </w:rPr>
        <w:t>por la demora en el tiempo</w:t>
      </w:r>
      <w:r w:rsidR="00BC528B">
        <w:rPr>
          <w:rFonts w:eastAsia="Times New Roman"/>
          <w:spacing w:val="-3"/>
          <w:sz w:val="24"/>
          <w:szCs w:val="24"/>
          <w:lang w:eastAsia="zh-CN"/>
        </w:rPr>
        <w:t xml:space="preserve"> para decidir la presente solicitud, </w:t>
      </w:r>
      <w:r>
        <w:rPr>
          <w:rFonts w:eastAsia="Times New Roman"/>
          <w:spacing w:val="-3"/>
          <w:sz w:val="24"/>
          <w:szCs w:val="24"/>
          <w:lang w:eastAsia="zh-CN"/>
        </w:rPr>
        <w:t xml:space="preserve">en la medida en que la acción de tutela está prevista como un mecanismo preferente y sumario de protección de derechos fundamentales, razón por la que, </w:t>
      </w:r>
      <w:r w:rsidRPr="00FA518F">
        <w:rPr>
          <w:rFonts w:eastAsiaTheme="minorHAnsi"/>
          <w:sz w:val="24"/>
          <w:szCs w:val="24"/>
          <w:lang w:val="es-ES" w:eastAsia="en-US"/>
        </w:rPr>
        <w:t xml:space="preserve">de estar configurada una posible lesión </w:t>
      </w:r>
      <w:r>
        <w:rPr>
          <w:rFonts w:eastAsiaTheme="minorHAnsi"/>
          <w:sz w:val="24"/>
          <w:szCs w:val="24"/>
          <w:lang w:val="es-ES" w:eastAsia="en-US"/>
        </w:rPr>
        <w:t xml:space="preserve">para </w:t>
      </w:r>
      <w:r w:rsidR="00CA06CC">
        <w:rPr>
          <w:rFonts w:eastAsiaTheme="minorHAnsi"/>
          <w:sz w:val="24"/>
          <w:szCs w:val="24"/>
          <w:lang w:val="es-ES" w:eastAsia="en-US"/>
        </w:rPr>
        <w:t xml:space="preserve">las garantías </w:t>
      </w:r>
      <w:r w:rsidR="00BC528B">
        <w:rPr>
          <w:rFonts w:eastAsiaTheme="minorHAnsi"/>
          <w:sz w:val="24"/>
          <w:szCs w:val="24"/>
          <w:lang w:val="es-ES" w:eastAsia="en-US"/>
        </w:rPr>
        <w:t xml:space="preserve">constitucionales </w:t>
      </w:r>
      <w:r w:rsidRPr="00FA518F">
        <w:rPr>
          <w:rFonts w:eastAsiaTheme="minorHAnsi"/>
          <w:sz w:val="24"/>
          <w:szCs w:val="24"/>
          <w:lang w:val="es-ES" w:eastAsia="en-US"/>
        </w:rPr>
        <w:t>invocad</w:t>
      </w:r>
      <w:r w:rsidR="00CA06CC">
        <w:rPr>
          <w:rFonts w:eastAsiaTheme="minorHAnsi"/>
          <w:sz w:val="24"/>
          <w:szCs w:val="24"/>
          <w:lang w:val="es-ES" w:eastAsia="en-US"/>
        </w:rPr>
        <w:t>a</w:t>
      </w:r>
      <w:r w:rsidRPr="00FA518F">
        <w:rPr>
          <w:rFonts w:eastAsiaTheme="minorHAnsi"/>
          <w:sz w:val="24"/>
          <w:szCs w:val="24"/>
          <w:lang w:val="es-ES" w:eastAsia="en-US"/>
        </w:rPr>
        <w:t xml:space="preserve">s, </w:t>
      </w:r>
      <w:r>
        <w:rPr>
          <w:rFonts w:eastAsiaTheme="minorHAnsi"/>
          <w:sz w:val="24"/>
          <w:szCs w:val="24"/>
          <w:lang w:val="es-ES" w:eastAsia="en-US"/>
        </w:rPr>
        <w:t xml:space="preserve">no se avizora motivo válido para considerar que esta </w:t>
      </w:r>
      <w:r w:rsidRPr="00FA518F">
        <w:rPr>
          <w:rFonts w:eastAsiaTheme="minorHAnsi"/>
          <w:sz w:val="24"/>
          <w:szCs w:val="24"/>
          <w:lang w:val="es-ES" w:eastAsia="en-US"/>
        </w:rPr>
        <w:t xml:space="preserve">no pudiera evitarse con el fallo que </w:t>
      </w:r>
      <w:r w:rsidR="00876A58">
        <w:rPr>
          <w:rFonts w:eastAsiaTheme="minorHAnsi"/>
          <w:sz w:val="24"/>
          <w:szCs w:val="24"/>
          <w:lang w:val="es-ES" w:eastAsia="en-US"/>
        </w:rPr>
        <w:t xml:space="preserve">defina la pretensión de amparo, luego de surtir el trámite respectivo en el que se permita </w:t>
      </w:r>
      <w:r w:rsidR="009C13A1">
        <w:rPr>
          <w:rFonts w:eastAsiaTheme="minorHAnsi"/>
          <w:sz w:val="24"/>
          <w:szCs w:val="24"/>
          <w:lang w:val="es-ES" w:eastAsia="en-US"/>
        </w:rPr>
        <w:t>la participación</w:t>
      </w:r>
      <w:r w:rsidR="00FB43FF">
        <w:rPr>
          <w:rFonts w:eastAsiaTheme="minorHAnsi"/>
          <w:sz w:val="24"/>
          <w:szCs w:val="24"/>
          <w:lang w:val="es-ES" w:eastAsia="en-US"/>
        </w:rPr>
        <w:t xml:space="preserve">, </w:t>
      </w:r>
      <w:r w:rsidR="009C13A1">
        <w:rPr>
          <w:rFonts w:eastAsiaTheme="minorHAnsi"/>
          <w:sz w:val="24"/>
          <w:szCs w:val="24"/>
          <w:lang w:val="es-ES" w:eastAsia="en-US"/>
        </w:rPr>
        <w:t>no solo de las autoridades judiciales accionadas</w:t>
      </w:r>
      <w:r w:rsidR="00FB43FF">
        <w:rPr>
          <w:rFonts w:eastAsiaTheme="minorHAnsi"/>
          <w:sz w:val="24"/>
          <w:szCs w:val="24"/>
          <w:lang w:val="es-ES" w:eastAsia="en-US"/>
        </w:rPr>
        <w:t xml:space="preserve">, </w:t>
      </w:r>
      <w:r w:rsidR="009C13A1">
        <w:rPr>
          <w:rFonts w:eastAsiaTheme="minorHAnsi"/>
          <w:sz w:val="24"/>
          <w:szCs w:val="24"/>
          <w:lang w:val="es-ES" w:eastAsia="en-US"/>
        </w:rPr>
        <w:t xml:space="preserve">sino también de las partes y </w:t>
      </w:r>
      <w:r w:rsidR="007A701B">
        <w:rPr>
          <w:rFonts w:eastAsiaTheme="minorHAnsi"/>
          <w:sz w:val="24"/>
          <w:szCs w:val="24"/>
          <w:lang w:val="es-ES" w:eastAsia="en-US"/>
        </w:rPr>
        <w:t xml:space="preserve">los </w:t>
      </w:r>
      <w:r w:rsidR="009C13A1">
        <w:rPr>
          <w:rFonts w:eastAsiaTheme="minorHAnsi"/>
          <w:sz w:val="24"/>
          <w:szCs w:val="24"/>
          <w:lang w:val="es-ES" w:eastAsia="en-US"/>
        </w:rPr>
        <w:t>terceros involucrados en la controversia judicial</w:t>
      </w:r>
      <w:r w:rsidR="00BC528B">
        <w:rPr>
          <w:rFonts w:eastAsiaTheme="minorHAnsi"/>
          <w:sz w:val="24"/>
          <w:szCs w:val="24"/>
          <w:lang w:val="es-ES" w:eastAsia="en-US"/>
        </w:rPr>
        <w:t xml:space="preserve"> </w:t>
      </w:r>
      <w:r w:rsidR="0023585B">
        <w:rPr>
          <w:rFonts w:eastAsiaTheme="minorHAnsi"/>
          <w:sz w:val="24"/>
          <w:szCs w:val="24"/>
          <w:lang w:val="es-ES" w:eastAsia="en-US"/>
        </w:rPr>
        <w:t>en la que se emitieron las providencias censuradas a través de</w:t>
      </w:r>
      <w:r w:rsidR="00876A58">
        <w:rPr>
          <w:rFonts w:eastAsiaTheme="minorHAnsi"/>
          <w:sz w:val="24"/>
          <w:szCs w:val="24"/>
          <w:lang w:val="es-ES" w:eastAsia="en-US"/>
        </w:rPr>
        <w:t xml:space="preserve"> este</w:t>
      </w:r>
      <w:r w:rsidR="0023585B">
        <w:rPr>
          <w:rFonts w:eastAsiaTheme="minorHAnsi"/>
          <w:sz w:val="24"/>
          <w:szCs w:val="24"/>
          <w:lang w:val="es-ES" w:eastAsia="en-US"/>
        </w:rPr>
        <w:t xml:space="preserve"> mecanismo constitucional</w:t>
      </w:r>
      <w:r w:rsidR="00876A58">
        <w:rPr>
          <w:rFonts w:eastAsiaTheme="minorHAnsi"/>
          <w:sz w:val="24"/>
          <w:szCs w:val="24"/>
          <w:lang w:val="es-ES" w:eastAsia="en-US"/>
        </w:rPr>
        <w:t>.</w:t>
      </w:r>
    </w:p>
    <w:p w:rsidR="00B32908" w:rsidRPr="00EF6D4C" w:rsidRDefault="00B32908" w:rsidP="00EF6D4C">
      <w:pPr>
        <w:widowControl w:val="0"/>
        <w:tabs>
          <w:tab w:val="left" w:pos="1985"/>
        </w:tabs>
        <w:spacing w:before="240" w:after="240"/>
        <w:rPr>
          <w:rFonts w:eastAsiaTheme="minorHAnsi"/>
          <w:sz w:val="24"/>
          <w:szCs w:val="24"/>
          <w:lang w:val="es-ES" w:eastAsia="en-US"/>
        </w:rPr>
      </w:pPr>
      <w:r>
        <w:rPr>
          <w:rFonts w:eastAsiaTheme="minorHAnsi"/>
          <w:sz w:val="24"/>
          <w:szCs w:val="24"/>
          <w:lang w:val="es-ES" w:eastAsia="en-US"/>
        </w:rPr>
        <w:t xml:space="preserve">Por las razones expuestas, el Despacho negará la solicitud de la medida provisional que formuló Elkin Enrique Diaz Camacho. </w:t>
      </w:r>
    </w:p>
    <w:p w:rsidR="00DB7F95" w:rsidRDefault="00DB7F95" w:rsidP="00DB7F95">
      <w:pPr>
        <w:pStyle w:val="Textoindependiente21"/>
        <w:spacing w:after="0"/>
        <w:ind w:left="0"/>
        <w:jc w:val="both"/>
        <w:rPr>
          <w:rFonts w:cs="Arial"/>
          <w:sz w:val="24"/>
          <w:szCs w:val="24"/>
        </w:rPr>
      </w:pPr>
      <w:r w:rsidRPr="00211F0C">
        <w:rPr>
          <w:rFonts w:cs="Arial"/>
          <w:sz w:val="24"/>
          <w:szCs w:val="24"/>
        </w:rPr>
        <w:t>El Despacho, al encontrar reunidos los requisitos previstos en el artículo 14 del Decreto 2591 de 1991</w:t>
      </w:r>
      <w:r>
        <w:rPr>
          <w:rFonts w:cs="Arial"/>
          <w:sz w:val="24"/>
          <w:szCs w:val="24"/>
        </w:rPr>
        <w:t xml:space="preserve">, </w:t>
      </w:r>
      <w:r w:rsidRPr="00211F0C">
        <w:rPr>
          <w:rFonts w:cs="Arial"/>
          <w:sz w:val="24"/>
          <w:szCs w:val="24"/>
        </w:rPr>
        <w:t>y por ser competente para conocer del trámite de la presente acción</w:t>
      </w:r>
      <w:r>
        <w:rPr>
          <w:rFonts w:cs="Arial"/>
          <w:sz w:val="24"/>
          <w:szCs w:val="24"/>
        </w:rPr>
        <w:t xml:space="preserve"> </w:t>
      </w:r>
      <w:r w:rsidRPr="00211F0C">
        <w:rPr>
          <w:rFonts w:cs="Arial"/>
          <w:sz w:val="24"/>
          <w:szCs w:val="24"/>
        </w:rPr>
        <w:t>de conformidad con</w:t>
      </w:r>
      <w:r>
        <w:rPr>
          <w:rFonts w:cs="Arial"/>
          <w:sz w:val="24"/>
          <w:szCs w:val="24"/>
        </w:rPr>
        <w:t xml:space="preserve"> </w:t>
      </w:r>
      <w:r w:rsidRPr="00211F0C">
        <w:rPr>
          <w:rFonts w:cs="Arial"/>
          <w:sz w:val="24"/>
          <w:szCs w:val="24"/>
        </w:rPr>
        <w:t xml:space="preserve">lo establecido </w:t>
      </w:r>
      <w:r>
        <w:rPr>
          <w:rFonts w:cs="Arial"/>
          <w:sz w:val="24"/>
          <w:szCs w:val="24"/>
        </w:rPr>
        <w:t xml:space="preserve">en los artículos 86 de la Constitución Política y 37 del Decreto 2591 de 1991, </w:t>
      </w:r>
    </w:p>
    <w:p w:rsidR="00DB7F95" w:rsidRPr="00211F0C" w:rsidRDefault="00DB7F95" w:rsidP="00DB7F95">
      <w:pPr>
        <w:pStyle w:val="Textoindependiente21"/>
        <w:spacing w:after="0"/>
        <w:ind w:left="0"/>
        <w:jc w:val="both"/>
        <w:rPr>
          <w:rFonts w:cs="Arial"/>
          <w:sz w:val="24"/>
          <w:szCs w:val="24"/>
        </w:rPr>
      </w:pPr>
    </w:p>
    <w:p w:rsidR="00DB7F95" w:rsidRDefault="00DB7F95" w:rsidP="00DB7F95">
      <w:pPr>
        <w:pStyle w:val="Textoindependiente21"/>
        <w:spacing w:after="0"/>
        <w:ind w:left="0"/>
        <w:jc w:val="center"/>
        <w:rPr>
          <w:rFonts w:cs="Arial"/>
          <w:b/>
          <w:sz w:val="24"/>
          <w:szCs w:val="24"/>
        </w:rPr>
      </w:pPr>
      <w:r w:rsidRPr="00211F0C">
        <w:rPr>
          <w:rFonts w:cs="Arial"/>
          <w:b/>
          <w:sz w:val="24"/>
          <w:szCs w:val="24"/>
        </w:rPr>
        <w:t>RESUELVE</w:t>
      </w:r>
    </w:p>
    <w:p w:rsidR="00DB7F95" w:rsidRPr="00436D7F" w:rsidRDefault="00DB7F95" w:rsidP="00DB7F95">
      <w:pPr>
        <w:pStyle w:val="Textoindependiente21"/>
        <w:spacing w:after="0"/>
        <w:ind w:left="0"/>
        <w:jc w:val="center"/>
        <w:rPr>
          <w:rFonts w:cs="Arial"/>
          <w:bCs/>
          <w:sz w:val="24"/>
          <w:szCs w:val="24"/>
        </w:rPr>
      </w:pPr>
      <w:bookmarkStart w:id="0" w:name="_GoBack"/>
      <w:bookmarkEnd w:id="0"/>
    </w:p>
    <w:p w:rsidR="008A0D41" w:rsidRDefault="00DB7F95" w:rsidP="00DB7F95">
      <w:pPr>
        <w:ind w:right="51"/>
        <w:rPr>
          <w:sz w:val="24"/>
          <w:szCs w:val="24"/>
        </w:rPr>
      </w:pPr>
      <w:r w:rsidRPr="00211F0C">
        <w:rPr>
          <w:b/>
          <w:sz w:val="24"/>
          <w:szCs w:val="24"/>
        </w:rPr>
        <w:t>PRIMERO</w:t>
      </w:r>
      <w:r>
        <w:rPr>
          <w:sz w:val="24"/>
          <w:szCs w:val="24"/>
        </w:rPr>
        <w:t xml:space="preserve">. </w:t>
      </w:r>
      <w:r w:rsidRPr="00211F0C">
        <w:rPr>
          <w:b/>
          <w:sz w:val="24"/>
          <w:szCs w:val="24"/>
        </w:rPr>
        <w:t>ADMITIR</w:t>
      </w:r>
      <w:r w:rsidRPr="00211F0C">
        <w:rPr>
          <w:sz w:val="24"/>
          <w:szCs w:val="24"/>
        </w:rPr>
        <w:t xml:space="preserve"> </w:t>
      </w:r>
      <w:r>
        <w:rPr>
          <w:sz w:val="24"/>
          <w:szCs w:val="24"/>
        </w:rPr>
        <w:t xml:space="preserve">la solicitud de amparo que presentó </w:t>
      </w:r>
      <w:r w:rsidR="008A0D41">
        <w:rPr>
          <w:sz w:val="24"/>
          <w:szCs w:val="24"/>
        </w:rPr>
        <w:t xml:space="preserve">Elkin </w:t>
      </w:r>
      <w:r w:rsidR="00BA45E6">
        <w:rPr>
          <w:sz w:val="24"/>
          <w:szCs w:val="24"/>
        </w:rPr>
        <w:t xml:space="preserve">Enrique </w:t>
      </w:r>
      <w:r w:rsidR="008A0D41">
        <w:rPr>
          <w:sz w:val="24"/>
          <w:szCs w:val="24"/>
        </w:rPr>
        <w:t xml:space="preserve">Díaz Camacho, en contra de las secciones Primera y Segunda, Subsección B del Consejo de Estado. </w:t>
      </w:r>
    </w:p>
    <w:p w:rsidR="00DB7F95" w:rsidRDefault="00DB7F95" w:rsidP="00DB7F95">
      <w:pPr>
        <w:ind w:right="51"/>
        <w:rPr>
          <w:sz w:val="24"/>
          <w:szCs w:val="24"/>
        </w:rPr>
      </w:pPr>
    </w:p>
    <w:p w:rsidR="00DB7F95" w:rsidRDefault="00DB7F95" w:rsidP="00DB7F95">
      <w:pPr>
        <w:ind w:right="51"/>
        <w:rPr>
          <w:sz w:val="24"/>
          <w:szCs w:val="24"/>
        </w:rPr>
      </w:pPr>
      <w:r w:rsidRPr="00FB30F8">
        <w:rPr>
          <w:b/>
          <w:sz w:val="24"/>
          <w:szCs w:val="24"/>
        </w:rPr>
        <w:t xml:space="preserve">SEGUNDO. </w:t>
      </w:r>
      <w:r>
        <w:rPr>
          <w:b/>
          <w:sz w:val="24"/>
          <w:szCs w:val="24"/>
        </w:rPr>
        <w:t xml:space="preserve">SOLICITAR </w:t>
      </w:r>
      <w:r w:rsidR="00DA08CC">
        <w:rPr>
          <w:sz w:val="24"/>
          <w:szCs w:val="24"/>
        </w:rPr>
        <w:t xml:space="preserve">a las secciones Primera, Segunda, Subsección B y Quinta del Consejo de Estado que, quien tenga a su disposición el expediente contentivo del proceso de nulidad electoral radicado al número </w:t>
      </w:r>
      <w:r w:rsidR="00DA08CC" w:rsidRPr="007C6BD9">
        <w:rPr>
          <w:sz w:val="24"/>
          <w:szCs w:val="24"/>
        </w:rPr>
        <w:t>70001-23-33-000-2020-00004-03</w:t>
      </w:r>
      <w:r w:rsidR="00DA08CC">
        <w:rPr>
          <w:sz w:val="24"/>
          <w:szCs w:val="24"/>
        </w:rPr>
        <w:t xml:space="preserve"> (acumulado) </w:t>
      </w:r>
      <w:r>
        <w:rPr>
          <w:sz w:val="24"/>
          <w:szCs w:val="24"/>
        </w:rPr>
        <w:t xml:space="preserve">informe a este Despacho, en el término de tres (3) días siguientes a la notificación del presente proveído, los nombres y las direcciones de los sujetos que integran la parte demandante, demandada y terceros dentro del citado proceso. </w:t>
      </w:r>
    </w:p>
    <w:p w:rsidR="00DB7F95" w:rsidRDefault="00DB7F95" w:rsidP="00DB7F95">
      <w:pPr>
        <w:ind w:right="51"/>
        <w:rPr>
          <w:sz w:val="24"/>
          <w:szCs w:val="24"/>
        </w:rPr>
      </w:pPr>
    </w:p>
    <w:p w:rsidR="00DB7F95" w:rsidRPr="00FB30F8" w:rsidRDefault="00DB7F95" w:rsidP="00DB7F95">
      <w:pPr>
        <w:ind w:right="51"/>
        <w:rPr>
          <w:sz w:val="24"/>
          <w:szCs w:val="24"/>
        </w:rPr>
      </w:pPr>
      <w:r w:rsidRPr="00FB30F8">
        <w:rPr>
          <w:b/>
          <w:sz w:val="24"/>
          <w:szCs w:val="24"/>
        </w:rPr>
        <w:t xml:space="preserve">TERCERO. VINCULAR </w:t>
      </w:r>
      <w:r>
        <w:rPr>
          <w:sz w:val="24"/>
          <w:szCs w:val="24"/>
        </w:rPr>
        <w:t xml:space="preserve">al presente trámite, como terceros con interés, </w:t>
      </w:r>
      <w:r w:rsidR="00DA08CC">
        <w:rPr>
          <w:sz w:val="24"/>
          <w:szCs w:val="24"/>
        </w:rPr>
        <w:t>a l</w:t>
      </w:r>
      <w:r w:rsidR="00094AA5">
        <w:rPr>
          <w:sz w:val="24"/>
          <w:szCs w:val="24"/>
        </w:rPr>
        <w:t xml:space="preserve">os magistrados que integran la </w:t>
      </w:r>
      <w:r w:rsidR="00DA08CC">
        <w:rPr>
          <w:sz w:val="24"/>
          <w:szCs w:val="24"/>
        </w:rPr>
        <w:t xml:space="preserve">Sección Quinta del Consejo de Estado, </w:t>
      </w:r>
      <w:r w:rsidR="00FC0DFA">
        <w:rPr>
          <w:sz w:val="24"/>
          <w:szCs w:val="24"/>
        </w:rPr>
        <w:t xml:space="preserve">al Tribunal Administrativo de Sucre, </w:t>
      </w:r>
      <w:r w:rsidR="00B20747">
        <w:rPr>
          <w:sz w:val="24"/>
          <w:szCs w:val="24"/>
        </w:rPr>
        <w:t xml:space="preserve">al Consejo Nacional Electoral, a la Registraduría Nacional del Estado Civil, </w:t>
      </w:r>
      <w:r w:rsidR="00DA08CC">
        <w:rPr>
          <w:sz w:val="24"/>
          <w:szCs w:val="24"/>
        </w:rPr>
        <w:t xml:space="preserve">a Omar de Jesús Ochoa García, a Nataly Strusberg Castañeda, </w:t>
      </w:r>
      <w:r w:rsidR="001E3456">
        <w:rPr>
          <w:sz w:val="24"/>
          <w:szCs w:val="24"/>
        </w:rPr>
        <w:t xml:space="preserve">a Andrés Eduardo Gómez Martínez, </w:t>
      </w:r>
      <w:r w:rsidR="00DA08CC">
        <w:rPr>
          <w:sz w:val="24"/>
          <w:szCs w:val="24"/>
        </w:rPr>
        <w:t xml:space="preserve">y a todos quienes hubieren intervenido en el proceso electoral radicado al número </w:t>
      </w:r>
      <w:r w:rsidR="00DA08CC" w:rsidRPr="007C6BD9">
        <w:rPr>
          <w:sz w:val="24"/>
          <w:szCs w:val="24"/>
        </w:rPr>
        <w:t>70001-23-33-000-2020-00004-03</w:t>
      </w:r>
      <w:r w:rsidR="00DA08CC">
        <w:rPr>
          <w:sz w:val="24"/>
          <w:szCs w:val="24"/>
        </w:rPr>
        <w:t xml:space="preserve"> (acumulado), </w:t>
      </w:r>
      <w:r>
        <w:rPr>
          <w:sz w:val="24"/>
          <w:szCs w:val="24"/>
        </w:rPr>
        <w:t xml:space="preserve">y que a la fecha no hubieren sido vinculados al presente trámite constitucional, de acuerdo al informe que se expida en virtud de la orden contenida en el numeral segundo de esta providencia. </w:t>
      </w:r>
    </w:p>
    <w:p w:rsidR="00DB7F95" w:rsidRPr="009C0C0C" w:rsidRDefault="00DB7F95" w:rsidP="00DB7F95">
      <w:pPr>
        <w:ind w:right="51"/>
        <w:rPr>
          <w:rStyle w:val="normaltextrun"/>
          <w:bCs/>
          <w:sz w:val="24"/>
          <w:szCs w:val="24"/>
        </w:rPr>
      </w:pPr>
    </w:p>
    <w:p w:rsidR="00DB7F95" w:rsidRPr="00B270D0" w:rsidRDefault="00DB7F95" w:rsidP="00DB7F95">
      <w:pPr>
        <w:pStyle w:val="Textoindependiente21"/>
        <w:spacing w:after="0"/>
        <w:ind w:left="0"/>
        <w:jc w:val="both"/>
        <w:rPr>
          <w:rFonts w:cs="Arial"/>
          <w:color w:val="000000"/>
          <w:sz w:val="24"/>
          <w:szCs w:val="24"/>
          <w:bdr w:val="none" w:sz="0" w:space="0" w:color="auto" w:frame="1"/>
        </w:rPr>
      </w:pPr>
      <w:r>
        <w:rPr>
          <w:b/>
          <w:sz w:val="24"/>
          <w:szCs w:val="24"/>
        </w:rPr>
        <w:t>CUARTO</w:t>
      </w:r>
      <w:r w:rsidRPr="009C0C0C">
        <w:rPr>
          <w:rStyle w:val="normaltextrun"/>
          <w:rFonts w:cs="Arial"/>
          <w:b/>
          <w:bCs/>
          <w:color w:val="000000"/>
          <w:sz w:val="24"/>
          <w:szCs w:val="24"/>
          <w:shd w:val="clear" w:color="auto" w:fill="FFFFFF"/>
          <w:lang w:val="es-ES"/>
        </w:rPr>
        <w:t xml:space="preserve">. </w:t>
      </w:r>
      <w:r w:rsidRPr="009C0C0C">
        <w:rPr>
          <w:rFonts w:cs="Arial"/>
          <w:b/>
          <w:bCs/>
          <w:color w:val="000000"/>
          <w:sz w:val="24"/>
          <w:szCs w:val="24"/>
          <w:bdr w:val="none" w:sz="0" w:space="0" w:color="auto" w:frame="1"/>
        </w:rPr>
        <w:t>ORDENAR</w:t>
      </w:r>
      <w:r w:rsidRPr="009C0C0C">
        <w:rPr>
          <w:rFonts w:cs="Arial"/>
          <w:color w:val="000000"/>
          <w:sz w:val="24"/>
          <w:szCs w:val="24"/>
          <w:bdr w:val="none" w:sz="0" w:space="0" w:color="auto" w:frame="1"/>
        </w:rPr>
        <w:t xml:space="preserve"> que, por conducto de la Secretaría General de esta Corporación, se notifique el presente proveído </w:t>
      </w:r>
      <w:r>
        <w:rPr>
          <w:rFonts w:cs="Arial"/>
          <w:color w:val="000000"/>
          <w:sz w:val="24"/>
          <w:szCs w:val="24"/>
          <w:bdr w:val="none" w:sz="0" w:space="0" w:color="auto" w:frame="1"/>
        </w:rPr>
        <w:t xml:space="preserve">a las partes y a los interesados de la forma más expedita posible. </w:t>
      </w:r>
      <w:r w:rsidRPr="00694C3A">
        <w:rPr>
          <w:rFonts w:cs="Arial"/>
          <w:sz w:val="24"/>
          <w:szCs w:val="24"/>
          <w:lang w:val="es-CO"/>
        </w:rPr>
        <w:t>Esta providencia deberá ser publicada en las páginas web del Consejo de Estado y de la Rama judicial</w:t>
      </w:r>
      <w:r w:rsidR="00E2359B">
        <w:rPr>
          <w:rFonts w:cs="Arial"/>
          <w:bCs/>
          <w:sz w:val="24"/>
          <w:szCs w:val="24"/>
          <w:lang w:val="es-CO"/>
        </w:rPr>
        <w:t xml:space="preserve">, y notificada directamente a cada uno de los magistrados que integran las secciones Primera, Segunda, Subsección B y Quinta del Consejo de Estado. </w:t>
      </w:r>
    </w:p>
    <w:p w:rsidR="00DB7F95" w:rsidRPr="003226DA" w:rsidRDefault="00DB7F95" w:rsidP="00DB7F95">
      <w:pPr>
        <w:pStyle w:val="Textoindependiente21"/>
        <w:spacing w:after="0"/>
        <w:ind w:left="0"/>
        <w:jc w:val="both"/>
        <w:rPr>
          <w:rFonts w:cs="Arial"/>
          <w:bCs/>
          <w:sz w:val="24"/>
          <w:szCs w:val="24"/>
          <w:lang w:val="es-CO"/>
        </w:rPr>
      </w:pPr>
    </w:p>
    <w:p w:rsidR="00DB7F95" w:rsidRPr="0063713E" w:rsidRDefault="00DB7F95" w:rsidP="00DB7F95">
      <w:pPr>
        <w:pStyle w:val="xmsolistparagraph"/>
        <w:shd w:val="clear" w:color="auto" w:fill="FFFFFF"/>
        <w:spacing w:before="0" w:beforeAutospacing="0" w:after="0" w:afterAutospacing="0"/>
        <w:jc w:val="both"/>
        <w:rPr>
          <w:rFonts w:ascii="Arial" w:hAnsi="Arial" w:cs="Arial"/>
          <w:color w:val="000000"/>
          <w:sz w:val="16"/>
          <w:szCs w:val="16"/>
          <w:lang w:val="es-ES"/>
        </w:rPr>
      </w:pPr>
      <w:r w:rsidRPr="0063713E">
        <w:rPr>
          <w:rFonts w:ascii="Arial" w:hAnsi="Arial" w:cs="Arial"/>
          <w:color w:val="000000"/>
          <w:bdr w:val="none" w:sz="0" w:space="0" w:color="auto" w:frame="1"/>
        </w:rPr>
        <w:t>La Secretaría General </w:t>
      </w:r>
      <w:r w:rsidRPr="0063713E">
        <w:rPr>
          <w:rFonts w:ascii="Arial" w:hAnsi="Arial" w:cs="Arial"/>
          <w:b/>
          <w:bCs/>
          <w:color w:val="000000"/>
          <w:bdr w:val="none" w:sz="0" w:space="0" w:color="auto" w:frame="1"/>
        </w:rPr>
        <w:t>solamente devolverá</w:t>
      </w:r>
      <w:r w:rsidRPr="0063713E">
        <w:rPr>
          <w:rFonts w:ascii="Arial" w:hAnsi="Arial" w:cs="Arial"/>
          <w:color w:val="000000"/>
          <w:bdr w:val="none" w:sz="0" w:space="0" w:color="auto" w:frame="1"/>
        </w:rPr>
        <w:t> el expediente al Despacho, una vez se haya efectivamente notificado a los sujetos procesales</w:t>
      </w:r>
      <w:r>
        <w:rPr>
          <w:rFonts w:ascii="Arial" w:hAnsi="Arial" w:cs="Arial"/>
          <w:color w:val="000000"/>
          <w:bdr w:val="none" w:sz="0" w:space="0" w:color="auto" w:frame="1"/>
          <w:lang w:val="es-ES"/>
        </w:rPr>
        <w:t xml:space="preserve">. </w:t>
      </w:r>
    </w:p>
    <w:p w:rsidR="00DB7F95" w:rsidRPr="00211F0C" w:rsidRDefault="00DB7F95" w:rsidP="00DB7F95">
      <w:pPr>
        <w:overflowPunct w:val="0"/>
        <w:autoSpaceDE w:val="0"/>
        <w:autoSpaceDN w:val="0"/>
        <w:adjustRightInd w:val="0"/>
        <w:textAlignment w:val="baseline"/>
        <w:rPr>
          <w:rFonts w:eastAsia="Times New Roman"/>
          <w:sz w:val="24"/>
          <w:szCs w:val="24"/>
          <w:lang w:val="es-ES_tradnl" w:eastAsia="es-ES"/>
        </w:rPr>
      </w:pPr>
    </w:p>
    <w:p w:rsidR="00DB7F95" w:rsidRDefault="00DB7F95" w:rsidP="00DB7F95">
      <w:pPr>
        <w:rPr>
          <w:color w:val="000000"/>
          <w:sz w:val="24"/>
          <w:szCs w:val="24"/>
        </w:rPr>
      </w:pPr>
      <w:r>
        <w:rPr>
          <w:b/>
          <w:color w:val="000000"/>
          <w:sz w:val="24"/>
          <w:szCs w:val="24"/>
        </w:rPr>
        <w:t>QUINTO</w:t>
      </w:r>
      <w:r>
        <w:rPr>
          <w:b/>
          <w:sz w:val="24"/>
          <w:szCs w:val="24"/>
        </w:rPr>
        <w:t xml:space="preserve">. </w:t>
      </w:r>
      <w:r w:rsidRPr="00211F0C">
        <w:rPr>
          <w:b/>
          <w:color w:val="000000"/>
          <w:sz w:val="24"/>
          <w:szCs w:val="24"/>
        </w:rPr>
        <w:t>COMUNICAR</w:t>
      </w:r>
      <w:r w:rsidRPr="00211F0C">
        <w:rPr>
          <w:color w:val="000000"/>
          <w:sz w:val="24"/>
          <w:szCs w:val="24"/>
        </w:rPr>
        <w:t xml:space="preserve"> a las partes</w:t>
      </w:r>
      <w:r>
        <w:rPr>
          <w:color w:val="000000"/>
          <w:sz w:val="24"/>
          <w:szCs w:val="24"/>
        </w:rPr>
        <w:t xml:space="preserve"> e interesados</w:t>
      </w:r>
      <w:r w:rsidRPr="00211F0C">
        <w:rPr>
          <w:color w:val="000000"/>
          <w:sz w:val="24"/>
          <w:szCs w:val="24"/>
        </w:rPr>
        <w:t xml:space="preserve"> que podrán presentar informes sobre los hechos en que se sustenta la presente acción, </w:t>
      </w:r>
      <w:r w:rsidRPr="00211F0C">
        <w:rPr>
          <w:sz w:val="24"/>
          <w:szCs w:val="24"/>
        </w:rPr>
        <w:t xml:space="preserve">en el término de </w:t>
      </w:r>
      <w:r>
        <w:rPr>
          <w:sz w:val="24"/>
          <w:szCs w:val="24"/>
        </w:rPr>
        <w:t>tres</w:t>
      </w:r>
      <w:r w:rsidRPr="00211F0C">
        <w:rPr>
          <w:sz w:val="24"/>
          <w:szCs w:val="24"/>
        </w:rPr>
        <w:t xml:space="preserve"> (</w:t>
      </w:r>
      <w:r>
        <w:rPr>
          <w:sz w:val="24"/>
          <w:szCs w:val="24"/>
        </w:rPr>
        <w:t>3</w:t>
      </w:r>
      <w:r w:rsidRPr="00211F0C">
        <w:rPr>
          <w:sz w:val="24"/>
          <w:szCs w:val="24"/>
        </w:rPr>
        <w:t>) días contados a partir del recibo de la notificación.</w:t>
      </w:r>
      <w:r w:rsidRPr="00211F0C">
        <w:rPr>
          <w:color w:val="000000"/>
          <w:sz w:val="24"/>
          <w:szCs w:val="24"/>
        </w:rPr>
        <w:t xml:space="preserve"> Estos se considerarán rendidos bajo juramento (artículos 19 y 20 del Decreto 2591 de 1991).</w:t>
      </w:r>
      <w:r>
        <w:rPr>
          <w:color w:val="000000"/>
          <w:sz w:val="24"/>
          <w:szCs w:val="24"/>
        </w:rPr>
        <w:t xml:space="preserve"> </w:t>
      </w:r>
    </w:p>
    <w:p w:rsidR="00DB7F95" w:rsidRDefault="00DB7F95" w:rsidP="00DB7F95">
      <w:pPr>
        <w:pStyle w:val="Textoindependiente21"/>
        <w:spacing w:after="0"/>
        <w:ind w:left="0"/>
        <w:jc w:val="both"/>
        <w:rPr>
          <w:rFonts w:cs="Arial"/>
          <w:b/>
          <w:color w:val="000000"/>
          <w:sz w:val="24"/>
          <w:szCs w:val="24"/>
          <w:lang w:val="es-CO"/>
        </w:rPr>
      </w:pPr>
    </w:p>
    <w:p w:rsidR="00DB7F95" w:rsidRPr="00595446" w:rsidRDefault="00DB7F95" w:rsidP="00DB7F95">
      <w:pPr>
        <w:pStyle w:val="Textoindependiente21"/>
        <w:spacing w:after="0"/>
        <w:ind w:left="0"/>
        <w:jc w:val="both"/>
        <w:rPr>
          <w:rFonts w:cs="Arial"/>
          <w:color w:val="000000"/>
          <w:sz w:val="24"/>
          <w:szCs w:val="24"/>
          <w:lang w:val="es-CO"/>
        </w:rPr>
      </w:pPr>
      <w:r>
        <w:rPr>
          <w:rFonts w:cs="Arial"/>
          <w:b/>
          <w:color w:val="000000"/>
          <w:sz w:val="24"/>
          <w:szCs w:val="24"/>
          <w:lang w:val="es-CO"/>
        </w:rPr>
        <w:t xml:space="preserve">SEXTO. OFICIAR </w:t>
      </w:r>
      <w:r w:rsidR="001E20AD">
        <w:rPr>
          <w:rFonts w:cs="Arial"/>
          <w:color w:val="000000"/>
          <w:sz w:val="24"/>
          <w:szCs w:val="24"/>
          <w:lang w:val="es-CO"/>
        </w:rPr>
        <w:t xml:space="preserve">a las Secciones Primera, Segunda, Subsección B </w:t>
      </w:r>
      <w:r w:rsidR="00595446">
        <w:rPr>
          <w:rFonts w:cs="Arial"/>
          <w:color w:val="000000"/>
          <w:sz w:val="24"/>
          <w:szCs w:val="24"/>
          <w:lang w:val="es-CO"/>
        </w:rPr>
        <w:t xml:space="preserve">y Quinta del Consejo de Estado para que, quien tenga a su disposición el expediente contentivo del proceso </w:t>
      </w:r>
      <w:r w:rsidR="00387ED0">
        <w:rPr>
          <w:rFonts w:cs="Arial"/>
          <w:color w:val="000000"/>
          <w:sz w:val="24"/>
          <w:szCs w:val="24"/>
          <w:lang w:val="es-CO"/>
        </w:rPr>
        <w:t xml:space="preserve">de nulidad </w:t>
      </w:r>
      <w:r w:rsidR="00595446">
        <w:rPr>
          <w:rFonts w:cs="Arial"/>
          <w:color w:val="000000"/>
          <w:sz w:val="24"/>
          <w:szCs w:val="24"/>
          <w:lang w:val="es-CO"/>
        </w:rPr>
        <w:t xml:space="preserve">electoral radicado al número </w:t>
      </w:r>
      <w:r w:rsidR="00595446" w:rsidRPr="007C6BD9">
        <w:rPr>
          <w:sz w:val="24"/>
          <w:szCs w:val="24"/>
        </w:rPr>
        <w:t>70001-23-33-000-2020-00004-03</w:t>
      </w:r>
      <w:r w:rsidR="00595446">
        <w:rPr>
          <w:sz w:val="24"/>
          <w:szCs w:val="24"/>
        </w:rPr>
        <w:t xml:space="preserve"> (acumulado), lo allegue a este Despacho, en medio digital, en el término de </w:t>
      </w:r>
      <w:r>
        <w:rPr>
          <w:rFonts w:cs="Arial"/>
          <w:color w:val="000000"/>
          <w:sz w:val="24"/>
          <w:szCs w:val="24"/>
          <w:lang w:val="es-CO"/>
        </w:rPr>
        <w:t xml:space="preserve">tres (3) días </w:t>
      </w:r>
      <w:r>
        <w:rPr>
          <w:sz w:val="24"/>
          <w:szCs w:val="24"/>
        </w:rPr>
        <w:t xml:space="preserve">contados a partir de la notificación de la presente providencia. </w:t>
      </w:r>
    </w:p>
    <w:p w:rsidR="00DB7F95" w:rsidRPr="00C7007B" w:rsidRDefault="00DB7F95" w:rsidP="00DB7F95">
      <w:pPr>
        <w:pStyle w:val="Textoindependiente21"/>
        <w:spacing w:after="0"/>
        <w:ind w:left="0"/>
        <w:jc w:val="both"/>
        <w:rPr>
          <w:rFonts w:cs="Arial"/>
          <w:color w:val="000000"/>
          <w:sz w:val="24"/>
          <w:szCs w:val="24"/>
          <w:lang w:val="es-CO"/>
        </w:rPr>
      </w:pPr>
    </w:p>
    <w:p w:rsidR="00DB7F95" w:rsidRDefault="00595446" w:rsidP="00DB7F95">
      <w:pPr>
        <w:pStyle w:val="Textoindependiente21"/>
        <w:spacing w:after="0"/>
        <w:ind w:left="0"/>
        <w:jc w:val="both"/>
        <w:rPr>
          <w:sz w:val="24"/>
          <w:szCs w:val="24"/>
        </w:rPr>
      </w:pPr>
      <w:r>
        <w:rPr>
          <w:b/>
          <w:bCs/>
          <w:sz w:val="24"/>
          <w:szCs w:val="24"/>
        </w:rPr>
        <w:t>SÉPTIMO</w:t>
      </w:r>
      <w:r w:rsidR="00DB7F95">
        <w:rPr>
          <w:b/>
          <w:bCs/>
          <w:sz w:val="24"/>
          <w:szCs w:val="24"/>
        </w:rPr>
        <w:t xml:space="preserve">. </w:t>
      </w:r>
      <w:r w:rsidR="00DB7F95" w:rsidRPr="000449A1">
        <w:rPr>
          <w:b/>
          <w:bCs/>
          <w:sz w:val="24"/>
          <w:szCs w:val="24"/>
        </w:rPr>
        <w:t>TENER</w:t>
      </w:r>
      <w:r w:rsidR="00DB7F95">
        <w:rPr>
          <w:sz w:val="24"/>
          <w:szCs w:val="24"/>
        </w:rPr>
        <w:t xml:space="preserve"> como pruebas los documentos aportados con la demanda de tutela. </w:t>
      </w:r>
    </w:p>
    <w:p w:rsidR="00DB7F95" w:rsidRPr="00E87C79" w:rsidRDefault="00DB7F95" w:rsidP="00DB7F95">
      <w:pPr>
        <w:pStyle w:val="Textoindependiente21"/>
        <w:spacing w:after="0"/>
        <w:ind w:left="0"/>
        <w:jc w:val="both"/>
        <w:rPr>
          <w:rFonts w:cs="Arial"/>
          <w:color w:val="000000"/>
          <w:sz w:val="24"/>
          <w:szCs w:val="24"/>
          <w:lang w:val="es-CO"/>
        </w:rPr>
      </w:pPr>
    </w:p>
    <w:p w:rsidR="00133E9A" w:rsidRPr="00133E9A" w:rsidRDefault="00595446" w:rsidP="00DB7F95">
      <w:pPr>
        <w:pStyle w:val="Textoindependiente21"/>
        <w:spacing w:after="0"/>
        <w:ind w:left="0"/>
        <w:jc w:val="both"/>
        <w:rPr>
          <w:rFonts w:cs="Arial"/>
          <w:sz w:val="24"/>
          <w:szCs w:val="24"/>
        </w:rPr>
      </w:pPr>
      <w:r>
        <w:rPr>
          <w:rFonts w:cs="Arial"/>
          <w:b/>
          <w:color w:val="000000"/>
          <w:sz w:val="24"/>
          <w:szCs w:val="24"/>
        </w:rPr>
        <w:t>OCTAVO</w:t>
      </w:r>
      <w:r w:rsidR="00DB7F95">
        <w:rPr>
          <w:rFonts w:cs="Arial"/>
          <w:b/>
          <w:sz w:val="24"/>
          <w:szCs w:val="24"/>
        </w:rPr>
        <w:t xml:space="preserve">. </w:t>
      </w:r>
      <w:r w:rsidR="00133E9A">
        <w:rPr>
          <w:rFonts w:cs="Arial"/>
          <w:b/>
          <w:sz w:val="24"/>
          <w:szCs w:val="24"/>
        </w:rPr>
        <w:t xml:space="preserve">NEGAR </w:t>
      </w:r>
      <w:r w:rsidR="00133E9A" w:rsidRPr="00133E9A">
        <w:rPr>
          <w:rFonts w:cs="Arial"/>
          <w:sz w:val="24"/>
          <w:szCs w:val="24"/>
        </w:rPr>
        <w:t xml:space="preserve">la </w:t>
      </w:r>
      <w:r w:rsidR="009C13A1">
        <w:rPr>
          <w:rFonts w:cs="Arial"/>
          <w:sz w:val="24"/>
          <w:szCs w:val="24"/>
        </w:rPr>
        <w:t xml:space="preserve">solicitud de </w:t>
      </w:r>
      <w:r w:rsidR="00133E9A" w:rsidRPr="00133E9A">
        <w:rPr>
          <w:rFonts w:cs="Arial"/>
          <w:sz w:val="24"/>
          <w:szCs w:val="24"/>
        </w:rPr>
        <w:t xml:space="preserve">medida provisional solicitada por Elkin </w:t>
      </w:r>
      <w:r w:rsidR="00D9122E">
        <w:rPr>
          <w:rFonts w:cs="Arial"/>
          <w:sz w:val="24"/>
          <w:szCs w:val="24"/>
        </w:rPr>
        <w:t xml:space="preserve">Enrique </w:t>
      </w:r>
      <w:r w:rsidR="00133E9A" w:rsidRPr="00133E9A">
        <w:rPr>
          <w:rFonts w:cs="Arial"/>
          <w:sz w:val="24"/>
          <w:szCs w:val="24"/>
        </w:rPr>
        <w:t xml:space="preserve">Díaz Camacho, por las razones expuestas en esta providencia. </w:t>
      </w:r>
    </w:p>
    <w:p w:rsidR="00133E9A" w:rsidRDefault="00133E9A" w:rsidP="00DB7F95">
      <w:pPr>
        <w:pStyle w:val="Textoindependiente21"/>
        <w:spacing w:after="0"/>
        <w:ind w:left="0"/>
        <w:jc w:val="both"/>
        <w:rPr>
          <w:rFonts w:cs="Arial"/>
          <w:b/>
          <w:sz w:val="24"/>
          <w:szCs w:val="24"/>
        </w:rPr>
      </w:pPr>
    </w:p>
    <w:p w:rsidR="00DB7F95" w:rsidRPr="00211F0C" w:rsidRDefault="00133E9A" w:rsidP="00DB7F95">
      <w:pPr>
        <w:pStyle w:val="Textoindependiente21"/>
        <w:spacing w:after="0"/>
        <w:ind w:left="0"/>
        <w:jc w:val="both"/>
        <w:rPr>
          <w:rFonts w:cs="Arial"/>
          <w:color w:val="000000"/>
          <w:sz w:val="24"/>
          <w:szCs w:val="24"/>
        </w:rPr>
      </w:pPr>
      <w:r>
        <w:rPr>
          <w:rFonts w:cs="Arial"/>
          <w:b/>
          <w:sz w:val="24"/>
          <w:szCs w:val="24"/>
        </w:rPr>
        <w:t xml:space="preserve">NOVENO. </w:t>
      </w:r>
      <w:r w:rsidR="00DB7F95" w:rsidRPr="00211F0C">
        <w:rPr>
          <w:rFonts w:cs="Arial"/>
          <w:b/>
          <w:sz w:val="24"/>
          <w:szCs w:val="24"/>
        </w:rPr>
        <w:t>SUSPENDER</w:t>
      </w:r>
      <w:r w:rsidR="00DB7F95" w:rsidRPr="00211F0C">
        <w:rPr>
          <w:rFonts w:cs="Arial"/>
          <w:sz w:val="24"/>
          <w:szCs w:val="24"/>
        </w:rPr>
        <w:t xml:space="preserve"> </w:t>
      </w:r>
      <w:r w:rsidR="00DB7F95" w:rsidRPr="00537386">
        <w:rPr>
          <w:rFonts w:cs="Arial"/>
          <w:sz w:val="24"/>
          <w:szCs w:val="24"/>
          <w:lang w:val="es-ES"/>
        </w:rPr>
        <w:t>los términos de la presente acción constitucional</w:t>
      </w:r>
      <w:r w:rsidR="00DB7F95">
        <w:rPr>
          <w:rFonts w:cs="Arial"/>
          <w:sz w:val="24"/>
          <w:szCs w:val="24"/>
          <w:lang w:val="es-ES"/>
        </w:rPr>
        <w:t xml:space="preserve"> </w:t>
      </w:r>
      <w:r w:rsidR="00DB7F95" w:rsidRPr="00537386">
        <w:rPr>
          <w:rFonts w:cs="Arial"/>
          <w:sz w:val="24"/>
          <w:szCs w:val="24"/>
          <w:lang w:val="es-ES"/>
        </w:rPr>
        <w:t>hasta tanto se dé cumplimiento a las órdenes impartidas en esta providencia</w:t>
      </w:r>
      <w:r w:rsidR="00DB7F95">
        <w:rPr>
          <w:rFonts w:cs="Arial"/>
          <w:sz w:val="24"/>
          <w:szCs w:val="24"/>
          <w:lang w:val="es-ES"/>
        </w:rPr>
        <w:t xml:space="preserve">, </w:t>
      </w:r>
      <w:r w:rsidR="00DB7F95" w:rsidRPr="00537386">
        <w:rPr>
          <w:rFonts w:cs="Arial"/>
          <w:sz w:val="24"/>
          <w:szCs w:val="24"/>
          <w:lang w:val="es-ES"/>
        </w:rPr>
        <w:t>y el expediente regrese al Despacho desde la Secretaría General.</w:t>
      </w:r>
      <w:r w:rsidR="00DB7F95">
        <w:rPr>
          <w:rFonts w:cs="Arial"/>
          <w:sz w:val="24"/>
          <w:szCs w:val="24"/>
          <w:lang w:val="es-ES"/>
        </w:rPr>
        <w:t xml:space="preserve"> </w:t>
      </w:r>
    </w:p>
    <w:p w:rsidR="00DB7F95" w:rsidRDefault="00DB7F95" w:rsidP="00DB7F95">
      <w:pPr>
        <w:pStyle w:val="Textoindependiente21"/>
        <w:spacing w:after="0"/>
        <w:ind w:left="0"/>
        <w:jc w:val="both"/>
        <w:rPr>
          <w:rFonts w:cs="Arial"/>
          <w:b/>
          <w:sz w:val="24"/>
          <w:szCs w:val="24"/>
        </w:rPr>
      </w:pPr>
    </w:p>
    <w:p w:rsidR="00DB7F95" w:rsidRPr="00211F0C" w:rsidRDefault="00DB7F95" w:rsidP="00DB7F95">
      <w:pPr>
        <w:pStyle w:val="Textoindependiente21"/>
        <w:spacing w:after="0"/>
        <w:ind w:left="0"/>
        <w:jc w:val="both"/>
        <w:rPr>
          <w:rFonts w:cs="Arial"/>
          <w:sz w:val="24"/>
          <w:szCs w:val="24"/>
        </w:rPr>
      </w:pPr>
      <w:r w:rsidRPr="00211F0C">
        <w:rPr>
          <w:rFonts w:cs="Arial"/>
          <w:b/>
          <w:sz w:val="24"/>
          <w:szCs w:val="24"/>
        </w:rPr>
        <w:t>Notifíquese y Cúmplase</w:t>
      </w:r>
      <w:r w:rsidRPr="00211F0C">
        <w:rPr>
          <w:rFonts w:cs="Arial"/>
          <w:sz w:val="24"/>
          <w:szCs w:val="24"/>
        </w:rPr>
        <w:t>,</w:t>
      </w:r>
      <w:r>
        <w:rPr>
          <w:rFonts w:cs="Arial"/>
          <w:sz w:val="24"/>
          <w:szCs w:val="24"/>
        </w:rPr>
        <w:t xml:space="preserve"> </w:t>
      </w:r>
    </w:p>
    <w:p w:rsidR="00DB7F95" w:rsidRDefault="00DB7F95" w:rsidP="00DB7F95">
      <w:pPr>
        <w:pStyle w:val="Textoindependiente21"/>
        <w:spacing w:after="0"/>
        <w:ind w:left="0"/>
        <w:jc w:val="both"/>
        <w:rPr>
          <w:rFonts w:cs="Arial"/>
          <w:sz w:val="24"/>
          <w:szCs w:val="24"/>
        </w:rPr>
      </w:pPr>
    </w:p>
    <w:p w:rsidR="00DB7F95" w:rsidRPr="00211F0C" w:rsidRDefault="00DB7F95" w:rsidP="00DB7F95">
      <w:pPr>
        <w:pStyle w:val="Textoindependiente21"/>
        <w:spacing w:after="0"/>
        <w:ind w:left="0"/>
        <w:jc w:val="both"/>
        <w:rPr>
          <w:rFonts w:cs="Arial"/>
          <w:sz w:val="24"/>
          <w:szCs w:val="24"/>
        </w:rPr>
      </w:pPr>
    </w:p>
    <w:p w:rsidR="00DB7F95" w:rsidRPr="00211F0C" w:rsidRDefault="00DB7F95" w:rsidP="00DB7F95">
      <w:pPr>
        <w:pStyle w:val="Textoindependiente21"/>
        <w:spacing w:after="0"/>
        <w:ind w:left="0"/>
        <w:jc w:val="center"/>
        <w:rPr>
          <w:rFonts w:cs="Arial"/>
          <w:b/>
          <w:sz w:val="24"/>
          <w:szCs w:val="24"/>
        </w:rPr>
      </w:pPr>
      <w:r w:rsidRPr="00211F0C">
        <w:rPr>
          <w:rFonts w:cs="Arial"/>
          <w:b/>
          <w:sz w:val="24"/>
          <w:szCs w:val="24"/>
        </w:rPr>
        <w:t>JAIME ENRIQUE RODRÍGUEZ NAVAS</w:t>
      </w:r>
    </w:p>
    <w:p w:rsidR="00DB7F95" w:rsidRDefault="00DB7F95" w:rsidP="00DB7F95">
      <w:pPr>
        <w:pStyle w:val="Textoindependiente21"/>
        <w:spacing w:after="0"/>
        <w:ind w:left="0"/>
        <w:jc w:val="center"/>
        <w:rPr>
          <w:rFonts w:cs="Arial"/>
          <w:b/>
          <w:sz w:val="24"/>
          <w:szCs w:val="24"/>
        </w:rPr>
      </w:pPr>
      <w:r w:rsidRPr="00211F0C">
        <w:rPr>
          <w:rFonts w:cs="Arial"/>
          <w:b/>
          <w:sz w:val="24"/>
          <w:szCs w:val="24"/>
        </w:rPr>
        <w:t>Magistrado</w:t>
      </w:r>
    </w:p>
    <w:p w:rsidR="00DB7F95" w:rsidRPr="00903D7A" w:rsidRDefault="00DB7F95" w:rsidP="00DB7F95">
      <w:pPr>
        <w:pStyle w:val="Textoindependiente21"/>
        <w:spacing w:after="0"/>
        <w:ind w:left="0"/>
        <w:jc w:val="both"/>
        <w:rPr>
          <w:rFonts w:cs="Arial"/>
          <w:sz w:val="24"/>
          <w:szCs w:val="24"/>
        </w:rPr>
      </w:pPr>
      <w:r w:rsidRPr="00A73A26">
        <w:t>VMP</w:t>
      </w:r>
    </w:p>
    <w:p w:rsidR="00DB7F95" w:rsidRDefault="00DB7F95" w:rsidP="00DB7F95"/>
    <w:p w:rsidR="00DB7F95" w:rsidRDefault="00DB7F95" w:rsidP="00DB7F95"/>
    <w:p w:rsidR="00306FBD" w:rsidRDefault="00306FBD"/>
    <w:sectPr w:rsidR="00306FBD" w:rsidSect="000A6FBD">
      <w:headerReference w:type="default" r:id="rId10"/>
      <w:footerReference w:type="default" r:id="rId11"/>
      <w:headerReference w:type="first" r:id="rId12"/>
      <w:footerReference w:type="first" r:id="rId13"/>
      <w:pgSz w:w="12240" w:h="20160"/>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01F" w:rsidRDefault="00D2201F" w:rsidP="00DB7F95">
      <w:r>
        <w:separator/>
      </w:r>
    </w:p>
  </w:endnote>
  <w:endnote w:type="continuationSeparator" w:id="0">
    <w:p w:rsidR="00D2201F" w:rsidRDefault="00D2201F" w:rsidP="00DB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387ED0" w:rsidTr="00B82AE5">
      <w:trPr>
        <w:jc w:val="right"/>
      </w:trPr>
      <w:tc>
        <w:tcPr>
          <w:tcW w:w="4795" w:type="dxa"/>
          <w:vAlign w:val="center"/>
        </w:tcPr>
        <w:p w:rsidR="00C53B7C" w:rsidRPr="00387ED0" w:rsidRDefault="00636656" w:rsidP="00C53B7C">
          <w:pPr>
            <w:pStyle w:val="Encabezado"/>
            <w:jc w:val="center"/>
            <w:rPr>
              <w:color w:val="767171"/>
              <w:sz w:val="20"/>
              <w:szCs w:val="20"/>
            </w:rPr>
          </w:pPr>
          <w:r w:rsidRPr="00387ED0">
            <w:rPr>
              <w:color w:val="767171"/>
              <w:sz w:val="20"/>
              <w:szCs w:val="20"/>
            </w:rPr>
            <w:t>Calle 12 No. 7-65 – Tel: (57-1) 350-6700 – Bogotá D.C. – Colombia</w:t>
          </w:r>
        </w:p>
        <w:p w:rsidR="00C53B7C" w:rsidRPr="00387ED0" w:rsidRDefault="00636656" w:rsidP="00C53B7C">
          <w:pPr>
            <w:pStyle w:val="Encabezado"/>
            <w:jc w:val="center"/>
            <w:rPr>
              <w:caps/>
              <w:color w:val="000000"/>
              <w:sz w:val="20"/>
              <w:szCs w:val="20"/>
            </w:rPr>
          </w:pPr>
          <w:r w:rsidRPr="00387ED0">
            <w:rPr>
              <w:color w:val="767171"/>
              <w:sz w:val="20"/>
              <w:szCs w:val="20"/>
            </w:rPr>
            <w:t>www.consejodeestado.gov.co</w:t>
          </w:r>
        </w:p>
      </w:tc>
      <w:tc>
        <w:tcPr>
          <w:tcW w:w="250" w:type="pct"/>
          <w:shd w:val="clear" w:color="auto" w:fill="auto"/>
          <w:vAlign w:val="center"/>
        </w:tcPr>
        <w:p w:rsidR="00C53B7C" w:rsidRPr="00387ED0" w:rsidRDefault="00636656" w:rsidP="00C53B7C">
          <w:pPr>
            <w:pStyle w:val="Piedepgina"/>
            <w:jc w:val="center"/>
            <w:rPr>
              <w:sz w:val="20"/>
              <w:szCs w:val="20"/>
            </w:rPr>
          </w:pPr>
          <w:r w:rsidRPr="00387ED0">
            <w:rPr>
              <w:sz w:val="20"/>
              <w:szCs w:val="20"/>
            </w:rPr>
            <w:fldChar w:fldCharType="begin"/>
          </w:r>
          <w:r w:rsidRPr="00387ED0">
            <w:rPr>
              <w:sz w:val="20"/>
              <w:szCs w:val="20"/>
            </w:rPr>
            <w:instrText>PAGE   \* MERGEFORMAT</w:instrText>
          </w:r>
          <w:r w:rsidRPr="00387ED0">
            <w:rPr>
              <w:sz w:val="20"/>
              <w:szCs w:val="20"/>
            </w:rPr>
            <w:fldChar w:fldCharType="separate"/>
          </w:r>
          <w:r w:rsidRPr="00387ED0">
            <w:rPr>
              <w:noProof/>
              <w:sz w:val="20"/>
              <w:szCs w:val="20"/>
              <w:lang w:val="es-ES"/>
            </w:rPr>
            <w:t>3</w:t>
          </w:r>
          <w:r w:rsidRPr="00387ED0">
            <w:rPr>
              <w:sz w:val="20"/>
              <w:szCs w:val="20"/>
            </w:rPr>
            <w:fldChar w:fldCharType="end"/>
          </w:r>
        </w:p>
      </w:tc>
    </w:tr>
  </w:tbl>
  <w:p w:rsidR="00EC38ED" w:rsidRPr="00387ED0" w:rsidRDefault="00D2201F" w:rsidP="00C53B7C">
    <w:pPr>
      <w:pStyle w:val="Piedepgin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D52A24" w:rsidTr="00B82AE5">
      <w:trPr>
        <w:jc w:val="right"/>
      </w:trPr>
      <w:tc>
        <w:tcPr>
          <w:tcW w:w="4795" w:type="dxa"/>
          <w:vAlign w:val="center"/>
        </w:tcPr>
        <w:p w:rsidR="00C53B7C" w:rsidRPr="00D52A24" w:rsidRDefault="00636656" w:rsidP="00C53B7C">
          <w:pPr>
            <w:pStyle w:val="Encabezado"/>
            <w:jc w:val="center"/>
            <w:rPr>
              <w:color w:val="767171"/>
            </w:rPr>
          </w:pPr>
          <w:r w:rsidRPr="00D52A24">
            <w:rPr>
              <w:color w:val="767171"/>
            </w:rPr>
            <w:t>Calle 12 No. 7-65 – Tel: (57-1) 350-6700 – Bogotá D.C. – Colombia</w:t>
          </w:r>
        </w:p>
        <w:p w:rsidR="00C53B7C" w:rsidRPr="00D52A24" w:rsidRDefault="00636656" w:rsidP="00C53B7C">
          <w:pPr>
            <w:pStyle w:val="Encabezado"/>
            <w:jc w:val="center"/>
            <w:rPr>
              <w:caps/>
              <w:color w:val="000000"/>
            </w:rPr>
          </w:pPr>
          <w:r w:rsidRPr="00D52A24">
            <w:rPr>
              <w:color w:val="767171"/>
            </w:rPr>
            <w:t>www.consejodeestado.gov.co</w:t>
          </w:r>
        </w:p>
      </w:tc>
      <w:tc>
        <w:tcPr>
          <w:tcW w:w="250" w:type="pct"/>
          <w:shd w:val="clear" w:color="auto" w:fill="auto"/>
          <w:vAlign w:val="center"/>
        </w:tcPr>
        <w:p w:rsidR="00C53B7C" w:rsidRPr="00D52A24" w:rsidRDefault="00636656" w:rsidP="00C53B7C">
          <w:pPr>
            <w:pStyle w:val="Piedepgina"/>
            <w:jc w:val="center"/>
          </w:pPr>
          <w:r w:rsidRPr="00D52A24">
            <w:fldChar w:fldCharType="begin"/>
          </w:r>
          <w:r w:rsidRPr="00D52A24">
            <w:instrText>PAGE   \* MERGEFORMAT</w:instrText>
          </w:r>
          <w:r w:rsidRPr="00D52A24">
            <w:fldChar w:fldCharType="separate"/>
          </w:r>
          <w:r w:rsidRPr="00D52A24">
            <w:rPr>
              <w:noProof/>
              <w:lang w:val="es-ES"/>
            </w:rPr>
            <w:t>1</w:t>
          </w:r>
          <w:r w:rsidRPr="00D52A24">
            <w:fldChar w:fldCharType="end"/>
          </w:r>
        </w:p>
      </w:tc>
    </w:tr>
  </w:tbl>
  <w:p w:rsidR="00F91B32" w:rsidRPr="00C53B7C" w:rsidRDefault="00D2201F"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01F" w:rsidRDefault="00D2201F" w:rsidP="00DB7F95">
      <w:r>
        <w:separator/>
      </w:r>
    </w:p>
  </w:footnote>
  <w:footnote w:type="continuationSeparator" w:id="0">
    <w:p w:rsidR="00D2201F" w:rsidRDefault="00D2201F" w:rsidP="00DB7F95">
      <w:r>
        <w:continuationSeparator/>
      </w:r>
    </w:p>
  </w:footnote>
  <w:footnote w:id="1">
    <w:p w:rsidR="002A593F" w:rsidRPr="00387ED0" w:rsidRDefault="002A593F">
      <w:pPr>
        <w:pStyle w:val="Textonotapie"/>
        <w:rPr>
          <w:lang w:val="es-MX"/>
        </w:rPr>
      </w:pPr>
      <w:r w:rsidRPr="00387ED0">
        <w:rPr>
          <w:rStyle w:val="Refdenotaalpie"/>
        </w:rPr>
        <w:footnoteRef/>
      </w:r>
      <w:r w:rsidRPr="00387ED0">
        <w:t xml:space="preserve"> </w:t>
      </w:r>
      <w:r w:rsidRPr="00387ED0">
        <w:rPr>
          <w:lang w:val="es-MX"/>
        </w:rPr>
        <w:t xml:space="preserve">Documento contenido en el expediente digital de tutela con certificado </w:t>
      </w:r>
      <w:r w:rsidRPr="00387ED0">
        <w:rPr>
          <w:shd w:val="clear" w:color="auto" w:fill="FFFFFF"/>
        </w:rPr>
        <w:t xml:space="preserve">9F544AC0886A06AD E915D4F0C923DF73 A6B6CDC4FEC27AF9 69E416E423F19A3D, ubicado en el índice 2. </w:t>
      </w:r>
    </w:p>
  </w:footnote>
  <w:footnote w:id="2">
    <w:p w:rsidR="00484CB7" w:rsidRPr="002A593F" w:rsidRDefault="00484CB7">
      <w:pPr>
        <w:pStyle w:val="Textonotapie"/>
        <w:rPr>
          <w:lang w:val="es-MX"/>
        </w:rPr>
      </w:pPr>
      <w:r w:rsidRPr="00387ED0">
        <w:rPr>
          <w:rStyle w:val="Refdenotaalpie"/>
        </w:rPr>
        <w:footnoteRef/>
      </w:r>
      <w:r w:rsidRPr="00387ED0">
        <w:t xml:space="preserve"> </w:t>
      </w:r>
      <w:r w:rsidRPr="00387ED0">
        <w:rPr>
          <w:lang w:val="es-MX"/>
        </w:rPr>
        <w:t xml:space="preserve">De los procesos radicados a los números </w:t>
      </w:r>
      <w:r w:rsidRPr="00387ED0">
        <w:t>70001-23-33-000-2020-00001-00 y 70001-23- 33-000-2020-00003-00.</w:t>
      </w:r>
      <w:r w:rsidRPr="002A593F">
        <w:t xml:space="preserve"> </w:t>
      </w:r>
    </w:p>
  </w:footnote>
  <w:footnote w:id="3">
    <w:p w:rsidR="00337A6F" w:rsidRPr="00387ED0" w:rsidRDefault="00337A6F">
      <w:pPr>
        <w:pStyle w:val="Textonotapie"/>
        <w:rPr>
          <w:lang w:val="es-MX"/>
        </w:rPr>
      </w:pPr>
      <w:r w:rsidRPr="00387ED0">
        <w:rPr>
          <w:rStyle w:val="Refdenotaalpie"/>
        </w:rPr>
        <w:footnoteRef/>
      </w:r>
      <w:r w:rsidRPr="00387ED0">
        <w:t xml:space="preserve"> </w:t>
      </w:r>
      <w:r w:rsidRPr="00387ED0">
        <w:rPr>
          <w:lang w:val="es-MX"/>
        </w:rPr>
        <w:t xml:space="preserve">Documento contenido en el expediente digital de tutela con certificado </w:t>
      </w:r>
      <w:r w:rsidRPr="00387ED0">
        <w:rPr>
          <w:shd w:val="clear" w:color="auto" w:fill="FFFFFF"/>
        </w:rPr>
        <w:t xml:space="preserve">9F544AC0886A06AD E915D4F0C923DF73 A6B6CDC4FEC27AF9 69E416E423F19A3D, ubicado en el índice 2. </w:t>
      </w:r>
    </w:p>
  </w:footnote>
  <w:footnote w:id="4">
    <w:p w:rsidR="00A873F4" w:rsidRPr="00387ED0" w:rsidRDefault="00A873F4" w:rsidP="00A873F4">
      <w:pPr>
        <w:pStyle w:val="Textonotapie"/>
        <w:rPr>
          <w:lang w:val="es-MX"/>
        </w:rPr>
      </w:pPr>
      <w:r w:rsidRPr="00387ED0">
        <w:rPr>
          <w:rStyle w:val="Refdenotaalpie"/>
        </w:rPr>
        <w:footnoteRef/>
      </w:r>
      <w:r w:rsidRPr="00387ED0">
        <w:t xml:space="preserve"> Cfr. Corte Constitucional, Autos 262 de 2019, 680 de 2018 y 312 de 2018.</w:t>
      </w:r>
    </w:p>
  </w:footnote>
  <w:footnote w:id="5">
    <w:p w:rsidR="00A873F4" w:rsidRPr="00387ED0" w:rsidRDefault="00A873F4" w:rsidP="00A873F4">
      <w:pPr>
        <w:pStyle w:val="Textonotapie"/>
        <w:rPr>
          <w:lang w:val="es-MX"/>
        </w:rPr>
      </w:pPr>
      <w:r w:rsidRPr="00387ED0">
        <w:rPr>
          <w:rStyle w:val="Refdenotaalpie"/>
        </w:rPr>
        <w:footnoteRef/>
      </w:r>
      <w:r w:rsidRPr="00387ED0">
        <w:t xml:space="preserve"> </w:t>
      </w:r>
      <w:r w:rsidRPr="00387ED0">
        <w:rPr>
          <w:lang w:val="es-MX"/>
        </w:rPr>
        <w:t>Corte Constitucional, Auto 311 de 2019.</w:t>
      </w:r>
    </w:p>
  </w:footnote>
  <w:footnote w:id="6">
    <w:p w:rsidR="00A873F4" w:rsidRPr="00387ED0" w:rsidRDefault="00A873F4" w:rsidP="00A873F4">
      <w:pPr>
        <w:pStyle w:val="Textonotapie"/>
        <w:rPr>
          <w:lang w:val="es-MX"/>
        </w:rPr>
      </w:pPr>
      <w:r w:rsidRPr="00387ED0">
        <w:rPr>
          <w:rStyle w:val="Refdenotaalpie"/>
        </w:rPr>
        <w:footnoteRef/>
      </w:r>
      <w:r w:rsidRPr="00387ED0">
        <w:t xml:space="preserve"> </w:t>
      </w:r>
      <w:r w:rsidRPr="00387ED0">
        <w:rPr>
          <w:lang w:val="es-MX"/>
        </w:rPr>
        <w:t>Corte Constitucional, Auto 555 de 2021.</w:t>
      </w:r>
    </w:p>
  </w:footnote>
  <w:footnote w:id="7">
    <w:p w:rsidR="00A873F4" w:rsidRPr="00960453" w:rsidRDefault="00A873F4" w:rsidP="00A873F4">
      <w:pPr>
        <w:pStyle w:val="Textonotapie"/>
        <w:rPr>
          <w:sz w:val="16"/>
          <w:szCs w:val="16"/>
          <w:lang w:val="es-MX"/>
        </w:rPr>
      </w:pPr>
      <w:r w:rsidRPr="00387ED0">
        <w:rPr>
          <w:rStyle w:val="Refdenotaalpie"/>
        </w:rPr>
        <w:footnoteRef/>
      </w:r>
      <w:r w:rsidRPr="00387ED0">
        <w:t xml:space="preserve"> </w:t>
      </w:r>
      <w:r w:rsidRPr="00387ED0">
        <w:rPr>
          <w:lang w:val="es-MX"/>
        </w:rPr>
        <w:t>Corte Constitucional, Auto 311 de 2019</w:t>
      </w:r>
      <w:r w:rsidR="00387ED0" w:rsidRPr="00387ED0">
        <w:rPr>
          <w:lang w:val="es-MX"/>
        </w:rPr>
        <w:t xml:space="preserve">. </w:t>
      </w:r>
    </w:p>
  </w:footnote>
  <w:footnote w:id="8">
    <w:p w:rsidR="00A873F4" w:rsidRPr="00387ED0" w:rsidRDefault="00A873F4" w:rsidP="00A873F4">
      <w:pPr>
        <w:pStyle w:val="Textonotapie"/>
        <w:rPr>
          <w:lang w:val="es-MX"/>
        </w:rPr>
      </w:pPr>
      <w:r w:rsidRPr="00387ED0">
        <w:rPr>
          <w:rStyle w:val="Refdenotaalpie"/>
        </w:rPr>
        <w:footnoteRef/>
      </w:r>
      <w:r w:rsidRPr="00387ED0">
        <w:t xml:space="preserve"> Ibidem.</w:t>
      </w:r>
      <w:r w:rsidR="0076198C" w:rsidRPr="00387ED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91" w:rsidRPr="00A15ACE" w:rsidRDefault="00636656">
    <w:pPr>
      <w:pStyle w:val="Encabezado"/>
    </w:pPr>
    <w:r>
      <w:rPr>
        <w:noProof/>
        <w:lang w:val="es-ES" w:eastAsia="es-ES"/>
      </w:rPr>
      <w:drawing>
        <wp:anchor distT="0" distB="0" distL="114300" distR="114300" simplePos="0" relativeHeight="251659264" behindDoc="0" locked="0" layoutInCell="1" allowOverlap="1" wp14:anchorId="6EB92675" wp14:editId="50054B2B">
          <wp:simplePos x="0" y="0"/>
          <wp:positionH relativeFrom="leftMargin">
            <wp:posOffset>121285</wp:posOffset>
          </wp:positionH>
          <wp:positionV relativeFrom="paragraph">
            <wp:posOffset>-147955</wp:posOffset>
          </wp:positionV>
          <wp:extent cx="977900" cy="909955"/>
          <wp:effectExtent l="0" t="0" r="0" b="4445"/>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909955"/>
                  </a:xfrm>
                  <a:prstGeom prst="rect">
                    <a:avLst/>
                  </a:prstGeom>
                  <a:noFill/>
                </pic:spPr>
              </pic:pic>
            </a:graphicData>
          </a:graphic>
          <wp14:sizeRelH relativeFrom="page">
            <wp14:pctWidth>0</wp14:pctWidth>
          </wp14:sizeRelH>
          <wp14:sizeRelV relativeFrom="page">
            <wp14:pctHeight>0</wp14:pctHeight>
          </wp14:sizeRelV>
        </wp:anchor>
      </w:drawing>
    </w:r>
  </w:p>
  <w:p w:rsidR="00117091" w:rsidRPr="00A15ACE" w:rsidRDefault="00D2201F">
    <w:pPr>
      <w:pStyle w:val="Encabezado"/>
    </w:pPr>
  </w:p>
  <w:p w:rsidR="00117091" w:rsidRPr="00A15ACE" w:rsidRDefault="00636656">
    <w:pPr>
      <w:pStyle w:val="Encabezado"/>
    </w:pPr>
    <w:r>
      <w:rPr>
        <w:noProof/>
        <w:lang w:val="es-ES" w:eastAsia="es-ES"/>
      </w:rPr>
      <mc:AlternateContent>
        <mc:Choice Requires="wps">
          <w:drawing>
            <wp:anchor distT="0" distB="0" distL="114300" distR="114300" simplePos="0" relativeHeight="251660288" behindDoc="0" locked="0" layoutInCell="1" allowOverlap="1" wp14:anchorId="7621836A" wp14:editId="7EBB6EB1">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7BD8F"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" strokeweight="2.25pt">
              <v:path arrowok="f"/>
              <o:lock v:ext="edit" aspectratio="t" verticies="t"/>
            </v:shape>
          </w:pict>
        </mc:Fallback>
      </mc:AlternateContent>
    </w:r>
  </w:p>
  <w:p w:rsidR="00117091" w:rsidRPr="000A6FBD" w:rsidRDefault="00636656" w:rsidP="001775E7">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t>Radicado: 11001-03-15-000-2023</w:t>
    </w:r>
    <w:r w:rsidRPr="000A6FBD">
      <w:rPr>
        <w:i/>
        <w:iCs/>
        <w:color w:val="767171"/>
        <w:sz w:val="20"/>
        <w:szCs w:val="20"/>
      </w:rPr>
      <w:t>-</w:t>
    </w:r>
    <w:r>
      <w:rPr>
        <w:i/>
        <w:iCs/>
        <w:color w:val="767171"/>
        <w:sz w:val="20"/>
        <w:szCs w:val="20"/>
      </w:rPr>
      <w:t>01</w:t>
    </w:r>
    <w:r w:rsidR="00DB7F95">
      <w:rPr>
        <w:i/>
        <w:iCs/>
        <w:color w:val="767171"/>
        <w:sz w:val="20"/>
        <w:szCs w:val="20"/>
      </w:rPr>
      <w:t>263</w:t>
    </w:r>
    <w:r>
      <w:rPr>
        <w:i/>
        <w:iCs/>
        <w:color w:val="767171"/>
        <w:sz w:val="20"/>
        <w:szCs w:val="20"/>
      </w:rPr>
      <w:t>-00</w:t>
    </w:r>
  </w:p>
  <w:p w:rsidR="00716379" w:rsidRDefault="00636656" w:rsidP="00716379">
    <w:pPr>
      <w:tabs>
        <w:tab w:val="left" w:pos="1985"/>
      </w:tabs>
      <w:ind w:left="4248"/>
      <w:contextualSpacing/>
      <w:rPr>
        <w:i/>
        <w:iCs/>
        <w:color w:val="767171"/>
        <w:sz w:val="20"/>
        <w:szCs w:val="20"/>
      </w:rPr>
    </w:pPr>
    <w:r w:rsidRPr="000A6FBD">
      <w:rPr>
        <w:i/>
        <w:iCs/>
        <w:color w:val="767171"/>
        <w:sz w:val="20"/>
        <w:szCs w:val="20"/>
      </w:rPr>
      <w:t xml:space="preserve">Accionante: </w:t>
    </w:r>
    <w:r w:rsidR="00DB7F95">
      <w:rPr>
        <w:i/>
        <w:iCs/>
        <w:color w:val="767171"/>
        <w:sz w:val="20"/>
        <w:szCs w:val="20"/>
      </w:rPr>
      <w:t xml:space="preserve">Elkin </w:t>
    </w:r>
    <w:r w:rsidR="00BA45E6">
      <w:rPr>
        <w:i/>
        <w:iCs/>
        <w:color w:val="767171"/>
        <w:sz w:val="20"/>
        <w:szCs w:val="20"/>
      </w:rPr>
      <w:t xml:space="preserve">Enrique </w:t>
    </w:r>
    <w:r w:rsidR="00DB7F95">
      <w:rPr>
        <w:i/>
        <w:iCs/>
        <w:color w:val="767171"/>
        <w:sz w:val="20"/>
        <w:szCs w:val="20"/>
      </w:rPr>
      <w:t>Díaz Camacho</w:t>
    </w:r>
  </w:p>
  <w:p w:rsidR="00EA08DF" w:rsidRPr="00716379" w:rsidRDefault="00EA08DF" w:rsidP="00716379">
    <w:pPr>
      <w:tabs>
        <w:tab w:val="left" w:pos="1985"/>
      </w:tabs>
      <w:ind w:left="4248"/>
      <w:contextualSpacing/>
      <w:rPr>
        <w:i/>
        <w:i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BD" w:rsidRPr="00A15ACE" w:rsidRDefault="00636656" w:rsidP="000A6FBD">
    <w:pPr>
      <w:pStyle w:val="Encabezado"/>
    </w:pPr>
    <w:r>
      <w:rPr>
        <w:noProof/>
        <w:lang w:val="es-ES" w:eastAsia="es-ES"/>
      </w:rPr>
      <w:drawing>
        <wp:anchor distT="0" distB="0" distL="114300" distR="114300" simplePos="0" relativeHeight="251661312" behindDoc="0" locked="0" layoutInCell="1" allowOverlap="1" wp14:anchorId="77927FCC" wp14:editId="4A3DACEB">
          <wp:simplePos x="0" y="0"/>
          <wp:positionH relativeFrom="column">
            <wp:posOffset>-461972</wp:posOffset>
          </wp:positionH>
          <wp:positionV relativeFrom="paragraph">
            <wp:posOffset>-203921</wp:posOffset>
          </wp:positionV>
          <wp:extent cx="1076960" cy="100266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026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336" behindDoc="0" locked="0" layoutInCell="1" allowOverlap="1" wp14:anchorId="3B1F9E4B" wp14:editId="470884CD">
              <wp:simplePos x="0" y="0"/>
              <wp:positionH relativeFrom="column">
                <wp:posOffset>1379855</wp:posOffset>
              </wp:positionH>
              <wp:positionV relativeFrom="paragraph">
                <wp:posOffset>60325</wp:posOffset>
              </wp:positionV>
              <wp:extent cx="5400040" cy="0"/>
              <wp:effectExtent l="17780" t="22225" r="20955" b="15875"/>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1328B"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r1qXo0ICAACG&#10;BAAADgAAAAAAAAAAAAAAAAAuAgAAZHJzL2Uyb0RvYy54bWxQSwECLQAUAAYACAAAACEAP920wOAA&#10;AAAIAQAADwAAAAAAAAAAAAAAAACcBAAAZHJzL2Rvd25yZXYueG1sUEsFBgAAAAAEAAQA8wAAAKkF&#10;AAAAAA==&#10;" strokeweight="2.25pt">
              <v:path arrowok="f"/>
              <o:lock v:ext="edit" aspectratio="t" verticies="t"/>
            </v:shape>
          </w:pict>
        </mc:Fallback>
      </mc:AlternateContent>
    </w:r>
  </w:p>
  <w:p w:rsidR="000A6FBD" w:rsidRPr="000A6FBD" w:rsidRDefault="00636656" w:rsidP="00B532CD">
    <w:pPr>
      <w:tabs>
        <w:tab w:val="left" w:pos="1985"/>
      </w:tabs>
      <w:ind w:left="2832"/>
      <w:contextualSpacing/>
      <w:rPr>
        <w:i/>
        <w:iCs/>
        <w:color w:val="767171"/>
        <w:sz w:val="20"/>
        <w:szCs w:val="20"/>
      </w:rPr>
    </w:pPr>
    <w:r>
      <w:rPr>
        <w:i/>
        <w:iCs/>
        <w:color w:val="767171"/>
        <w:sz w:val="20"/>
        <w:szCs w:val="20"/>
      </w:rPr>
      <w:tab/>
    </w:r>
    <w:r>
      <w:rPr>
        <w:i/>
        <w:iCs/>
        <w:color w:val="767171"/>
        <w:sz w:val="20"/>
        <w:szCs w:val="20"/>
      </w:rPr>
      <w:tab/>
      <w:t>Radicado: 11001-03-15-000-2023-01</w:t>
    </w:r>
    <w:r w:rsidR="00DB7F95">
      <w:rPr>
        <w:i/>
        <w:iCs/>
        <w:color w:val="767171"/>
        <w:sz w:val="20"/>
        <w:szCs w:val="20"/>
      </w:rPr>
      <w:t>263</w:t>
    </w:r>
    <w:r>
      <w:rPr>
        <w:i/>
        <w:iCs/>
        <w:color w:val="767171"/>
        <w:sz w:val="20"/>
        <w:szCs w:val="20"/>
      </w:rPr>
      <w:t>-00</w:t>
    </w:r>
  </w:p>
  <w:p w:rsidR="000A6FBD" w:rsidRPr="0021203A" w:rsidRDefault="00636656" w:rsidP="00B532CD">
    <w:pPr>
      <w:tabs>
        <w:tab w:val="left" w:pos="1985"/>
      </w:tabs>
      <w:ind w:left="4248"/>
      <w:contextualSpacing/>
      <w:rPr>
        <w:i/>
        <w:iCs/>
        <w:color w:val="767171"/>
        <w:sz w:val="20"/>
        <w:szCs w:val="20"/>
      </w:rPr>
    </w:pPr>
    <w:r w:rsidRPr="000A6FBD">
      <w:rPr>
        <w:i/>
        <w:iCs/>
        <w:color w:val="767171"/>
        <w:sz w:val="20"/>
        <w:szCs w:val="20"/>
      </w:rPr>
      <w:t>Accionante:</w:t>
    </w:r>
    <w:r>
      <w:rPr>
        <w:i/>
        <w:iCs/>
        <w:color w:val="767171"/>
        <w:sz w:val="20"/>
        <w:szCs w:val="20"/>
      </w:rPr>
      <w:t xml:space="preserve"> </w:t>
    </w:r>
    <w:r w:rsidR="007C6BD9">
      <w:rPr>
        <w:i/>
        <w:iCs/>
        <w:color w:val="767171"/>
        <w:sz w:val="20"/>
        <w:szCs w:val="20"/>
      </w:rPr>
      <w:t xml:space="preserve">Elkin </w:t>
    </w:r>
    <w:r w:rsidR="000660AE">
      <w:rPr>
        <w:i/>
        <w:iCs/>
        <w:color w:val="767171"/>
        <w:sz w:val="20"/>
        <w:szCs w:val="20"/>
      </w:rPr>
      <w:t xml:space="preserve">Enrique </w:t>
    </w:r>
    <w:r w:rsidR="007C6BD9">
      <w:rPr>
        <w:i/>
        <w:iCs/>
        <w:color w:val="767171"/>
        <w:sz w:val="20"/>
        <w:szCs w:val="20"/>
      </w:rPr>
      <w:t>Díaz Camacho</w:t>
    </w:r>
  </w:p>
  <w:p w:rsidR="000A6FBD" w:rsidRDefault="00D2201F" w:rsidP="00903D7A">
    <w:pPr>
      <w:pStyle w:val="Sinespaciado"/>
      <w:jc w:val="both"/>
    </w:pPr>
  </w:p>
  <w:p w:rsidR="0074235D" w:rsidRPr="007F276C" w:rsidRDefault="00636656" w:rsidP="00D44675">
    <w:pPr>
      <w:pStyle w:val="Sinespaciado"/>
    </w:pPr>
    <w:r w:rsidRPr="007F276C">
      <w:t>CONSEJO DE ESTADO</w:t>
    </w:r>
  </w:p>
  <w:p w:rsidR="0074235D" w:rsidRPr="007F276C" w:rsidRDefault="00636656" w:rsidP="00D44675">
    <w:pPr>
      <w:pStyle w:val="Sinespaciado"/>
    </w:pPr>
    <w:r w:rsidRPr="007F276C">
      <w:t>SALA DE LO CONTENCIOSO ADMINISTRATIVO</w:t>
    </w:r>
  </w:p>
  <w:p w:rsidR="005905CF" w:rsidRDefault="00636656" w:rsidP="00D44675">
    <w:pPr>
      <w:pStyle w:val="Sinespaciado"/>
    </w:pPr>
    <w:r w:rsidRPr="007F276C">
      <w:t xml:space="preserve">SECCIÓN TERCERA </w:t>
    </w:r>
  </w:p>
  <w:p w:rsidR="00F1441F" w:rsidRDefault="00636656" w:rsidP="00130186">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95"/>
    <w:rsid w:val="0001283A"/>
    <w:rsid w:val="00012911"/>
    <w:rsid w:val="000173E0"/>
    <w:rsid w:val="000245D4"/>
    <w:rsid w:val="00032E25"/>
    <w:rsid w:val="000330A9"/>
    <w:rsid w:val="0003366C"/>
    <w:rsid w:val="00035049"/>
    <w:rsid w:val="00050AF1"/>
    <w:rsid w:val="00056D94"/>
    <w:rsid w:val="000570A3"/>
    <w:rsid w:val="00057FDA"/>
    <w:rsid w:val="00062200"/>
    <w:rsid w:val="00064DDB"/>
    <w:rsid w:val="000660AE"/>
    <w:rsid w:val="00066966"/>
    <w:rsid w:val="00094AA5"/>
    <w:rsid w:val="000A0DDC"/>
    <w:rsid w:val="000A4E9C"/>
    <w:rsid w:val="000A7627"/>
    <w:rsid w:val="000A7E40"/>
    <w:rsid w:val="000B089D"/>
    <w:rsid w:val="000B30F6"/>
    <w:rsid w:val="000B6B29"/>
    <w:rsid w:val="00100204"/>
    <w:rsid w:val="00100AB6"/>
    <w:rsid w:val="0011567F"/>
    <w:rsid w:val="00122547"/>
    <w:rsid w:val="00133E9A"/>
    <w:rsid w:val="00136FB7"/>
    <w:rsid w:val="00140349"/>
    <w:rsid w:val="001444DF"/>
    <w:rsid w:val="00146799"/>
    <w:rsid w:val="00167C3D"/>
    <w:rsid w:val="0017335A"/>
    <w:rsid w:val="00185D8B"/>
    <w:rsid w:val="001872CF"/>
    <w:rsid w:val="00194430"/>
    <w:rsid w:val="001B55F5"/>
    <w:rsid w:val="001B6E77"/>
    <w:rsid w:val="001C7E2A"/>
    <w:rsid w:val="001D3CC1"/>
    <w:rsid w:val="001E20AD"/>
    <w:rsid w:val="001E3281"/>
    <w:rsid w:val="001E3456"/>
    <w:rsid w:val="001F00B7"/>
    <w:rsid w:val="001F2481"/>
    <w:rsid w:val="0020455A"/>
    <w:rsid w:val="002157AE"/>
    <w:rsid w:val="0023585B"/>
    <w:rsid w:val="002360CC"/>
    <w:rsid w:val="00236F4B"/>
    <w:rsid w:val="00242F14"/>
    <w:rsid w:val="0025160C"/>
    <w:rsid w:val="002714E9"/>
    <w:rsid w:val="00282E4B"/>
    <w:rsid w:val="002A593F"/>
    <w:rsid w:val="002B0B8E"/>
    <w:rsid w:val="002C681A"/>
    <w:rsid w:val="002D42B0"/>
    <w:rsid w:val="003054A1"/>
    <w:rsid w:val="00306FBD"/>
    <w:rsid w:val="00310311"/>
    <w:rsid w:val="00311ECD"/>
    <w:rsid w:val="00315CE8"/>
    <w:rsid w:val="0032106B"/>
    <w:rsid w:val="00337A6F"/>
    <w:rsid w:val="003428F8"/>
    <w:rsid w:val="00345452"/>
    <w:rsid w:val="00345947"/>
    <w:rsid w:val="0035301D"/>
    <w:rsid w:val="00356F66"/>
    <w:rsid w:val="003615EC"/>
    <w:rsid w:val="00365749"/>
    <w:rsid w:val="0037062C"/>
    <w:rsid w:val="00387ED0"/>
    <w:rsid w:val="00391194"/>
    <w:rsid w:val="003912F4"/>
    <w:rsid w:val="00396CE3"/>
    <w:rsid w:val="003A77F7"/>
    <w:rsid w:val="003B2A5B"/>
    <w:rsid w:val="003B3223"/>
    <w:rsid w:val="003C3464"/>
    <w:rsid w:val="003E52E8"/>
    <w:rsid w:val="003F0747"/>
    <w:rsid w:val="003F3E92"/>
    <w:rsid w:val="003F48A6"/>
    <w:rsid w:val="003F6A2E"/>
    <w:rsid w:val="004056BF"/>
    <w:rsid w:val="00415E29"/>
    <w:rsid w:val="00415E6B"/>
    <w:rsid w:val="00425CF5"/>
    <w:rsid w:val="00437BB5"/>
    <w:rsid w:val="00445C71"/>
    <w:rsid w:val="00452F10"/>
    <w:rsid w:val="00455BD8"/>
    <w:rsid w:val="00461A67"/>
    <w:rsid w:val="004678B2"/>
    <w:rsid w:val="00471CA5"/>
    <w:rsid w:val="00472AA0"/>
    <w:rsid w:val="00484CB7"/>
    <w:rsid w:val="004A681D"/>
    <w:rsid w:val="004A688F"/>
    <w:rsid w:val="004B151D"/>
    <w:rsid w:val="004B4855"/>
    <w:rsid w:val="004D7859"/>
    <w:rsid w:val="004F7493"/>
    <w:rsid w:val="00500B0E"/>
    <w:rsid w:val="00504EEC"/>
    <w:rsid w:val="005061DF"/>
    <w:rsid w:val="005073AC"/>
    <w:rsid w:val="00531F25"/>
    <w:rsid w:val="00535F72"/>
    <w:rsid w:val="0054094D"/>
    <w:rsid w:val="005421FE"/>
    <w:rsid w:val="00547FD5"/>
    <w:rsid w:val="0056364E"/>
    <w:rsid w:val="0057484E"/>
    <w:rsid w:val="00576065"/>
    <w:rsid w:val="00595446"/>
    <w:rsid w:val="005A226F"/>
    <w:rsid w:val="005B015B"/>
    <w:rsid w:val="005B72C3"/>
    <w:rsid w:val="005B7B2A"/>
    <w:rsid w:val="005C068E"/>
    <w:rsid w:val="005C4DE5"/>
    <w:rsid w:val="005C5622"/>
    <w:rsid w:val="005E4DC3"/>
    <w:rsid w:val="00605A9C"/>
    <w:rsid w:val="00607063"/>
    <w:rsid w:val="00612786"/>
    <w:rsid w:val="00626BC4"/>
    <w:rsid w:val="00636656"/>
    <w:rsid w:val="00645910"/>
    <w:rsid w:val="00653A68"/>
    <w:rsid w:val="00670B9E"/>
    <w:rsid w:val="006826F7"/>
    <w:rsid w:val="006C36B4"/>
    <w:rsid w:val="006E3EE0"/>
    <w:rsid w:val="006F7123"/>
    <w:rsid w:val="007009A7"/>
    <w:rsid w:val="00700FFD"/>
    <w:rsid w:val="007105DD"/>
    <w:rsid w:val="00714DC6"/>
    <w:rsid w:val="007153B7"/>
    <w:rsid w:val="0072777C"/>
    <w:rsid w:val="00736112"/>
    <w:rsid w:val="007530F4"/>
    <w:rsid w:val="007573A2"/>
    <w:rsid w:val="0076198C"/>
    <w:rsid w:val="00772CC7"/>
    <w:rsid w:val="00797459"/>
    <w:rsid w:val="007A1F22"/>
    <w:rsid w:val="007A2033"/>
    <w:rsid w:val="007A4A3F"/>
    <w:rsid w:val="007A701B"/>
    <w:rsid w:val="007A7346"/>
    <w:rsid w:val="007B00EA"/>
    <w:rsid w:val="007B171E"/>
    <w:rsid w:val="007B27D2"/>
    <w:rsid w:val="007C6BD9"/>
    <w:rsid w:val="007F08FA"/>
    <w:rsid w:val="008005D8"/>
    <w:rsid w:val="0080111A"/>
    <w:rsid w:val="00801B02"/>
    <w:rsid w:val="00815B8A"/>
    <w:rsid w:val="00821091"/>
    <w:rsid w:val="00822FD3"/>
    <w:rsid w:val="008250B2"/>
    <w:rsid w:val="008300FE"/>
    <w:rsid w:val="00832E1A"/>
    <w:rsid w:val="00834113"/>
    <w:rsid w:val="00850CC2"/>
    <w:rsid w:val="00850D87"/>
    <w:rsid w:val="00861E3A"/>
    <w:rsid w:val="00861F5B"/>
    <w:rsid w:val="0087084A"/>
    <w:rsid w:val="00876A58"/>
    <w:rsid w:val="008878D1"/>
    <w:rsid w:val="008A0D41"/>
    <w:rsid w:val="008A1A68"/>
    <w:rsid w:val="008A4E55"/>
    <w:rsid w:val="008A517F"/>
    <w:rsid w:val="008A7890"/>
    <w:rsid w:val="008B7F7C"/>
    <w:rsid w:val="008C1640"/>
    <w:rsid w:val="008C7A63"/>
    <w:rsid w:val="008E647B"/>
    <w:rsid w:val="008F734C"/>
    <w:rsid w:val="0090648A"/>
    <w:rsid w:val="00916EDD"/>
    <w:rsid w:val="009321E3"/>
    <w:rsid w:val="00936111"/>
    <w:rsid w:val="00945241"/>
    <w:rsid w:val="00946176"/>
    <w:rsid w:val="00950279"/>
    <w:rsid w:val="00952FF8"/>
    <w:rsid w:val="00960453"/>
    <w:rsid w:val="0097404F"/>
    <w:rsid w:val="00992066"/>
    <w:rsid w:val="009961A2"/>
    <w:rsid w:val="009A6C51"/>
    <w:rsid w:val="009A7062"/>
    <w:rsid w:val="009B1E47"/>
    <w:rsid w:val="009B7E7E"/>
    <w:rsid w:val="009C13A1"/>
    <w:rsid w:val="009C17CF"/>
    <w:rsid w:val="009D31E8"/>
    <w:rsid w:val="009D7F96"/>
    <w:rsid w:val="009E2DC2"/>
    <w:rsid w:val="009E5F8D"/>
    <w:rsid w:val="009F1E24"/>
    <w:rsid w:val="009F7BD7"/>
    <w:rsid w:val="00A11BDA"/>
    <w:rsid w:val="00A15127"/>
    <w:rsid w:val="00A22C74"/>
    <w:rsid w:val="00A3546E"/>
    <w:rsid w:val="00A41E76"/>
    <w:rsid w:val="00A447EC"/>
    <w:rsid w:val="00A51330"/>
    <w:rsid w:val="00A74D92"/>
    <w:rsid w:val="00A81089"/>
    <w:rsid w:val="00A81B77"/>
    <w:rsid w:val="00A873F4"/>
    <w:rsid w:val="00A9117D"/>
    <w:rsid w:val="00A954C0"/>
    <w:rsid w:val="00AB03C5"/>
    <w:rsid w:val="00AB101F"/>
    <w:rsid w:val="00AB509B"/>
    <w:rsid w:val="00AC226D"/>
    <w:rsid w:val="00AC43A9"/>
    <w:rsid w:val="00B044B5"/>
    <w:rsid w:val="00B05F9B"/>
    <w:rsid w:val="00B11DEC"/>
    <w:rsid w:val="00B140FF"/>
    <w:rsid w:val="00B20747"/>
    <w:rsid w:val="00B208AC"/>
    <w:rsid w:val="00B32723"/>
    <w:rsid w:val="00B32908"/>
    <w:rsid w:val="00B43E3F"/>
    <w:rsid w:val="00B4759B"/>
    <w:rsid w:val="00B561D4"/>
    <w:rsid w:val="00B701B3"/>
    <w:rsid w:val="00B73EA0"/>
    <w:rsid w:val="00BA29A9"/>
    <w:rsid w:val="00BA45E6"/>
    <w:rsid w:val="00BC4692"/>
    <w:rsid w:val="00BC528B"/>
    <w:rsid w:val="00BD09CE"/>
    <w:rsid w:val="00BD48CA"/>
    <w:rsid w:val="00BD6877"/>
    <w:rsid w:val="00C009D4"/>
    <w:rsid w:val="00C03F1B"/>
    <w:rsid w:val="00C06B96"/>
    <w:rsid w:val="00C101EB"/>
    <w:rsid w:val="00C223D7"/>
    <w:rsid w:val="00C27483"/>
    <w:rsid w:val="00C27B55"/>
    <w:rsid w:val="00C343A2"/>
    <w:rsid w:val="00C461B9"/>
    <w:rsid w:val="00C50272"/>
    <w:rsid w:val="00C54532"/>
    <w:rsid w:val="00C77309"/>
    <w:rsid w:val="00C813BA"/>
    <w:rsid w:val="00C93AC5"/>
    <w:rsid w:val="00C93B5F"/>
    <w:rsid w:val="00CA06CC"/>
    <w:rsid w:val="00CA73C4"/>
    <w:rsid w:val="00CB4A1B"/>
    <w:rsid w:val="00CC2DBB"/>
    <w:rsid w:val="00CC4B27"/>
    <w:rsid w:val="00CC7924"/>
    <w:rsid w:val="00D03EC3"/>
    <w:rsid w:val="00D04EDB"/>
    <w:rsid w:val="00D1656D"/>
    <w:rsid w:val="00D2201F"/>
    <w:rsid w:val="00D314EB"/>
    <w:rsid w:val="00D44C65"/>
    <w:rsid w:val="00D52A24"/>
    <w:rsid w:val="00D53083"/>
    <w:rsid w:val="00D66597"/>
    <w:rsid w:val="00D73968"/>
    <w:rsid w:val="00D82A3A"/>
    <w:rsid w:val="00D84BE5"/>
    <w:rsid w:val="00D9122E"/>
    <w:rsid w:val="00D95E55"/>
    <w:rsid w:val="00DA08CC"/>
    <w:rsid w:val="00DB098D"/>
    <w:rsid w:val="00DB1F59"/>
    <w:rsid w:val="00DB7F95"/>
    <w:rsid w:val="00DC2B45"/>
    <w:rsid w:val="00DC430D"/>
    <w:rsid w:val="00DC6210"/>
    <w:rsid w:val="00DE0369"/>
    <w:rsid w:val="00E01AD0"/>
    <w:rsid w:val="00E1046F"/>
    <w:rsid w:val="00E112AA"/>
    <w:rsid w:val="00E151B4"/>
    <w:rsid w:val="00E1547E"/>
    <w:rsid w:val="00E2359B"/>
    <w:rsid w:val="00E421CB"/>
    <w:rsid w:val="00E51C9A"/>
    <w:rsid w:val="00E60F45"/>
    <w:rsid w:val="00E618F1"/>
    <w:rsid w:val="00E63771"/>
    <w:rsid w:val="00E67D98"/>
    <w:rsid w:val="00E77E25"/>
    <w:rsid w:val="00EA08DF"/>
    <w:rsid w:val="00EA4301"/>
    <w:rsid w:val="00EB727B"/>
    <w:rsid w:val="00EE13C4"/>
    <w:rsid w:val="00EE3730"/>
    <w:rsid w:val="00EE5945"/>
    <w:rsid w:val="00EF31B6"/>
    <w:rsid w:val="00EF6D4C"/>
    <w:rsid w:val="00EF761F"/>
    <w:rsid w:val="00F2189E"/>
    <w:rsid w:val="00F21DEA"/>
    <w:rsid w:val="00F22FF3"/>
    <w:rsid w:val="00F34605"/>
    <w:rsid w:val="00F35ECC"/>
    <w:rsid w:val="00F64784"/>
    <w:rsid w:val="00F66018"/>
    <w:rsid w:val="00F66B0D"/>
    <w:rsid w:val="00F83627"/>
    <w:rsid w:val="00F9677A"/>
    <w:rsid w:val="00FA518F"/>
    <w:rsid w:val="00FB227C"/>
    <w:rsid w:val="00FB43FF"/>
    <w:rsid w:val="00FC0DFA"/>
    <w:rsid w:val="00FC3C0A"/>
    <w:rsid w:val="00FC4728"/>
    <w:rsid w:val="00FC6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BD1D"/>
  <w15:chartTrackingRefBased/>
  <w15:docId w15:val="{720624C8-9E47-482D-9859-50BA65A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F95"/>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F95"/>
    <w:pPr>
      <w:tabs>
        <w:tab w:val="center" w:pos="4252"/>
        <w:tab w:val="right" w:pos="8504"/>
      </w:tabs>
    </w:pPr>
  </w:style>
  <w:style w:type="character" w:customStyle="1" w:styleId="EncabezadoCar">
    <w:name w:val="Encabezado Car"/>
    <w:basedOn w:val="Fuentedeprrafopredeter"/>
    <w:link w:val="Encabezado"/>
    <w:uiPriority w:val="99"/>
    <w:rsid w:val="00DB7F95"/>
    <w:rPr>
      <w:rFonts w:ascii="Arial" w:eastAsia="Calibri" w:hAnsi="Arial" w:cs="Arial"/>
      <w:sz w:val="16"/>
      <w:szCs w:val="16"/>
      <w:lang w:eastAsia="es-ES_tradnl"/>
    </w:rPr>
  </w:style>
  <w:style w:type="paragraph" w:styleId="Piedepgina">
    <w:name w:val="footer"/>
    <w:basedOn w:val="Normal"/>
    <w:link w:val="PiedepginaCar"/>
    <w:uiPriority w:val="99"/>
    <w:unhideWhenUsed/>
    <w:rsid w:val="00DB7F95"/>
    <w:pPr>
      <w:tabs>
        <w:tab w:val="center" w:pos="4252"/>
        <w:tab w:val="right" w:pos="8504"/>
      </w:tabs>
    </w:pPr>
  </w:style>
  <w:style w:type="character" w:customStyle="1" w:styleId="PiedepginaCar">
    <w:name w:val="Pie de página Car"/>
    <w:basedOn w:val="Fuentedeprrafopredeter"/>
    <w:link w:val="Piedepgina"/>
    <w:uiPriority w:val="99"/>
    <w:rsid w:val="00DB7F95"/>
    <w:rPr>
      <w:rFonts w:ascii="Arial" w:eastAsia="Calibri" w:hAnsi="Arial" w:cs="Arial"/>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DB7F95"/>
    <w:rPr>
      <w:vertAlign w:val="superscript"/>
    </w:rPr>
  </w:style>
  <w:style w:type="paragraph" w:customStyle="1" w:styleId="Textoindependiente21">
    <w:name w:val="Texto independiente 21"/>
    <w:basedOn w:val="Normal"/>
    <w:qFormat/>
    <w:rsid w:val="00DB7F95"/>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B7F95"/>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DB7F95"/>
    <w:pPr>
      <w:spacing w:after="0" w:line="276"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DB7F95"/>
    <w:rPr>
      <w:rFonts w:ascii="Arial" w:eastAsia="Calibri" w:hAnsi="Arial" w:cs="Arial"/>
      <w:b/>
      <w:caps/>
      <w:color w:val="000000"/>
      <w:sz w:val="24"/>
      <w:szCs w:val="16"/>
      <w:lang w:eastAsia="es-ES_tradnl"/>
    </w:rPr>
  </w:style>
  <w:style w:type="character" w:customStyle="1" w:styleId="normaltextrun">
    <w:name w:val="normaltextrun"/>
    <w:rsid w:val="00DB7F95"/>
  </w:style>
  <w:style w:type="paragraph" w:customStyle="1" w:styleId="xmsolistparagraph">
    <w:name w:val="x_msolistparagraph"/>
    <w:basedOn w:val="Normal"/>
    <w:rsid w:val="00DB7F95"/>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Textonotapie">
    <w:name w:val="footnote text"/>
    <w:basedOn w:val="Normal"/>
    <w:link w:val="TextonotapieCar"/>
    <w:uiPriority w:val="99"/>
    <w:semiHidden/>
    <w:unhideWhenUsed/>
    <w:qFormat/>
    <w:rsid w:val="00DB7F95"/>
    <w:rPr>
      <w:sz w:val="20"/>
      <w:szCs w:val="20"/>
    </w:rPr>
  </w:style>
  <w:style w:type="character" w:customStyle="1" w:styleId="TextonotapieCar">
    <w:name w:val="Texto nota pie Car"/>
    <w:basedOn w:val="Fuentedeprrafopredeter"/>
    <w:link w:val="Textonotapie"/>
    <w:uiPriority w:val="99"/>
    <w:semiHidden/>
    <w:rsid w:val="00DB7F95"/>
    <w:rPr>
      <w:rFonts w:ascii="Arial" w:eastAsia="Calibri" w:hAnsi="Arial" w:cs="Arial"/>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3546-DEE9-460F-B638-8CCCCB87DBCD}">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4A361104-ACEF-4AD4-AECB-52E7B1EF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D6CD1-4518-4A23-B7D1-A4E9B67E4745}">
  <ds:schemaRefs>
    <ds:schemaRef ds:uri="http://schemas.microsoft.com/sharepoint/v3/contenttype/forms"/>
  </ds:schemaRefs>
</ds:datastoreItem>
</file>

<file path=customXml/itemProps4.xml><?xml version="1.0" encoding="utf-8"?>
<ds:datastoreItem xmlns:ds="http://schemas.openxmlformats.org/officeDocument/2006/customXml" ds:itemID="{6EC5BB83-97F8-4843-8458-EA79D173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1835</Words>
  <Characters>10096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Sonia Esther Jaimes Valencia</cp:lastModifiedBy>
  <cp:revision>3</cp:revision>
  <dcterms:created xsi:type="dcterms:W3CDTF">2023-03-15T21:43:00Z</dcterms:created>
  <dcterms:modified xsi:type="dcterms:W3CDTF">2023-03-15T22:00:00Z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