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E8" w:rsidRDefault="008978E8" w:rsidP="008978E8">
      <w:pPr>
        <w:rPr>
          <w:lang w:val="es-ES"/>
        </w:rPr>
      </w:pPr>
    </w:p>
    <w:p w:rsidR="008978E8" w:rsidRDefault="008978E8" w:rsidP="008978E8">
      <w:pPr>
        <w:ind w:left="708" w:right="51"/>
        <w:jc w:val="both"/>
        <w:rPr>
          <w:rFonts w:ascii="Arial" w:hAnsi="Arial" w:cs="Arial"/>
          <w:lang w:val="es-ES"/>
        </w:rPr>
      </w:pPr>
      <w:r>
        <w:rPr>
          <w:rFonts w:ascii="Arial" w:eastAsia="Arial" w:hAnsi="Arial" w:cs="Arial"/>
          <w:b/>
          <w:lang w:val="es-ES"/>
        </w:rPr>
        <w:t>Magistrado</w:t>
      </w:r>
      <w:r w:rsidRPr="00753BFF">
        <w:rPr>
          <w:rFonts w:ascii="Arial" w:eastAsia="Arial" w:hAnsi="Arial" w:cs="Arial"/>
          <w:b/>
          <w:lang w:val="es-ES"/>
        </w:rPr>
        <w:t xml:space="preserve"> ponente: JAIME ENRIQUE RODRÍGUEZ NAVAS</w:t>
      </w:r>
    </w:p>
    <w:p w:rsidR="008978E8" w:rsidRPr="00753BFF" w:rsidRDefault="008978E8" w:rsidP="008978E8">
      <w:pPr>
        <w:rPr>
          <w:lang w:val="es-ES"/>
        </w:rPr>
      </w:pPr>
    </w:p>
    <w:p w:rsidR="008978E8" w:rsidRDefault="008978E8" w:rsidP="008978E8">
      <w:pPr>
        <w:tabs>
          <w:tab w:val="left" w:pos="2552"/>
        </w:tabs>
        <w:jc w:val="both"/>
        <w:rPr>
          <w:rFonts w:ascii="Arial" w:hAnsi="Arial" w:cs="Arial"/>
          <w:b/>
          <w:bCs/>
          <w:color w:val="000000"/>
          <w:lang w:val="es-ES" w:eastAsia="es-CO"/>
        </w:rPr>
      </w:pPr>
      <w:r w:rsidRPr="00FE6083">
        <w:rPr>
          <w:rFonts w:ascii="Arial" w:hAnsi="Arial" w:cs="Arial"/>
          <w:b/>
          <w:bCs/>
          <w:color w:val="000000"/>
          <w:lang w:val="es-ES" w:eastAsia="es-CO"/>
        </w:rPr>
        <w:t xml:space="preserve">Bogotá, D.C., </w:t>
      </w:r>
      <w:r>
        <w:rPr>
          <w:rFonts w:ascii="Arial" w:hAnsi="Arial" w:cs="Arial"/>
          <w:b/>
          <w:bCs/>
          <w:color w:val="000000"/>
          <w:lang w:val="es-ES" w:eastAsia="es-CO"/>
        </w:rPr>
        <w:t xml:space="preserve">trece (13) de abril de dos mil veintitrés (2023). </w:t>
      </w:r>
    </w:p>
    <w:p w:rsidR="008978E8" w:rsidRDefault="008978E8" w:rsidP="008978E8">
      <w:pPr>
        <w:rPr>
          <w:lang w:val="es-ES" w:eastAsia="zh-CN"/>
        </w:rPr>
      </w:pPr>
    </w:p>
    <w:p w:rsidR="00B975F7" w:rsidRPr="00B975F7" w:rsidRDefault="00B975F7" w:rsidP="00B975F7">
      <w:pPr>
        <w:contextualSpacing/>
        <w:jc w:val="both"/>
        <w:rPr>
          <w:rFonts w:ascii="Arial" w:hAnsi="Arial" w:cs="Arial"/>
          <w:color w:val="0D0D0D"/>
          <w:spacing w:val="-3"/>
          <w:lang w:eastAsia="zh-CN"/>
        </w:rPr>
      </w:pPr>
      <w:r w:rsidRPr="00B975F7">
        <w:rPr>
          <w:rFonts w:ascii="Arial" w:hAnsi="Arial" w:cs="Arial"/>
          <w:b/>
          <w:bCs/>
          <w:color w:val="0D0D0D"/>
          <w:spacing w:val="-3"/>
          <w:lang w:eastAsia="zh-CN"/>
        </w:rPr>
        <w:t>Radicado número:</w:t>
      </w:r>
      <w:r w:rsidRPr="00B975F7">
        <w:rPr>
          <w:rFonts w:ascii="Arial" w:hAnsi="Arial" w:cs="Arial"/>
          <w:color w:val="0D0D0D"/>
          <w:spacing w:val="-3"/>
          <w:lang w:eastAsia="zh-CN"/>
        </w:rPr>
        <w:tab/>
      </w:r>
      <w:r w:rsidRPr="00B975F7">
        <w:rPr>
          <w:rFonts w:ascii="Arial" w:hAnsi="Arial" w:cs="Arial"/>
          <w:color w:val="0D0D0D"/>
          <w:spacing w:val="-3"/>
          <w:lang w:eastAsia="zh-CN"/>
        </w:rPr>
        <w:tab/>
      </w:r>
      <w:r w:rsidRPr="00B975F7">
        <w:rPr>
          <w:rFonts w:ascii="Arial" w:hAnsi="Arial" w:cs="Arial"/>
          <w:bCs/>
          <w:color w:val="0D0D0D"/>
          <w:spacing w:val="-3"/>
          <w:lang w:eastAsia="zh-CN"/>
        </w:rPr>
        <w:t>11001-03-15-000-2023-01263-00.</w:t>
      </w:r>
    </w:p>
    <w:p w:rsidR="00B975F7" w:rsidRPr="00B975F7" w:rsidRDefault="00B975F7" w:rsidP="00B975F7">
      <w:pPr>
        <w:ind w:left="2832" w:hanging="2832"/>
        <w:contextualSpacing/>
        <w:jc w:val="both"/>
        <w:rPr>
          <w:rFonts w:ascii="Arial" w:hAnsi="Arial" w:cs="Arial"/>
          <w:color w:val="0D0D0D"/>
          <w:spacing w:val="-3"/>
          <w:lang w:eastAsia="zh-CN"/>
        </w:rPr>
      </w:pPr>
      <w:r w:rsidRPr="00B975F7">
        <w:rPr>
          <w:rFonts w:ascii="Arial" w:hAnsi="Arial" w:cs="Arial"/>
          <w:b/>
          <w:bCs/>
          <w:color w:val="0D0D0D"/>
          <w:spacing w:val="-3"/>
          <w:lang w:eastAsia="zh-CN"/>
        </w:rPr>
        <w:t>Accionante:</w:t>
      </w:r>
      <w:r w:rsidRPr="00B975F7">
        <w:rPr>
          <w:rFonts w:ascii="Arial" w:hAnsi="Arial" w:cs="Arial"/>
          <w:color w:val="0D0D0D"/>
          <w:spacing w:val="-3"/>
          <w:lang w:eastAsia="zh-CN"/>
        </w:rPr>
        <w:tab/>
        <w:t xml:space="preserve"> Elkin Enrique Díaz Camacho.</w:t>
      </w:r>
    </w:p>
    <w:p w:rsidR="00B975F7" w:rsidRPr="00B975F7" w:rsidRDefault="00B975F7" w:rsidP="00B975F7">
      <w:pPr>
        <w:ind w:left="2880" w:hanging="2880"/>
        <w:contextualSpacing/>
        <w:jc w:val="both"/>
        <w:rPr>
          <w:rFonts w:ascii="Arial" w:hAnsi="Arial" w:cs="Arial"/>
          <w:color w:val="0D0D0D"/>
          <w:spacing w:val="-3"/>
          <w:lang w:eastAsia="zh-CN"/>
        </w:rPr>
      </w:pPr>
      <w:r w:rsidRPr="00B975F7">
        <w:rPr>
          <w:rFonts w:ascii="Arial" w:hAnsi="Arial" w:cs="Arial"/>
          <w:b/>
          <w:bCs/>
          <w:color w:val="0D0D0D"/>
          <w:spacing w:val="-3"/>
          <w:lang w:eastAsia="zh-CN"/>
        </w:rPr>
        <w:t>Accionado:</w:t>
      </w:r>
      <w:r w:rsidRPr="00B975F7">
        <w:rPr>
          <w:rFonts w:ascii="Arial" w:hAnsi="Arial" w:cs="Arial"/>
          <w:b/>
          <w:bCs/>
          <w:color w:val="0D0D0D"/>
          <w:spacing w:val="-3"/>
          <w:lang w:eastAsia="zh-CN"/>
        </w:rPr>
        <w:tab/>
      </w:r>
      <w:r w:rsidRPr="00B975F7">
        <w:rPr>
          <w:rFonts w:ascii="Arial" w:hAnsi="Arial" w:cs="Arial"/>
          <w:color w:val="0D0D0D"/>
          <w:spacing w:val="-3"/>
          <w:lang w:eastAsia="zh-CN"/>
        </w:rPr>
        <w:t xml:space="preserve">Consejo de Estado – Sección Primera y Subsección B de la Sección Segunda. </w:t>
      </w:r>
    </w:p>
    <w:p w:rsidR="00B975F7" w:rsidRPr="00B975F7" w:rsidRDefault="00B975F7" w:rsidP="00B975F7">
      <w:pPr>
        <w:ind w:left="2126" w:hanging="2126"/>
        <w:contextualSpacing/>
        <w:jc w:val="both"/>
        <w:rPr>
          <w:rFonts w:ascii="Arial" w:hAnsi="Arial" w:cs="Arial"/>
          <w:color w:val="0D0D0D"/>
          <w:spacing w:val="-3"/>
          <w:lang w:eastAsia="zh-CN"/>
        </w:rPr>
      </w:pPr>
      <w:r w:rsidRPr="00B975F7">
        <w:rPr>
          <w:rFonts w:ascii="Arial" w:hAnsi="Arial" w:cs="Arial"/>
          <w:b/>
          <w:bCs/>
          <w:color w:val="0D0D0D"/>
          <w:spacing w:val="-3"/>
          <w:lang w:eastAsia="zh-CN"/>
        </w:rPr>
        <w:t>Referencia:</w:t>
      </w:r>
      <w:r w:rsidRPr="00B975F7">
        <w:rPr>
          <w:rFonts w:ascii="Arial" w:hAnsi="Arial" w:cs="Arial"/>
          <w:color w:val="0D0D0D"/>
          <w:spacing w:val="-3"/>
          <w:lang w:eastAsia="zh-CN"/>
        </w:rPr>
        <w:tab/>
      </w:r>
      <w:r w:rsidRPr="00B975F7">
        <w:rPr>
          <w:rFonts w:ascii="Arial" w:hAnsi="Arial" w:cs="Arial"/>
          <w:color w:val="0D0D0D"/>
          <w:spacing w:val="-3"/>
          <w:lang w:eastAsia="zh-CN"/>
        </w:rPr>
        <w:tab/>
        <w:t xml:space="preserve">Acción de tutela. </w:t>
      </w:r>
    </w:p>
    <w:p w:rsidR="00B975F7" w:rsidRPr="00753BFF" w:rsidRDefault="00B975F7" w:rsidP="008978E8">
      <w:pPr>
        <w:ind w:left="2124" w:hanging="2124"/>
        <w:contextualSpacing/>
        <w:jc w:val="both"/>
        <w:rPr>
          <w:rFonts w:ascii="Arial" w:hAnsi="Arial" w:cs="Arial"/>
          <w:color w:val="0D0D0D"/>
          <w:spacing w:val="-3"/>
          <w:lang w:val="es-ES" w:eastAsia="zh-CN"/>
        </w:rPr>
      </w:pPr>
    </w:p>
    <w:p w:rsidR="008978E8" w:rsidRPr="00323CEB" w:rsidRDefault="008978E8" w:rsidP="008978E8">
      <w:pPr>
        <w:pBdr>
          <w:bottom w:val="single" w:sz="12" w:space="0" w:color="auto"/>
        </w:pBdr>
        <w:ind w:left="2832" w:hanging="2832"/>
        <w:jc w:val="both"/>
        <w:rPr>
          <w:rFonts w:ascii="Arial" w:eastAsia="Calibri" w:hAnsi="Arial" w:cs="Arial"/>
          <w:b/>
        </w:rPr>
      </w:pPr>
      <w:r w:rsidRPr="00712F42">
        <w:rPr>
          <w:rFonts w:ascii="Arial" w:eastAsia="Calibri" w:hAnsi="Arial" w:cs="Arial"/>
          <w:b/>
        </w:rPr>
        <w:t xml:space="preserve">AUTO </w:t>
      </w:r>
      <w:r>
        <w:rPr>
          <w:rFonts w:ascii="Arial" w:eastAsia="Calibri" w:hAnsi="Arial" w:cs="Arial"/>
          <w:b/>
        </w:rPr>
        <w:t>QUE</w:t>
      </w:r>
      <w:r w:rsidR="00B975F7">
        <w:rPr>
          <w:rFonts w:ascii="Arial" w:eastAsia="Calibri" w:hAnsi="Arial" w:cs="Arial"/>
          <w:b/>
        </w:rPr>
        <w:t xml:space="preserve"> ORDENA NOTIFICAR</w:t>
      </w:r>
      <w:r w:rsidR="00B74C9A">
        <w:rPr>
          <w:rFonts w:ascii="Arial" w:eastAsia="Calibri" w:hAnsi="Arial" w:cs="Arial"/>
          <w:b/>
        </w:rPr>
        <w:t xml:space="preserve"> </w:t>
      </w:r>
    </w:p>
    <w:p w:rsidR="008978E8" w:rsidRDefault="008978E8" w:rsidP="008978E8">
      <w:pPr>
        <w:jc w:val="both"/>
        <w:rPr>
          <w:rFonts w:ascii="Arial" w:eastAsia="Calibri" w:hAnsi="Arial" w:cs="Arial"/>
          <w:lang w:val="es-ES" w:eastAsia="en-US"/>
        </w:rPr>
      </w:pPr>
    </w:p>
    <w:p w:rsidR="00D06068" w:rsidRPr="00D06068" w:rsidRDefault="00D06068" w:rsidP="00D06068">
      <w:pPr>
        <w:tabs>
          <w:tab w:val="left" w:pos="1985"/>
        </w:tabs>
        <w:contextualSpacing/>
        <w:jc w:val="both"/>
        <w:rPr>
          <w:rFonts w:ascii="Arial" w:eastAsia="Calibri" w:hAnsi="Arial" w:cs="Arial"/>
        </w:rPr>
      </w:pPr>
      <w:r w:rsidRPr="00D06068">
        <w:rPr>
          <w:rFonts w:ascii="Arial" w:hAnsi="Arial" w:cs="Arial"/>
          <w:spacing w:val="-3"/>
          <w:lang w:eastAsia="zh-CN"/>
        </w:rPr>
        <w:t>Elkin Enrique Díaz Camacho, en nombre propio, presentó solicitud de amparo</w:t>
      </w:r>
      <w:r w:rsidRPr="00D06068">
        <w:rPr>
          <w:rFonts w:ascii="Arial" w:hAnsi="Arial" w:cs="Arial"/>
          <w:spacing w:val="-3"/>
          <w:vertAlign w:val="superscript"/>
          <w:lang w:eastAsia="zh-CN"/>
        </w:rPr>
        <w:footnoteReference w:id="1"/>
      </w:r>
      <w:r w:rsidRPr="00D06068">
        <w:rPr>
          <w:rFonts w:ascii="Arial" w:hAnsi="Arial" w:cs="Arial"/>
          <w:spacing w:val="-3"/>
          <w:lang w:eastAsia="zh-CN"/>
        </w:rPr>
        <w:t xml:space="preserve"> de su derecho fundamental al debido proceso, así como a las garantías de cosa juzgada, seguridad jurídica, confianza legítima y tutela judicial efectiva. </w:t>
      </w:r>
    </w:p>
    <w:p w:rsidR="00D06068" w:rsidRPr="00D06068" w:rsidRDefault="00D06068" w:rsidP="00D06068">
      <w:pPr>
        <w:tabs>
          <w:tab w:val="left" w:pos="1985"/>
        </w:tabs>
        <w:contextualSpacing/>
        <w:jc w:val="both"/>
        <w:rPr>
          <w:rFonts w:ascii="Arial" w:hAnsi="Arial" w:cs="Arial"/>
          <w:spacing w:val="-3"/>
          <w:lang w:eastAsia="zh-CN"/>
        </w:rPr>
      </w:pPr>
    </w:p>
    <w:p w:rsidR="00D06068" w:rsidRPr="00D06068" w:rsidRDefault="00D06068" w:rsidP="00D06068">
      <w:pPr>
        <w:tabs>
          <w:tab w:val="left" w:pos="1985"/>
        </w:tabs>
        <w:contextualSpacing/>
        <w:jc w:val="both"/>
        <w:rPr>
          <w:rFonts w:ascii="Arial" w:hAnsi="Arial" w:cs="Arial"/>
          <w:spacing w:val="-3"/>
          <w:lang w:eastAsia="zh-CN"/>
        </w:rPr>
      </w:pPr>
      <w:r w:rsidRPr="00D06068">
        <w:rPr>
          <w:rFonts w:ascii="Arial" w:hAnsi="Arial" w:cs="Arial"/>
          <w:spacing w:val="-3"/>
          <w:lang w:eastAsia="zh-CN"/>
        </w:rPr>
        <w:t xml:space="preserve">Tales garantías las consideró vulneradas por las secciones Primera y Segunda, Subsección B del Consejo de Estado, al dictar las providencias judiciales del 1 de diciembre de 2022 y del 9 de febrero de 2023, en las que la sección Primera no aceptó la recusación contra sus magistrados integrantes y ordenó el envío del trámite a la sección Segunda, y esta última, por conducto de la Subsección B, también rechazó de plano por improcedente la recusación que se formuló en contra de sus miembros con el respectivo envío del expediente al </w:t>
      </w:r>
      <w:r w:rsidR="00A0726C">
        <w:rPr>
          <w:rFonts w:ascii="Arial" w:hAnsi="Arial" w:cs="Arial"/>
          <w:spacing w:val="-3"/>
          <w:lang w:eastAsia="zh-CN"/>
        </w:rPr>
        <w:t>C</w:t>
      </w:r>
      <w:r w:rsidRPr="00D06068">
        <w:rPr>
          <w:rFonts w:ascii="Arial" w:hAnsi="Arial" w:cs="Arial"/>
          <w:spacing w:val="-3"/>
          <w:lang w:eastAsia="zh-CN"/>
        </w:rPr>
        <w:t xml:space="preserve">onsejero de Estado sustanciador, todas estas para conocer de las recusaciones que se presentaron en contra de los magistrados de la sección Quinta de esta Corporación. Lo anterior, dentro del proceso de nulidad electoral radicado al número </w:t>
      </w:r>
      <w:r w:rsidRPr="00D06068">
        <w:rPr>
          <w:rFonts w:ascii="Arial" w:eastAsia="Calibri" w:hAnsi="Arial" w:cs="Arial"/>
        </w:rPr>
        <w:t>70001-23-33-000-2020-00004-03 (expediente acumulado</w:t>
      </w:r>
      <w:r w:rsidRPr="00D06068">
        <w:rPr>
          <w:rFonts w:ascii="Arial" w:eastAsia="Calibri" w:hAnsi="Arial" w:cs="Arial"/>
          <w:vertAlign w:val="superscript"/>
        </w:rPr>
        <w:footnoteReference w:id="2"/>
      </w:r>
      <w:r w:rsidRPr="00D06068">
        <w:rPr>
          <w:rFonts w:ascii="Arial" w:eastAsia="Calibri" w:hAnsi="Arial" w:cs="Arial"/>
        </w:rPr>
        <w:t xml:space="preserve">). </w:t>
      </w:r>
    </w:p>
    <w:p w:rsidR="008978E8" w:rsidRDefault="008978E8" w:rsidP="008978E8">
      <w:pPr>
        <w:jc w:val="both"/>
        <w:rPr>
          <w:rFonts w:ascii="Arial" w:hAnsi="Arial" w:cs="Arial"/>
          <w:lang w:val="es-ES" w:eastAsia="en-US"/>
        </w:rPr>
      </w:pPr>
    </w:p>
    <w:p w:rsidR="00F87B73" w:rsidRDefault="008978E8" w:rsidP="008978E8">
      <w:pPr>
        <w:jc w:val="both"/>
        <w:rPr>
          <w:rFonts w:ascii="Arial" w:hAnsi="Arial" w:cs="Arial"/>
          <w:lang w:val="es-ES" w:eastAsia="en-US"/>
        </w:rPr>
      </w:pPr>
      <w:r>
        <w:rPr>
          <w:rFonts w:ascii="Arial" w:hAnsi="Arial" w:cs="Arial"/>
          <w:lang w:val="es-ES" w:eastAsia="en-US"/>
        </w:rPr>
        <w:t xml:space="preserve">El asunto correspondió conocerlo, por reparto, al Despacho del magistrado ponente, autoridad que, en auto del </w:t>
      </w:r>
      <w:r w:rsidR="00F87B73">
        <w:rPr>
          <w:rFonts w:ascii="Arial" w:hAnsi="Arial" w:cs="Arial"/>
          <w:lang w:val="es-ES" w:eastAsia="en-US"/>
        </w:rPr>
        <w:t xml:space="preserve">15 de marzo del presente año, admitió la solicitud de amparo y negó la medida provisional. En particular, profirió las siguientes órdenes: </w:t>
      </w:r>
    </w:p>
    <w:p w:rsidR="00F87B73" w:rsidRDefault="00F87B73" w:rsidP="008978E8">
      <w:pPr>
        <w:jc w:val="both"/>
        <w:rPr>
          <w:rFonts w:ascii="Arial" w:hAnsi="Arial" w:cs="Arial"/>
          <w:lang w:val="es-ES" w:eastAsia="en-US"/>
        </w:rPr>
      </w:pPr>
    </w:p>
    <w:p w:rsidR="00F87B73" w:rsidRDefault="00F87B73" w:rsidP="00F87B73">
      <w:pPr>
        <w:ind w:left="708" w:right="51"/>
        <w:jc w:val="both"/>
        <w:rPr>
          <w:rFonts w:ascii="Arial" w:eastAsia="Calibri" w:hAnsi="Arial" w:cs="Arial"/>
          <w:sz w:val="22"/>
          <w:szCs w:val="22"/>
        </w:rPr>
      </w:pPr>
      <w:r>
        <w:rPr>
          <w:rFonts w:ascii="Arial" w:eastAsia="Calibri" w:hAnsi="Arial" w:cs="Arial"/>
          <w:b/>
          <w:sz w:val="22"/>
          <w:szCs w:val="22"/>
        </w:rPr>
        <w:t>“</w:t>
      </w:r>
      <w:r w:rsidRPr="00F87B73">
        <w:rPr>
          <w:rFonts w:ascii="Arial" w:eastAsia="Calibri" w:hAnsi="Arial" w:cs="Arial"/>
          <w:b/>
          <w:sz w:val="22"/>
          <w:szCs w:val="22"/>
        </w:rPr>
        <w:t>PRIMERO</w:t>
      </w:r>
      <w:r w:rsidRPr="00F87B73">
        <w:rPr>
          <w:rFonts w:ascii="Arial" w:eastAsia="Calibri" w:hAnsi="Arial" w:cs="Arial"/>
          <w:sz w:val="22"/>
          <w:szCs w:val="22"/>
        </w:rPr>
        <w:t xml:space="preserve">. </w:t>
      </w:r>
      <w:r w:rsidRPr="00F87B73">
        <w:rPr>
          <w:rFonts w:ascii="Arial" w:eastAsia="Calibri" w:hAnsi="Arial" w:cs="Arial"/>
          <w:b/>
          <w:sz w:val="22"/>
          <w:szCs w:val="22"/>
        </w:rPr>
        <w:t>ADMITIR</w:t>
      </w:r>
      <w:r w:rsidRPr="00F87B73">
        <w:rPr>
          <w:rFonts w:ascii="Arial" w:eastAsia="Calibri" w:hAnsi="Arial" w:cs="Arial"/>
          <w:sz w:val="22"/>
          <w:szCs w:val="22"/>
        </w:rPr>
        <w:t xml:space="preserve"> la solicitud de amparo que presentó Elkin Enrique Díaz Camacho, en contra de las secciones Primera y Segunda, Subsección B del Consejo de Estad</w:t>
      </w:r>
      <w:r>
        <w:rPr>
          <w:rFonts w:ascii="Arial" w:eastAsia="Calibri" w:hAnsi="Arial" w:cs="Arial"/>
          <w:sz w:val="22"/>
          <w:szCs w:val="22"/>
        </w:rPr>
        <w:t xml:space="preserve">o. </w:t>
      </w:r>
    </w:p>
    <w:p w:rsidR="00F87B73" w:rsidRDefault="00F87B73" w:rsidP="00F87B73">
      <w:pPr>
        <w:ind w:left="708" w:right="51"/>
        <w:jc w:val="both"/>
        <w:rPr>
          <w:rFonts w:ascii="Arial" w:eastAsia="Calibri" w:hAnsi="Arial" w:cs="Arial"/>
          <w:sz w:val="22"/>
          <w:szCs w:val="22"/>
        </w:rPr>
      </w:pPr>
    </w:p>
    <w:p w:rsidR="00F87B73" w:rsidRPr="00F87B73" w:rsidRDefault="00F87B73" w:rsidP="00F87B73">
      <w:pPr>
        <w:ind w:left="708" w:right="51"/>
        <w:jc w:val="both"/>
        <w:rPr>
          <w:rFonts w:ascii="Arial" w:eastAsia="Calibri" w:hAnsi="Arial" w:cs="Arial"/>
          <w:sz w:val="22"/>
          <w:szCs w:val="22"/>
        </w:rPr>
      </w:pPr>
      <w:r w:rsidRPr="00F87B73">
        <w:rPr>
          <w:rFonts w:ascii="Arial" w:eastAsia="Calibri" w:hAnsi="Arial" w:cs="Arial"/>
          <w:b/>
          <w:sz w:val="22"/>
          <w:szCs w:val="22"/>
        </w:rPr>
        <w:t xml:space="preserve">SEGUNDO. SOLICITAR </w:t>
      </w:r>
      <w:r w:rsidRPr="00F87B73">
        <w:rPr>
          <w:rFonts w:ascii="Arial" w:eastAsia="Calibri" w:hAnsi="Arial" w:cs="Arial"/>
          <w:sz w:val="22"/>
          <w:szCs w:val="22"/>
        </w:rPr>
        <w:t xml:space="preserve">a las secciones Primera, Segunda, Subsección B y Quinta del Consejo de Estado que, quien tenga a su disposición el expediente contentivo del proceso de nulidad electoral radicado al número 70001-23-33-000-2020-00004-03 (acumulado) informe a este Despacho, en el término de tres (3) días siguientes a la notificación del presente proveído, los nombres y las direcciones de los sujetos que integran la parte demandante, demandada y terceros dentro del citado proceso. </w:t>
      </w:r>
    </w:p>
    <w:p w:rsidR="00F87B73" w:rsidRPr="00F87B73" w:rsidRDefault="00F87B73" w:rsidP="00F87B73">
      <w:pPr>
        <w:ind w:left="708" w:right="51"/>
        <w:jc w:val="both"/>
        <w:rPr>
          <w:rFonts w:ascii="Arial" w:eastAsia="Calibri" w:hAnsi="Arial" w:cs="Arial"/>
          <w:sz w:val="22"/>
          <w:szCs w:val="22"/>
        </w:rPr>
      </w:pPr>
    </w:p>
    <w:p w:rsidR="00F87B73" w:rsidRPr="00F87B73" w:rsidRDefault="00F87B73" w:rsidP="00F87B73">
      <w:pPr>
        <w:ind w:left="708" w:right="51"/>
        <w:jc w:val="both"/>
        <w:rPr>
          <w:rFonts w:ascii="Arial" w:eastAsia="Calibri" w:hAnsi="Arial" w:cs="Arial"/>
          <w:sz w:val="22"/>
          <w:szCs w:val="22"/>
        </w:rPr>
      </w:pPr>
      <w:r w:rsidRPr="00F87B73">
        <w:rPr>
          <w:rFonts w:ascii="Arial" w:eastAsia="Calibri" w:hAnsi="Arial" w:cs="Arial"/>
          <w:b/>
          <w:sz w:val="22"/>
          <w:szCs w:val="22"/>
        </w:rPr>
        <w:t xml:space="preserve">TERCERO. VINCULAR </w:t>
      </w:r>
      <w:r w:rsidRPr="00F87B73">
        <w:rPr>
          <w:rFonts w:ascii="Arial" w:eastAsia="Calibri" w:hAnsi="Arial" w:cs="Arial"/>
          <w:sz w:val="22"/>
          <w:szCs w:val="22"/>
        </w:rPr>
        <w:t xml:space="preserve">al presente trámite, como terceros con interés, a los magistrados que integran la Sección Quinta del Consejo de Estado, al Tribunal Administrativo de Sucre, al Consejo Nacional Electoral, a la Registraduría Nacional </w:t>
      </w:r>
      <w:r w:rsidRPr="00F87B73">
        <w:rPr>
          <w:rFonts w:ascii="Arial" w:eastAsia="Calibri" w:hAnsi="Arial" w:cs="Arial"/>
          <w:sz w:val="22"/>
          <w:szCs w:val="22"/>
        </w:rPr>
        <w:lastRenderedPageBreak/>
        <w:t xml:space="preserve">del Estado Civil, a Omar de Jesús Ochoa García, a Nataly Strusberg Castañeda, a Andrés Eduardo Gómez Martínez, y a todos quienes hubieren intervenido en el proceso electoral radicado al número 70001-23-33-000-2020-00004-03 (acumulado), y que a la fecha no hubieren sido vinculados al presente trámite constitucional, de acuerdo al informe que se expida en virtud de la orden contenida en el numeral segundo de esta providencia. </w:t>
      </w:r>
    </w:p>
    <w:p w:rsidR="00F87B73" w:rsidRDefault="00F87B73" w:rsidP="00F87B73">
      <w:pPr>
        <w:ind w:left="708" w:right="51"/>
        <w:jc w:val="both"/>
        <w:rPr>
          <w:rFonts w:ascii="Arial" w:eastAsia="Calibri" w:hAnsi="Arial" w:cs="Arial"/>
          <w:sz w:val="22"/>
          <w:szCs w:val="22"/>
        </w:rPr>
      </w:pPr>
    </w:p>
    <w:p w:rsidR="00FD1AD4" w:rsidRPr="00FD1AD4" w:rsidRDefault="00FD1AD4" w:rsidP="00FD1AD4">
      <w:pPr>
        <w:pStyle w:val="Textoindependiente21"/>
        <w:spacing w:after="0"/>
        <w:ind w:left="708"/>
        <w:jc w:val="both"/>
        <w:rPr>
          <w:rFonts w:cs="Arial"/>
          <w:color w:val="000000"/>
          <w:sz w:val="22"/>
          <w:szCs w:val="22"/>
          <w:bdr w:val="none" w:sz="0" w:space="0" w:color="auto" w:frame="1"/>
        </w:rPr>
      </w:pPr>
      <w:r w:rsidRPr="00FD1AD4">
        <w:rPr>
          <w:b/>
          <w:sz w:val="22"/>
          <w:szCs w:val="22"/>
        </w:rPr>
        <w:t>CUARTO</w:t>
      </w:r>
      <w:r w:rsidRPr="00FD1AD4">
        <w:rPr>
          <w:rStyle w:val="normaltextrun"/>
          <w:rFonts w:cs="Arial"/>
          <w:b/>
          <w:bCs/>
          <w:color w:val="000000"/>
          <w:sz w:val="22"/>
          <w:szCs w:val="22"/>
          <w:shd w:val="clear" w:color="auto" w:fill="FFFFFF"/>
          <w:lang w:val="es-ES"/>
        </w:rPr>
        <w:t xml:space="preserve">. </w:t>
      </w:r>
      <w:r w:rsidRPr="00FD1AD4">
        <w:rPr>
          <w:rFonts w:cs="Arial"/>
          <w:b/>
          <w:bCs/>
          <w:color w:val="000000"/>
          <w:sz w:val="22"/>
          <w:szCs w:val="22"/>
          <w:bdr w:val="none" w:sz="0" w:space="0" w:color="auto" w:frame="1"/>
        </w:rPr>
        <w:t>ORDENAR</w:t>
      </w:r>
      <w:r w:rsidRPr="00FD1AD4">
        <w:rPr>
          <w:rFonts w:cs="Arial"/>
          <w:color w:val="000000"/>
          <w:sz w:val="22"/>
          <w:szCs w:val="22"/>
          <w:bdr w:val="none" w:sz="0" w:space="0" w:color="auto" w:frame="1"/>
        </w:rPr>
        <w:t xml:space="preserve"> que, por conducto de la Secretaría General de esta Corporación, se notifique el presente proveído a las partes y a los interesados de la forma más expedita posible. </w:t>
      </w:r>
      <w:r w:rsidRPr="00FD1AD4">
        <w:rPr>
          <w:rFonts w:cs="Arial"/>
          <w:sz w:val="22"/>
          <w:szCs w:val="22"/>
          <w:lang w:val="es-CO"/>
        </w:rPr>
        <w:t>Esta providencia deberá ser publicada en las páginas web del Consejo de Estado y de la Rama judicial</w:t>
      </w:r>
      <w:r w:rsidRPr="00FD1AD4">
        <w:rPr>
          <w:rFonts w:cs="Arial"/>
          <w:bCs/>
          <w:sz w:val="22"/>
          <w:szCs w:val="22"/>
          <w:lang w:val="es-CO"/>
        </w:rPr>
        <w:t xml:space="preserve">, y notificada directamente a cada uno de los magistrados que integran las secciones Primera, Segunda, Subsección B y Quinta del Consejo de Estado. </w:t>
      </w:r>
    </w:p>
    <w:p w:rsidR="00FD1AD4" w:rsidRPr="00FD1AD4" w:rsidRDefault="00FD1AD4" w:rsidP="00FD1AD4">
      <w:pPr>
        <w:pStyle w:val="Textoindependiente21"/>
        <w:spacing w:after="0"/>
        <w:ind w:left="708"/>
        <w:jc w:val="both"/>
        <w:rPr>
          <w:rFonts w:cs="Arial"/>
          <w:bCs/>
          <w:sz w:val="22"/>
          <w:szCs w:val="22"/>
          <w:lang w:val="es-CO"/>
        </w:rPr>
      </w:pPr>
    </w:p>
    <w:p w:rsidR="00FD1AD4" w:rsidRPr="00FD1AD4" w:rsidRDefault="00FD1AD4" w:rsidP="00FD1AD4">
      <w:pPr>
        <w:pStyle w:val="xmsolistparagraph"/>
        <w:shd w:val="clear" w:color="auto" w:fill="FFFFFF"/>
        <w:spacing w:before="0" w:beforeAutospacing="0" w:after="0" w:afterAutospacing="0"/>
        <w:ind w:left="708"/>
        <w:jc w:val="both"/>
        <w:rPr>
          <w:rFonts w:ascii="Arial" w:hAnsi="Arial" w:cs="Arial"/>
          <w:color w:val="000000"/>
          <w:sz w:val="22"/>
          <w:szCs w:val="22"/>
          <w:lang w:val="es-ES"/>
        </w:rPr>
      </w:pPr>
      <w:r w:rsidRPr="00FD1AD4">
        <w:rPr>
          <w:rFonts w:ascii="Arial" w:hAnsi="Arial" w:cs="Arial"/>
          <w:color w:val="000000"/>
          <w:sz w:val="22"/>
          <w:szCs w:val="22"/>
          <w:bdr w:val="none" w:sz="0" w:space="0" w:color="auto" w:frame="1"/>
        </w:rPr>
        <w:t>La Secretaría General </w:t>
      </w:r>
      <w:r w:rsidRPr="00FD1AD4">
        <w:rPr>
          <w:rFonts w:ascii="Arial" w:hAnsi="Arial" w:cs="Arial"/>
          <w:b/>
          <w:bCs/>
          <w:color w:val="000000"/>
          <w:sz w:val="22"/>
          <w:szCs w:val="22"/>
          <w:bdr w:val="none" w:sz="0" w:space="0" w:color="auto" w:frame="1"/>
        </w:rPr>
        <w:t>solamente devolverá</w:t>
      </w:r>
      <w:r w:rsidRPr="00FD1AD4">
        <w:rPr>
          <w:rFonts w:ascii="Arial" w:hAnsi="Arial" w:cs="Arial"/>
          <w:color w:val="000000"/>
          <w:sz w:val="22"/>
          <w:szCs w:val="22"/>
          <w:bdr w:val="none" w:sz="0" w:space="0" w:color="auto" w:frame="1"/>
        </w:rPr>
        <w:t> el expediente al Despacho, una vez se haya efectivamente notificado a los sujetos procesales</w:t>
      </w:r>
      <w:r>
        <w:rPr>
          <w:rFonts w:ascii="Arial" w:hAnsi="Arial" w:cs="Arial"/>
          <w:color w:val="000000"/>
          <w:sz w:val="22"/>
          <w:szCs w:val="22"/>
          <w:bdr w:val="none" w:sz="0" w:space="0" w:color="auto" w:frame="1"/>
        </w:rPr>
        <w:t xml:space="preserve"> (…)”</w:t>
      </w:r>
      <w:r w:rsidR="00656678">
        <w:rPr>
          <w:rStyle w:val="Refdenotaalpie"/>
          <w:rFonts w:ascii="Arial" w:hAnsi="Arial" w:cs="Arial"/>
          <w:color w:val="000000"/>
          <w:sz w:val="22"/>
          <w:szCs w:val="22"/>
          <w:bdr w:val="none" w:sz="0" w:space="0" w:color="auto" w:frame="1"/>
        </w:rPr>
        <w:footnoteReference w:id="3"/>
      </w:r>
      <w:r>
        <w:rPr>
          <w:rFonts w:ascii="Arial" w:hAnsi="Arial" w:cs="Arial"/>
          <w:color w:val="000000"/>
          <w:sz w:val="22"/>
          <w:szCs w:val="22"/>
          <w:bdr w:val="none" w:sz="0" w:space="0" w:color="auto" w:frame="1"/>
        </w:rPr>
        <w:t xml:space="preserve">. </w:t>
      </w:r>
    </w:p>
    <w:p w:rsidR="00FD1AD4" w:rsidRDefault="00FD1AD4" w:rsidP="00F87B73">
      <w:pPr>
        <w:ind w:left="708" w:right="51"/>
        <w:jc w:val="both"/>
        <w:rPr>
          <w:rFonts w:ascii="Arial" w:eastAsia="Calibri" w:hAnsi="Arial" w:cs="Arial"/>
          <w:sz w:val="22"/>
          <w:szCs w:val="22"/>
        </w:rPr>
      </w:pPr>
    </w:p>
    <w:p w:rsidR="00C54C4E" w:rsidRDefault="000808F8" w:rsidP="000808F8">
      <w:pPr>
        <w:ind w:right="51"/>
        <w:jc w:val="both"/>
        <w:rPr>
          <w:rFonts w:ascii="Arial" w:eastAsia="Calibri" w:hAnsi="Arial" w:cs="Arial"/>
        </w:rPr>
      </w:pPr>
      <w:r>
        <w:rPr>
          <w:rFonts w:ascii="Arial" w:eastAsia="Calibri" w:hAnsi="Arial" w:cs="Arial"/>
        </w:rPr>
        <w:t>El expediente reingresó al Despacho para dictar fallo de primera instancia el 29 de marzo de 2023</w:t>
      </w:r>
      <w:r w:rsidR="00866590">
        <w:rPr>
          <w:rFonts w:ascii="Arial" w:eastAsia="Calibri" w:hAnsi="Arial" w:cs="Arial"/>
        </w:rPr>
        <w:t>, no obstante</w:t>
      </w:r>
      <w:r w:rsidR="007D6924">
        <w:rPr>
          <w:rFonts w:ascii="Arial" w:eastAsia="Calibri" w:hAnsi="Arial" w:cs="Arial"/>
        </w:rPr>
        <w:t xml:space="preserve">, </w:t>
      </w:r>
      <w:r w:rsidR="00866590">
        <w:rPr>
          <w:rFonts w:ascii="Arial" w:eastAsia="Calibri" w:hAnsi="Arial" w:cs="Arial"/>
        </w:rPr>
        <w:t>consult</w:t>
      </w:r>
      <w:r w:rsidR="00A0726C">
        <w:rPr>
          <w:rFonts w:ascii="Arial" w:eastAsia="Calibri" w:hAnsi="Arial" w:cs="Arial"/>
        </w:rPr>
        <w:t>ado</w:t>
      </w:r>
      <w:r w:rsidR="00866590">
        <w:rPr>
          <w:rFonts w:ascii="Arial" w:eastAsia="Calibri" w:hAnsi="Arial" w:cs="Arial"/>
        </w:rPr>
        <w:t xml:space="preserve"> el soporte de notificación del proveído admisorio</w:t>
      </w:r>
      <w:r w:rsidR="001F276C">
        <w:rPr>
          <w:rStyle w:val="Refdenotaalpie"/>
          <w:rFonts w:ascii="Arial" w:eastAsia="Calibri" w:hAnsi="Arial" w:cs="Arial"/>
        </w:rPr>
        <w:footnoteReference w:id="4"/>
      </w:r>
      <w:r w:rsidR="00866590">
        <w:rPr>
          <w:rFonts w:ascii="Arial" w:eastAsia="Calibri" w:hAnsi="Arial" w:cs="Arial"/>
        </w:rPr>
        <w:t xml:space="preserve">, </w:t>
      </w:r>
      <w:r w:rsidR="00A0726C">
        <w:rPr>
          <w:rFonts w:ascii="Arial" w:eastAsia="Calibri" w:hAnsi="Arial" w:cs="Arial"/>
        </w:rPr>
        <w:t xml:space="preserve">se </w:t>
      </w:r>
      <w:r w:rsidR="00F51A84">
        <w:rPr>
          <w:rFonts w:ascii="Arial" w:eastAsia="Calibri" w:hAnsi="Arial" w:cs="Arial"/>
        </w:rPr>
        <w:t xml:space="preserve">constató que </w:t>
      </w:r>
      <w:r w:rsidR="007813BD">
        <w:rPr>
          <w:rFonts w:ascii="Arial" w:eastAsia="Calibri" w:hAnsi="Arial" w:cs="Arial"/>
        </w:rPr>
        <w:t>la Secretaría General del Consejo de Estado notificó en debida forma y conforme fue ordenado a los magistrados que integran las secciones Primera y Quinta del Consejo de Estado</w:t>
      </w:r>
      <w:r w:rsidR="001D5D1D">
        <w:rPr>
          <w:rFonts w:ascii="Arial" w:eastAsia="Calibri" w:hAnsi="Arial" w:cs="Arial"/>
        </w:rPr>
        <w:t>, así como a Andrés Eduardo Gómez Martínez, en su calidad de tercero con interés. Aunado a ello, inclusive, notificó a Jhon Turizo Hernández</w:t>
      </w:r>
      <w:r w:rsidR="000E24A4">
        <w:rPr>
          <w:rFonts w:ascii="Arial" w:eastAsia="Calibri" w:hAnsi="Arial" w:cs="Arial"/>
        </w:rPr>
        <w:t>, a Álvaro Contreras</w:t>
      </w:r>
      <w:r w:rsidR="00B7778B">
        <w:rPr>
          <w:rFonts w:ascii="Arial" w:eastAsia="Calibri" w:hAnsi="Arial" w:cs="Arial"/>
        </w:rPr>
        <w:t xml:space="preserve"> Otero</w:t>
      </w:r>
      <w:r w:rsidR="000E24A4">
        <w:rPr>
          <w:rFonts w:ascii="Arial" w:eastAsia="Calibri" w:hAnsi="Arial" w:cs="Arial"/>
        </w:rPr>
        <w:t>, a los partidos Cambio Radical y Conservador</w:t>
      </w:r>
      <w:r w:rsidR="006F2C8D">
        <w:rPr>
          <w:rFonts w:ascii="Arial" w:eastAsia="Calibri" w:hAnsi="Arial" w:cs="Arial"/>
        </w:rPr>
        <w:t xml:space="preserve"> y a la Agencia Nacional de Defensa Jurídica del Estado</w:t>
      </w:r>
      <w:r w:rsidR="000E24A4">
        <w:rPr>
          <w:rFonts w:ascii="Arial" w:eastAsia="Calibri" w:hAnsi="Arial" w:cs="Arial"/>
        </w:rPr>
        <w:t>, frente a quienes se advierte en esta oportunidad que fueron coadyuvantes y terceros intervinientes interesados, respectivamente, de acuerdo al informe</w:t>
      </w:r>
      <w:r w:rsidR="00235A15">
        <w:rPr>
          <w:rStyle w:val="Refdenotaalpie"/>
          <w:rFonts w:ascii="Arial" w:eastAsia="Calibri" w:hAnsi="Arial" w:cs="Arial"/>
        </w:rPr>
        <w:footnoteReference w:id="5"/>
      </w:r>
      <w:r w:rsidR="000E24A4">
        <w:rPr>
          <w:rFonts w:ascii="Arial" w:eastAsia="Calibri" w:hAnsi="Arial" w:cs="Arial"/>
        </w:rPr>
        <w:t xml:space="preserve"> que rindió la Sección Quinta del Consejo de Estado en cumplimiento del auto del 15 de marzo de 2023. </w:t>
      </w:r>
      <w:r w:rsidR="004B5E47">
        <w:rPr>
          <w:rFonts w:ascii="Arial" w:eastAsia="Calibri" w:hAnsi="Arial" w:cs="Arial"/>
        </w:rPr>
        <w:t xml:space="preserve"> </w:t>
      </w:r>
    </w:p>
    <w:p w:rsidR="006F2C8D" w:rsidRDefault="006F2C8D" w:rsidP="000808F8">
      <w:pPr>
        <w:ind w:right="51"/>
        <w:jc w:val="both"/>
        <w:rPr>
          <w:rFonts w:ascii="Arial" w:eastAsia="Calibri" w:hAnsi="Arial" w:cs="Arial"/>
        </w:rPr>
      </w:pPr>
    </w:p>
    <w:p w:rsidR="00F87B73" w:rsidRDefault="00C54C4E" w:rsidP="000808F8">
      <w:pPr>
        <w:ind w:right="51"/>
        <w:jc w:val="both"/>
        <w:rPr>
          <w:rFonts w:ascii="Arial" w:eastAsia="Calibri" w:hAnsi="Arial" w:cs="Arial"/>
        </w:rPr>
      </w:pPr>
      <w:r>
        <w:rPr>
          <w:rFonts w:ascii="Arial" w:eastAsia="Calibri" w:hAnsi="Arial" w:cs="Arial"/>
        </w:rPr>
        <w:t xml:space="preserve">No obstante, </w:t>
      </w:r>
      <w:r w:rsidR="0034790D">
        <w:rPr>
          <w:rFonts w:ascii="Arial" w:eastAsia="Calibri" w:hAnsi="Arial" w:cs="Arial"/>
        </w:rPr>
        <w:t xml:space="preserve">la Secretaría General </w:t>
      </w:r>
      <w:r>
        <w:rPr>
          <w:rFonts w:ascii="Arial" w:eastAsia="Calibri" w:hAnsi="Arial" w:cs="Arial"/>
        </w:rPr>
        <w:t xml:space="preserve">no </w:t>
      </w:r>
      <w:r w:rsidR="00A0726C">
        <w:rPr>
          <w:rFonts w:ascii="Arial" w:eastAsia="Calibri" w:hAnsi="Arial" w:cs="Arial"/>
        </w:rPr>
        <w:t xml:space="preserve">efectúo la notificación debida a </w:t>
      </w:r>
      <w:r>
        <w:rPr>
          <w:rFonts w:ascii="Arial" w:eastAsia="Calibri" w:hAnsi="Arial" w:cs="Arial"/>
        </w:rPr>
        <w:t xml:space="preserve">los consejeros de Estado </w:t>
      </w:r>
      <w:r w:rsidR="004B1317">
        <w:rPr>
          <w:rFonts w:ascii="Arial" w:eastAsia="Calibri" w:hAnsi="Arial" w:cs="Arial"/>
        </w:rPr>
        <w:t xml:space="preserve">que </w:t>
      </w:r>
      <w:r w:rsidR="00A0726C">
        <w:rPr>
          <w:rFonts w:ascii="Arial" w:eastAsia="Calibri" w:hAnsi="Arial" w:cs="Arial"/>
        </w:rPr>
        <w:t xml:space="preserve">integran </w:t>
      </w:r>
      <w:r w:rsidR="004B1317">
        <w:rPr>
          <w:rFonts w:ascii="Arial" w:eastAsia="Calibri" w:hAnsi="Arial" w:cs="Arial"/>
        </w:rPr>
        <w:t>la Subsección B-Sección Segunda de esta Corporación -parte accionada en el asunto constitucional de la referencia-,</w:t>
      </w:r>
      <w:r w:rsidR="00A71255">
        <w:rPr>
          <w:rFonts w:ascii="Arial" w:eastAsia="Calibri" w:hAnsi="Arial" w:cs="Arial"/>
        </w:rPr>
        <w:t xml:space="preserve"> </w:t>
      </w:r>
      <w:r w:rsidR="004B1317">
        <w:rPr>
          <w:rFonts w:ascii="Arial" w:eastAsia="Calibri" w:hAnsi="Arial" w:cs="Arial"/>
        </w:rPr>
        <w:t xml:space="preserve">ni del Tribunal Administrativo de Sucre, el Consejo Nacional Electoral, la Registraduría Nacional del Estado Civil, Omar de Jesús Ochoa García y Nataly Strusberg Castañeda, estos últimos vinculados al presente trámite </w:t>
      </w:r>
      <w:r w:rsidR="00A71255">
        <w:rPr>
          <w:rFonts w:ascii="Arial" w:eastAsia="Calibri" w:hAnsi="Arial" w:cs="Arial"/>
        </w:rPr>
        <w:t xml:space="preserve">por este juez </w:t>
      </w:r>
      <w:r w:rsidR="004B1317">
        <w:rPr>
          <w:rFonts w:ascii="Arial" w:eastAsia="Calibri" w:hAnsi="Arial" w:cs="Arial"/>
        </w:rPr>
        <w:t xml:space="preserve">en calidad de terceros con interés. </w:t>
      </w:r>
    </w:p>
    <w:p w:rsidR="00E41384" w:rsidRDefault="00E41384" w:rsidP="000808F8">
      <w:pPr>
        <w:ind w:right="51"/>
        <w:jc w:val="both"/>
        <w:rPr>
          <w:rFonts w:ascii="Arial" w:eastAsia="Calibri" w:hAnsi="Arial" w:cs="Arial"/>
        </w:rPr>
      </w:pPr>
    </w:p>
    <w:p w:rsidR="00E41384" w:rsidRDefault="00E41384" w:rsidP="000808F8">
      <w:pPr>
        <w:ind w:right="51"/>
        <w:jc w:val="both"/>
        <w:rPr>
          <w:rFonts w:ascii="Arial" w:eastAsia="Calibri" w:hAnsi="Arial" w:cs="Arial"/>
        </w:rPr>
      </w:pPr>
      <w:r>
        <w:rPr>
          <w:rFonts w:ascii="Arial" w:eastAsia="Calibri" w:hAnsi="Arial" w:cs="Arial"/>
        </w:rPr>
        <w:t>Ahora bien, tampoco procedió a notificar</w:t>
      </w:r>
      <w:r w:rsidR="001D7E1B">
        <w:rPr>
          <w:rFonts w:ascii="Arial" w:eastAsia="Calibri" w:hAnsi="Arial" w:cs="Arial"/>
        </w:rPr>
        <w:t xml:space="preserve"> a los sujetos procesales restantes que intervinieron en el proceso electoral identificado al radicado número </w:t>
      </w:r>
      <w:r w:rsidR="001D7E1B" w:rsidRPr="00D06068">
        <w:rPr>
          <w:rFonts w:ascii="Arial" w:eastAsia="Calibri" w:hAnsi="Arial" w:cs="Arial"/>
        </w:rPr>
        <w:t>70001-23-33-000-2020-00004-03</w:t>
      </w:r>
      <w:r w:rsidR="0045004A">
        <w:rPr>
          <w:rFonts w:ascii="Arial" w:eastAsia="Calibri" w:hAnsi="Arial" w:cs="Arial"/>
        </w:rPr>
        <w:t>, en concreto, a los partidos Centro Democrático y Social de Unidad Nacional -partido de la U-</w:t>
      </w:r>
      <w:r w:rsidR="00161619">
        <w:rPr>
          <w:rFonts w:ascii="Arial" w:eastAsia="Calibri" w:hAnsi="Arial" w:cs="Arial"/>
        </w:rPr>
        <w:t xml:space="preserve">, quienes de conformidad con el informe que rindió la Sección Quinta del Consejo de Estado al interior del trámite de la referencia, </w:t>
      </w:r>
      <w:r w:rsidR="003F4365">
        <w:rPr>
          <w:rFonts w:ascii="Arial" w:eastAsia="Calibri" w:hAnsi="Arial" w:cs="Arial"/>
        </w:rPr>
        <w:t xml:space="preserve">participaron </w:t>
      </w:r>
      <w:r w:rsidR="00161619">
        <w:rPr>
          <w:rFonts w:ascii="Arial" w:eastAsia="Calibri" w:hAnsi="Arial" w:cs="Arial"/>
        </w:rPr>
        <w:t xml:space="preserve">en el asunto electoral en calidad de terceros </w:t>
      </w:r>
      <w:r w:rsidR="00542F4F">
        <w:rPr>
          <w:rFonts w:ascii="Arial" w:eastAsia="Calibri" w:hAnsi="Arial" w:cs="Arial"/>
        </w:rPr>
        <w:t xml:space="preserve">intervinientes </w:t>
      </w:r>
      <w:r w:rsidR="00161619">
        <w:rPr>
          <w:rFonts w:ascii="Arial" w:eastAsia="Calibri" w:hAnsi="Arial" w:cs="Arial"/>
        </w:rPr>
        <w:t xml:space="preserve">interesados. </w:t>
      </w:r>
    </w:p>
    <w:p w:rsidR="00E975FE" w:rsidRDefault="00E975FE" w:rsidP="000808F8">
      <w:pPr>
        <w:ind w:right="51"/>
        <w:jc w:val="both"/>
        <w:rPr>
          <w:rFonts w:ascii="Arial" w:eastAsia="Calibri" w:hAnsi="Arial" w:cs="Arial"/>
        </w:rPr>
      </w:pPr>
    </w:p>
    <w:p w:rsidR="00F87B73" w:rsidRDefault="00E975FE" w:rsidP="0050129F">
      <w:pPr>
        <w:ind w:right="51"/>
        <w:jc w:val="both"/>
        <w:rPr>
          <w:rFonts w:ascii="Arial" w:eastAsia="Calibri" w:hAnsi="Arial" w:cs="Arial"/>
        </w:rPr>
      </w:pPr>
      <w:r>
        <w:rPr>
          <w:rFonts w:ascii="Arial" w:eastAsia="Calibri" w:hAnsi="Arial" w:cs="Arial"/>
        </w:rPr>
        <w:t>Sobre la materia</w:t>
      </w:r>
      <w:r w:rsidR="0050129F">
        <w:rPr>
          <w:rFonts w:ascii="Arial" w:eastAsia="Calibri" w:hAnsi="Arial" w:cs="Arial"/>
        </w:rPr>
        <w:t xml:space="preserve"> atinente a la notificación del proceso a quienes tendrían un interés legítimo en el mismo, la Corte Constitucional ha considerado lo siguiente: </w:t>
      </w:r>
    </w:p>
    <w:p w:rsidR="0050129F" w:rsidRDefault="0050129F" w:rsidP="0050129F">
      <w:pPr>
        <w:ind w:right="51"/>
        <w:jc w:val="both"/>
        <w:rPr>
          <w:rFonts w:ascii="Arial" w:eastAsia="Calibri" w:hAnsi="Arial" w:cs="Arial"/>
          <w:sz w:val="22"/>
          <w:szCs w:val="22"/>
        </w:rPr>
      </w:pPr>
    </w:p>
    <w:p w:rsidR="0057678C" w:rsidRPr="0057678C" w:rsidRDefault="0057678C" w:rsidP="0057678C">
      <w:pPr>
        <w:shd w:val="clear" w:color="auto" w:fill="FFFFFF"/>
        <w:ind w:left="709" w:right="51"/>
        <w:contextualSpacing/>
        <w:jc w:val="both"/>
        <w:textAlignment w:val="baseline"/>
        <w:rPr>
          <w:rFonts w:ascii="Arial" w:eastAsia="Calibri" w:hAnsi="Arial" w:cs="Arial"/>
          <w:sz w:val="22"/>
          <w:szCs w:val="22"/>
        </w:rPr>
      </w:pPr>
      <w:r w:rsidRPr="0057678C">
        <w:rPr>
          <w:rFonts w:ascii="Arial" w:eastAsia="Calibri" w:hAnsi="Arial" w:cs="Arial"/>
          <w:sz w:val="22"/>
          <w:szCs w:val="22"/>
        </w:rPr>
        <w:t xml:space="preserve">“2.3. Esta Corte ha sostenido que “el juez constitucional, como director del proceso, está obligado a  -entre otras cargas- </w:t>
      </w:r>
      <w:r w:rsidRPr="0057678C">
        <w:rPr>
          <w:rFonts w:ascii="Arial" w:eastAsia="Calibri" w:hAnsi="Arial" w:cs="Arial"/>
          <w:b/>
          <w:sz w:val="22"/>
          <w:szCs w:val="22"/>
        </w:rPr>
        <w:t>integrar debidamente el contradictorio</w:t>
      </w:r>
      <w:r w:rsidRPr="0057678C">
        <w:rPr>
          <w:rFonts w:ascii="Arial" w:eastAsia="Calibri" w:hAnsi="Arial" w:cs="Arial"/>
          <w:sz w:val="22"/>
          <w:szCs w:val="22"/>
        </w:rPr>
        <w:t xml:space="preserve">, </w:t>
      </w:r>
      <w:r w:rsidRPr="0057678C">
        <w:rPr>
          <w:rFonts w:ascii="Arial" w:eastAsia="Calibri" w:hAnsi="Arial" w:cs="Arial"/>
          <w:b/>
          <w:sz w:val="22"/>
          <w:szCs w:val="22"/>
        </w:rPr>
        <w:t>vinculando al trámite a aquellas personas naturales o jurídicas que puedan estar comprometidas en la afectación iusfundamental y en el cumplimiento de una eventual orden de amparo</w:t>
      </w:r>
      <w:r w:rsidRPr="0057678C">
        <w:rPr>
          <w:rFonts w:ascii="Arial" w:eastAsia="Calibri" w:hAnsi="Arial" w:cs="Arial"/>
          <w:sz w:val="22"/>
          <w:szCs w:val="22"/>
        </w:rPr>
        <w:t>, para que en ejercicio de la garantía consagrada en el artículo 29 superior, puedan intervenir en el trámite, pronunciarse sobre las pretensiones de la demanda, aportar y solicitar las pruebas que consideren pertinentes, y en fin, hacer uso del arsenal defensivo que ofrece el ordenamiento jurídico”.</w:t>
      </w:r>
    </w:p>
    <w:p w:rsidR="0057678C" w:rsidRPr="0057678C" w:rsidRDefault="0057678C" w:rsidP="0057678C">
      <w:pPr>
        <w:shd w:val="clear" w:color="auto" w:fill="FFFFFF"/>
        <w:ind w:left="709" w:right="51"/>
        <w:contextualSpacing/>
        <w:jc w:val="both"/>
        <w:textAlignment w:val="baseline"/>
        <w:rPr>
          <w:rFonts w:ascii="Arial" w:eastAsia="Calibri" w:hAnsi="Arial" w:cs="Arial"/>
          <w:sz w:val="22"/>
          <w:szCs w:val="22"/>
        </w:rPr>
      </w:pPr>
    </w:p>
    <w:p w:rsidR="0057678C" w:rsidRPr="0057678C" w:rsidRDefault="0057678C" w:rsidP="0057678C">
      <w:pPr>
        <w:shd w:val="clear" w:color="auto" w:fill="FFFFFF"/>
        <w:spacing w:after="240"/>
        <w:ind w:left="709" w:right="51"/>
        <w:contextualSpacing/>
        <w:jc w:val="both"/>
        <w:textAlignment w:val="baseline"/>
        <w:rPr>
          <w:rFonts w:ascii="Arial" w:eastAsia="Calibri" w:hAnsi="Arial" w:cs="Arial"/>
          <w:sz w:val="22"/>
          <w:szCs w:val="22"/>
        </w:rPr>
      </w:pPr>
      <w:r w:rsidRPr="0057678C">
        <w:rPr>
          <w:rFonts w:ascii="Arial" w:eastAsia="Calibri" w:hAnsi="Arial" w:cs="Arial"/>
          <w:sz w:val="22"/>
          <w:szCs w:val="22"/>
        </w:rPr>
        <w:t>2.4. […] Por consiguiente, si el juez de tutela incumple el deber de integrar debidamente el contradictorio, la jurisprudencia constitucional ha considerado que dicha irregularidad impide el conocimiento de fondo del asunto sometido a consideración de la Sala constitucional […].</w:t>
      </w:r>
      <w:r w:rsidR="00DA064D">
        <w:rPr>
          <w:rFonts w:ascii="Arial" w:eastAsia="Calibri" w:hAnsi="Arial" w:cs="Arial"/>
          <w:sz w:val="22"/>
          <w:szCs w:val="22"/>
        </w:rPr>
        <w:t xml:space="preserve"> </w:t>
      </w:r>
    </w:p>
    <w:p w:rsidR="0057678C" w:rsidRPr="0057678C" w:rsidRDefault="0057678C" w:rsidP="0057678C">
      <w:pPr>
        <w:shd w:val="clear" w:color="auto" w:fill="FFFFFF"/>
        <w:spacing w:after="240"/>
        <w:ind w:left="709" w:right="51"/>
        <w:contextualSpacing/>
        <w:jc w:val="both"/>
        <w:textAlignment w:val="baseline"/>
        <w:rPr>
          <w:rFonts w:ascii="Arial" w:eastAsia="Calibri" w:hAnsi="Arial" w:cs="Arial"/>
          <w:sz w:val="22"/>
          <w:szCs w:val="22"/>
        </w:rPr>
      </w:pPr>
    </w:p>
    <w:p w:rsidR="0057678C" w:rsidRDefault="0057678C" w:rsidP="0057678C">
      <w:pPr>
        <w:shd w:val="clear" w:color="auto" w:fill="FFFFFF"/>
        <w:ind w:left="709"/>
        <w:contextualSpacing/>
        <w:jc w:val="both"/>
        <w:textAlignment w:val="baseline"/>
        <w:rPr>
          <w:rFonts w:ascii="Arial" w:eastAsia="Calibri" w:hAnsi="Arial" w:cs="Arial"/>
          <w:sz w:val="22"/>
          <w:szCs w:val="22"/>
        </w:rPr>
      </w:pPr>
      <w:r w:rsidRPr="0057678C">
        <w:rPr>
          <w:rFonts w:ascii="Arial" w:eastAsia="Calibri" w:hAnsi="Arial" w:cs="Arial"/>
          <w:sz w:val="22"/>
          <w:szCs w:val="22"/>
        </w:rPr>
        <w:t xml:space="preserve">2.7. En conclusión, </w:t>
      </w:r>
      <w:r w:rsidRPr="0057678C">
        <w:rPr>
          <w:rFonts w:ascii="Arial" w:eastAsia="Calibri" w:hAnsi="Arial" w:cs="Arial"/>
          <w:b/>
          <w:sz w:val="22"/>
          <w:szCs w:val="22"/>
        </w:rPr>
        <w:t xml:space="preserve">la indebida integración del contradictorio o la </w:t>
      </w:r>
      <w:r w:rsidRPr="0057678C">
        <w:rPr>
          <w:rFonts w:ascii="Arial" w:eastAsia="Calibri" w:hAnsi="Arial" w:cs="Arial"/>
          <w:b/>
          <w:sz w:val="22"/>
          <w:szCs w:val="22"/>
          <w:u w:val="single"/>
        </w:rPr>
        <w:t>falta de notificación del proceso a personas que podrían resultar afectadas</w:t>
      </w:r>
      <w:r w:rsidRPr="0057678C">
        <w:rPr>
          <w:rFonts w:ascii="Arial" w:eastAsia="Calibri" w:hAnsi="Arial" w:cs="Arial"/>
          <w:b/>
          <w:sz w:val="22"/>
          <w:szCs w:val="22"/>
        </w:rPr>
        <w:t xml:space="preserve"> por la decisión genera una violación del debido proceso, una vulneración del derecho de defensa y una deficiencia de protección de los derechos fundamentales involucrados que deriva en la nulidad del proceso de tutela.</w:t>
      </w:r>
      <w:r w:rsidRPr="0057678C">
        <w:rPr>
          <w:rFonts w:ascii="Arial" w:eastAsia="Calibri" w:hAnsi="Arial" w:cs="Arial"/>
          <w:sz w:val="22"/>
          <w:szCs w:val="22"/>
        </w:rPr>
        <w:t>”</w:t>
      </w:r>
      <w:r w:rsidRPr="0057678C">
        <w:rPr>
          <w:rFonts w:ascii="Arial" w:eastAsia="Calibri" w:hAnsi="Arial" w:cs="Arial"/>
          <w:sz w:val="22"/>
          <w:szCs w:val="22"/>
          <w:vertAlign w:val="superscript"/>
        </w:rPr>
        <w:footnoteReference w:id="6"/>
      </w:r>
      <w:r w:rsidRPr="0057678C">
        <w:rPr>
          <w:rFonts w:ascii="Arial" w:eastAsia="Calibri" w:hAnsi="Arial" w:cs="Arial"/>
          <w:sz w:val="22"/>
          <w:szCs w:val="22"/>
        </w:rPr>
        <w:t xml:space="preserve">. (El Despacho subraya). </w:t>
      </w:r>
    </w:p>
    <w:p w:rsidR="0060319F" w:rsidRDefault="0060319F" w:rsidP="0057678C">
      <w:pPr>
        <w:shd w:val="clear" w:color="auto" w:fill="FFFFFF"/>
        <w:ind w:left="709"/>
        <w:contextualSpacing/>
        <w:jc w:val="both"/>
        <w:textAlignment w:val="baseline"/>
        <w:rPr>
          <w:rFonts w:ascii="Arial" w:eastAsia="Calibri" w:hAnsi="Arial" w:cs="Arial"/>
          <w:sz w:val="22"/>
          <w:szCs w:val="22"/>
        </w:rPr>
      </w:pPr>
    </w:p>
    <w:p w:rsidR="0075312D" w:rsidRDefault="0060319F" w:rsidP="00AE5CFF">
      <w:pPr>
        <w:jc w:val="both"/>
        <w:rPr>
          <w:rFonts w:ascii="Arial" w:eastAsia="Verdana" w:hAnsi="Arial" w:cs="Arial"/>
        </w:rPr>
      </w:pPr>
      <w:r w:rsidRPr="0060319F">
        <w:rPr>
          <w:rFonts w:ascii="Arial" w:eastAsia="Calibri" w:hAnsi="Arial" w:cs="Arial"/>
        </w:rPr>
        <w:t>Por lo tanto, es necesario que el juez de tutela, en primer lugar, vincule a todas aquellas personas que podrían verse afectadas con la decisión de fondo que resuelva la acción de tutela, y, en segundo lugar, que se asegure de que se efectúen las notificaciones de rigor</w:t>
      </w:r>
      <w:r w:rsidRPr="0060319F">
        <w:rPr>
          <w:rFonts w:ascii="Arial" w:eastAsia="Calibri" w:hAnsi="Arial" w:cs="Arial"/>
          <w:vertAlign w:val="superscript"/>
        </w:rPr>
        <w:footnoteReference w:id="7"/>
      </w:r>
      <w:r w:rsidRPr="0060319F">
        <w:rPr>
          <w:rFonts w:ascii="Arial" w:eastAsia="Calibri" w:hAnsi="Arial" w:cs="Arial"/>
        </w:rPr>
        <w:t xml:space="preserve">. </w:t>
      </w:r>
      <w:r w:rsidR="0075312D">
        <w:rPr>
          <w:rFonts w:ascii="Arial" w:eastAsia="Calibri" w:hAnsi="Arial" w:cs="Arial"/>
        </w:rPr>
        <w:t xml:space="preserve">En particular, </w:t>
      </w:r>
      <w:r w:rsidR="0075312D">
        <w:rPr>
          <w:rFonts w:ascii="Arial" w:eastAsia="Verdana" w:hAnsi="Arial" w:cs="Arial"/>
        </w:rPr>
        <w:t>e</w:t>
      </w:r>
      <w:r w:rsidR="0075312D" w:rsidRPr="0075312D">
        <w:rPr>
          <w:rFonts w:ascii="Arial" w:eastAsia="Verdana" w:hAnsi="Arial" w:cs="Arial"/>
        </w:rPr>
        <w:t>l artículo 61 del CGP</w:t>
      </w:r>
      <w:r w:rsidR="0075312D" w:rsidRPr="0075312D">
        <w:rPr>
          <w:rFonts w:ascii="Arial" w:eastAsia="Verdana" w:hAnsi="Arial" w:cs="Arial"/>
          <w:vertAlign w:val="superscript"/>
        </w:rPr>
        <w:footnoteReference w:id="8"/>
      </w:r>
      <w:r w:rsidR="0075312D" w:rsidRPr="0075312D">
        <w:rPr>
          <w:rFonts w:ascii="Arial" w:eastAsia="Verdana" w:hAnsi="Arial" w:cs="Arial"/>
        </w:rPr>
        <w:t>, dispone que es obligación para el juez notificar y dar traslado “a quienes falten para integrar el contradictorio, en la forma y con el término de comparecencia dispuestos para el demandado”.</w:t>
      </w:r>
    </w:p>
    <w:p w:rsidR="00A0726C" w:rsidRDefault="00A0726C" w:rsidP="00AE5CFF">
      <w:pPr>
        <w:jc w:val="both"/>
        <w:rPr>
          <w:rFonts w:ascii="Arial" w:eastAsia="Calibri" w:hAnsi="Arial" w:cs="Arial"/>
        </w:rPr>
      </w:pPr>
    </w:p>
    <w:p w:rsidR="0083779C" w:rsidRDefault="001C54EA" w:rsidP="00AE5CFF">
      <w:pPr>
        <w:jc w:val="both"/>
        <w:rPr>
          <w:rFonts w:ascii="Arial" w:eastAsia="Verdana" w:hAnsi="Arial" w:cs="Arial"/>
        </w:rPr>
      </w:pPr>
      <w:r>
        <w:rPr>
          <w:rFonts w:ascii="Arial" w:eastAsia="Calibri" w:hAnsi="Arial" w:cs="Arial"/>
        </w:rPr>
        <w:t xml:space="preserve">Lo anterior, como una medida </w:t>
      </w:r>
      <w:r w:rsidR="00A0726C">
        <w:rPr>
          <w:rFonts w:ascii="Arial" w:eastAsia="Calibri" w:hAnsi="Arial" w:cs="Arial"/>
        </w:rPr>
        <w:t xml:space="preserve">de protección del </w:t>
      </w:r>
      <w:r w:rsidR="00C12C06">
        <w:rPr>
          <w:rFonts w:ascii="Arial" w:eastAsia="Calibri" w:hAnsi="Arial" w:cs="Arial"/>
        </w:rPr>
        <w:t>derecho fundamental al debido proceso de los intervinientes</w:t>
      </w:r>
      <w:r w:rsidR="0083779C">
        <w:rPr>
          <w:rFonts w:ascii="Arial" w:eastAsia="Calibri" w:hAnsi="Arial" w:cs="Arial"/>
        </w:rPr>
        <w:t xml:space="preserve"> y, </w:t>
      </w:r>
      <w:r w:rsidR="00A0726C">
        <w:rPr>
          <w:rFonts w:ascii="Arial" w:eastAsia="Calibri" w:hAnsi="Arial" w:cs="Arial"/>
        </w:rPr>
        <w:t xml:space="preserve">como garantía de </w:t>
      </w:r>
      <w:r w:rsidR="0083779C">
        <w:rPr>
          <w:rFonts w:ascii="Arial" w:eastAsia="Calibri" w:hAnsi="Arial" w:cs="Arial"/>
        </w:rPr>
        <w:t xml:space="preserve">que la decisión que se adopte en el trámite de la primera instancia no esté viciada por alguna irregularidad procesal como la que dispone el numeral 8 del artículo 133 del Código General del Proceso, relativa a que </w:t>
      </w:r>
      <w:r w:rsidR="0083779C" w:rsidRPr="0083779C">
        <w:rPr>
          <w:rFonts w:ascii="Arial" w:eastAsia="Verdana" w:hAnsi="Arial" w:cs="Arial"/>
        </w:rPr>
        <w:t xml:space="preserve">no se practique en legal forma la notificación del auto admisorio a las demandadas o “a cualquier otra persona o entidad que de acuerdo con la ley debió ser citado”. </w:t>
      </w:r>
    </w:p>
    <w:p w:rsidR="001B6167" w:rsidRDefault="001B6167" w:rsidP="00AE5CFF">
      <w:pPr>
        <w:jc w:val="both"/>
        <w:rPr>
          <w:rFonts w:ascii="Arial" w:eastAsia="Verdana" w:hAnsi="Arial" w:cs="Arial"/>
        </w:rPr>
      </w:pPr>
    </w:p>
    <w:p w:rsidR="00D82872" w:rsidRDefault="001B6167" w:rsidP="00AE5CFF">
      <w:pPr>
        <w:jc w:val="both"/>
        <w:rPr>
          <w:rFonts w:ascii="Arial" w:eastAsia="Verdana" w:hAnsi="Arial" w:cs="Arial"/>
        </w:rPr>
      </w:pPr>
      <w:r>
        <w:rPr>
          <w:rFonts w:ascii="Arial" w:eastAsia="Verdana" w:hAnsi="Arial" w:cs="Arial"/>
        </w:rPr>
        <w:t xml:space="preserve">Visto lo anterior, </w:t>
      </w:r>
      <w:r w:rsidR="009B79D8">
        <w:rPr>
          <w:rFonts w:ascii="Arial" w:eastAsia="Verdana" w:hAnsi="Arial" w:cs="Arial"/>
        </w:rPr>
        <w:t xml:space="preserve">en aras de garantizar el debido proceso y el derecho a la defensa y a la contradicción de </w:t>
      </w:r>
      <w:r w:rsidR="00735949">
        <w:rPr>
          <w:rFonts w:ascii="Arial" w:eastAsia="Verdana" w:hAnsi="Arial" w:cs="Arial"/>
        </w:rPr>
        <w:t>los magistrados que integran la Subsección B de la Sección Segunda del Consejo de Estado y del Tribunal Administrativo de Sucre, así como del Consejo Nacional Electoral, de la Registraduría Nacional del Estado Civil, de Omar de Jesús Ochoa García, de Nataly Strusberg Castañeda</w:t>
      </w:r>
      <w:r w:rsidR="00EB43EC">
        <w:rPr>
          <w:rFonts w:ascii="Arial" w:eastAsia="Verdana" w:hAnsi="Arial" w:cs="Arial"/>
        </w:rPr>
        <w:t>, y de los los partidos Centro Democrático y Social de Unidad Nacional</w:t>
      </w:r>
      <w:r w:rsidR="00DD5B65">
        <w:rPr>
          <w:rFonts w:ascii="Arial" w:eastAsia="Verdana" w:hAnsi="Arial" w:cs="Arial"/>
        </w:rPr>
        <w:t xml:space="preserve">, este magistrado ponente </w:t>
      </w:r>
      <w:r w:rsidR="003A70A1">
        <w:rPr>
          <w:rFonts w:ascii="Arial" w:eastAsia="Verdana" w:hAnsi="Arial" w:cs="Arial"/>
        </w:rPr>
        <w:t xml:space="preserve">ordenará que, por conducto de la Secretaría General del Consejo de Estado, se notifique en debida forma el auto admisorio del 15 de marzo de 2023 </w:t>
      </w:r>
      <w:r w:rsidR="00924E95">
        <w:rPr>
          <w:rFonts w:ascii="Arial" w:eastAsia="Verdana" w:hAnsi="Arial" w:cs="Arial"/>
        </w:rPr>
        <w:t>a cada uno de los sujetos citados</w:t>
      </w:r>
      <w:r w:rsidR="00270F10">
        <w:rPr>
          <w:rFonts w:ascii="Arial" w:eastAsia="Verdana" w:hAnsi="Arial" w:cs="Arial"/>
        </w:rPr>
        <w:t xml:space="preserve">. </w:t>
      </w:r>
    </w:p>
    <w:p w:rsidR="00D82872" w:rsidRDefault="00D82872" w:rsidP="00AE5CFF">
      <w:pPr>
        <w:jc w:val="both"/>
        <w:rPr>
          <w:rFonts w:ascii="Arial" w:eastAsia="Verdana" w:hAnsi="Arial" w:cs="Arial"/>
        </w:rPr>
      </w:pPr>
    </w:p>
    <w:p w:rsidR="00D82872" w:rsidRDefault="00D7598C" w:rsidP="00AE5CFF">
      <w:pPr>
        <w:jc w:val="both"/>
        <w:rPr>
          <w:rFonts w:ascii="Arial" w:eastAsia="Verdana" w:hAnsi="Arial" w:cs="Arial"/>
        </w:rPr>
      </w:pPr>
      <w:r>
        <w:rPr>
          <w:rFonts w:ascii="Arial" w:eastAsia="Verdana" w:hAnsi="Arial" w:cs="Arial"/>
        </w:rPr>
        <w:t>Para ello dispondrá que,</w:t>
      </w:r>
      <w:r w:rsidR="00D5143C">
        <w:rPr>
          <w:rFonts w:ascii="Arial" w:eastAsia="Verdana" w:hAnsi="Arial" w:cs="Arial"/>
        </w:rPr>
        <w:t xml:space="preserve"> </w:t>
      </w:r>
      <w:r>
        <w:rPr>
          <w:rFonts w:ascii="Arial" w:eastAsia="Verdana" w:hAnsi="Arial" w:cs="Arial"/>
        </w:rPr>
        <w:t xml:space="preserve">los magistrados que integran la Subsección B de la Sección Segunda del Consejo de Estado </w:t>
      </w:r>
      <w:r w:rsidR="00AB31FD">
        <w:rPr>
          <w:rFonts w:ascii="Arial" w:eastAsia="Verdana" w:hAnsi="Arial" w:cs="Arial"/>
        </w:rPr>
        <w:t xml:space="preserve">sean </w:t>
      </w:r>
      <w:r w:rsidR="00D5143C">
        <w:rPr>
          <w:rFonts w:ascii="Arial" w:eastAsia="Verdana" w:hAnsi="Arial" w:cs="Arial"/>
        </w:rPr>
        <w:t>notificados directamente a través de cada uno de sus correos electrónicos, como se dispuso en el numeral 4 del proveído admisorio</w:t>
      </w:r>
      <w:r w:rsidR="00AC37CB">
        <w:rPr>
          <w:rFonts w:ascii="Arial" w:eastAsia="Verdana" w:hAnsi="Arial" w:cs="Arial"/>
        </w:rPr>
        <w:t>. Por su parte, el Tribunal Administrativo de Sucre deberá ser notificado por conducto de la Secretaría General de la Corporación</w:t>
      </w:r>
      <w:r w:rsidR="00F4461D">
        <w:rPr>
          <w:rFonts w:ascii="Arial" w:eastAsia="Verdana" w:hAnsi="Arial" w:cs="Arial"/>
        </w:rPr>
        <w:t xml:space="preserve"> y la Registraduría Nacional del Estado Civil por el correo electrónico que tenga registrado. </w:t>
      </w:r>
    </w:p>
    <w:p w:rsidR="00D82872" w:rsidRDefault="00D82872" w:rsidP="00AE5CFF">
      <w:pPr>
        <w:jc w:val="both"/>
        <w:rPr>
          <w:rFonts w:ascii="Arial" w:eastAsia="Verdana" w:hAnsi="Arial" w:cs="Arial"/>
        </w:rPr>
      </w:pPr>
    </w:p>
    <w:p w:rsidR="00B76537" w:rsidRDefault="00B76537" w:rsidP="00AE5CFF">
      <w:pPr>
        <w:jc w:val="both"/>
        <w:rPr>
          <w:rFonts w:ascii="Arial" w:eastAsia="Verdana" w:hAnsi="Arial" w:cs="Arial"/>
        </w:rPr>
      </w:pPr>
      <w:r>
        <w:rPr>
          <w:rFonts w:ascii="Arial" w:eastAsia="Verdana" w:hAnsi="Arial" w:cs="Arial"/>
        </w:rPr>
        <w:t xml:space="preserve">Finalmente, en lo que respecta al </w:t>
      </w:r>
      <w:r w:rsidR="00A067AC">
        <w:rPr>
          <w:rFonts w:ascii="Arial" w:eastAsia="Verdana" w:hAnsi="Arial" w:cs="Arial"/>
        </w:rPr>
        <w:t xml:space="preserve">Consejo Nacional Electoral, </w:t>
      </w:r>
      <w:r w:rsidR="007A797B">
        <w:rPr>
          <w:rFonts w:ascii="Arial" w:eastAsia="Verdana" w:hAnsi="Arial" w:cs="Arial"/>
        </w:rPr>
        <w:t xml:space="preserve">a </w:t>
      </w:r>
      <w:r w:rsidR="00A067AC">
        <w:rPr>
          <w:rFonts w:ascii="Arial" w:eastAsia="Verdana" w:hAnsi="Arial" w:cs="Arial"/>
        </w:rPr>
        <w:t xml:space="preserve">los partidos Centro Democrático y Social de la Unidad Nacional, </w:t>
      </w:r>
      <w:r w:rsidR="007A797B">
        <w:rPr>
          <w:rFonts w:ascii="Arial" w:eastAsia="Verdana" w:hAnsi="Arial" w:cs="Arial"/>
        </w:rPr>
        <w:t xml:space="preserve">a Omar de Jesús Ochoa García y a Nataly Strusberg Castañeda, su notificación deberá ser realizada a las direcciones </w:t>
      </w:r>
      <w:r w:rsidR="00B62AB9">
        <w:rPr>
          <w:rFonts w:ascii="Arial" w:eastAsia="Verdana" w:hAnsi="Arial" w:cs="Arial"/>
        </w:rPr>
        <w:t xml:space="preserve">electrónicas </w:t>
      </w:r>
      <w:r w:rsidR="007A797B">
        <w:rPr>
          <w:rFonts w:ascii="Arial" w:eastAsia="Verdana" w:hAnsi="Arial" w:cs="Arial"/>
        </w:rPr>
        <w:t xml:space="preserve">que aportó la Sección Quinta de esta Corporación en su informe, siendo estas las siguientes: </w:t>
      </w:r>
    </w:p>
    <w:p w:rsidR="00D5143C" w:rsidRDefault="00D5143C" w:rsidP="00AE5CFF">
      <w:pPr>
        <w:jc w:val="both"/>
        <w:rPr>
          <w:rFonts w:ascii="Arial" w:eastAsia="Verdana" w:hAnsi="Arial" w:cs="Arial"/>
        </w:rPr>
      </w:pPr>
    </w:p>
    <w:tbl>
      <w:tblPr>
        <w:tblStyle w:val="Tablaconcuadrcula"/>
        <w:tblW w:w="0" w:type="auto"/>
        <w:tblLook w:val="04A0" w:firstRow="1" w:lastRow="0" w:firstColumn="1" w:lastColumn="0" w:noHBand="0" w:noVBand="1"/>
      </w:tblPr>
      <w:tblGrid>
        <w:gridCol w:w="4402"/>
        <w:gridCol w:w="4426"/>
      </w:tblGrid>
      <w:tr w:rsidR="00C3757A" w:rsidTr="00C3757A">
        <w:tc>
          <w:tcPr>
            <w:tcW w:w="4414" w:type="dxa"/>
          </w:tcPr>
          <w:p w:rsidR="00C3757A" w:rsidRPr="00746C6F" w:rsidRDefault="00C3757A" w:rsidP="00C3757A">
            <w:pPr>
              <w:jc w:val="center"/>
              <w:rPr>
                <w:rFonts w:ascii="Arial" w:eastAsia="Verdana" w:hAnsi="Arial" w:cs="Arial"/>
                <w:b/>
                <w:sz w:val="22"/>
                <w:szCs w:val="22"/>
              </w:rPr>
            </w:pPr>
            <w:r w:rsidRPr="00746C6F">
              <w:rPr>
                <w:rFonts w:ascii="Arial" w:eastAsia="Verdana" w:hAnsi="Arial" w:cs="Arial"/>
                <w:b/>
                <w:sz w:val="22"/>
                <w:szCs w:val="22"/>
              </w:rPr>
              <w:t>Nombre</w:t>
            </w:r>
          </w:p>
        </w:tc>
        <w:tc>
          <w:tcPr>
            <w:tcW w:w="4414" w:type="dxa"/>
          </w:tcPr>
          <w:p w:rsidR="00C3757A" w:rsidRPr="00746C6F" w:rsidRDefault="00C3757A" w:rsidP="00C3757A">
            <w:pPr>
              <w:jc w:val="center"/>
              <w:rPr>
                <w:rFonts w:ascii="Arial" w:eastAsia="Verdana" w:hAnsi="Arial" w:cs="Arial"/>
                <w:b/>
                <w:sz w:val="22"/>
                <w:szCs w:val="22"/>
              </w:rPr>
            </w:pPr>
            <w:r w:rsidRPr="00746C6F">
              <w:rPr>
                <w:rFonts w:ascii="Arial" w:eastAsia="Verdana" w:hAnsi="Arial" w:cs="Arial"/>
                <w:b/>
                <w:sz w:val="22"/>
                <w:szCs w:val="22"/>
              </w:rPr>
              <w:t>Dirección de notificación</w:t>
            </w:r>
          </w:p>
        </w:tc>
      </w:tr>
      <w:tr w:rsidR="006C0F0D" w:rsidTr="00C3757A">
        <w:tc>
          <w:tcPr>
            <w:tcW w:w="4414" w:type="dxa"/>
          </w:tcPr>
          <w:p w:rsidR="006C0F0D" w:rsidRPr="00774626" w:rsidRDefault="00415E14" w:rsidP="00774626">
            <w:pPr>
              <w:jc w:val="center"/>
              <w:rPr>
                <w:rFonts w:ascii="Arial" w:eastAsia="Verdana" w:hAnsi="Arial" w:cs="Arial"/>
                <w:sz w:val="22"/>
                <w:szCs w:val="22"/>
              </w:rPr>
            </w:pPr>
            <w:r w:rsidRPr="00774626">
              <w:rPr>
                <w:rFonts w:ascii="Arial" w:eastAsia="Verdana" w:hAnsi="Arial" w:cs="Arial"/>
                <w:sz w:val="22"/>
                <w:szCs w:val="22"/>
              </w:rPr>
              <w:t>Consejo Nacional Electoral</w:t>
            </w:r>
          </w:p>
        </w:tc>
        <w:tc>
          <w:tcPr>
            <w:tcW w:w="4414" w:type="dxa"/>
          </w:tcPr>
          <w:p w:rsidR="006C0F0D" w:rsidRPr="00C17425" w:rsidRDefault="00D3280C" w:rsidP="00C3757A">
            <w:pPr>
              <w:jc w:val="center"/>
              <w:rPr>
                <w:rFonts w:ascii="Arial" w:hAnsi="Arial" w:cs="Arial"/>
                <w:color w:val="333333"/>
                <w:sz w:val="22"/>
                <w:szCs w:val="22"/>
                <w:lang w:eastAsia="es-CO"/>
              </w:rPr>
            </w:pPr>
            <w:r w:rsidRPr="00C17425">
              <w:rPr>
                <w:rFonts w:ascii="Arial" w:hAnsi="Arial" w:cs="Arial"/>
                <w:color w:val="333333"/>
                <w:sz w:val="22"/>
                <w:szCs w:val="22"/>
                <w:lang w:eastAsia="es-CO"/>
              </w:rPr>
              <w:t>cnenotificaciones@cne.gov.co</w:t>
            </w:r>
          </w:p>
          <w:p w:rsidR="00D3280C" w:rsidRPr="00C17425" w:rsidRDefault="00D3280C" w:rsidP="00C3757A">
            <w:pPr>
              <w:jc w:val="center"/>
              <w:rPr>
                <w:rFonts w:ascii="Arial" w:eastAsia="Verdana" w:hAnsi="Arial" w:cs="Arial"/>
                <w:b/>
                <w:sz w:val="22"/>
                <w:szCs w:val="22"/>
              </w:rPr>
            </w:pPr>
          </w:p>
        </w:tc>
      </w:tr>
      <w:tr w:rsidR="006C0F0D" w:rsidTr="00C3757A">
        <w:tc>
          <w:tcPr>
            <w:tcW w:w="4414" w:type="dxa"/>
          </w:tcPr>
          <w:p w:rsidR="006C0F0D" w:rsidRPr="00774626" w:rsidRDefault="00774626" w:rsidP="00774626">
            <w:pPr>
              <w:tabs>
                <w:tab w:val="left" w:pos="2745"/>
              </w:tabs>
              <w:jc w:val="center"/>
              <w:rPr>
                <w:rFonts w:ascii="Arial" w:eastAsia="Verdana" w:hAnsi="Arial" w:cs="Arial"/>
                <w:sz w:val="22"/>
                <w:szCs w:val="22"/>
              </w:rPr>
            </w:pPr>
            <w:r w:rsidRPr="00774626">
              <w:rPr>
                <w:rFonts w:ascii="Arial" w:eastAsia="Verdana" w:hAnsi="Arial" w:cs="Arial"/>
                <w:sz w:val="22"/>
                <w:szCs w:val="22"/>
              </w:rPr>
              <w:t>Partido Centro Democrático</w:t>
            </w:r>
          </w:p>
        </w:tc>
        <w:tc>
          <w:tcPr>
            <w:tcW w:w="4414" w:type="dxa"/>
          </w:tcPr>
          <w:p w:rsidR="00D3280C" w:rsidRPr="00C17425" w:rsidRDefault="00B4523A" w:rsidP="00D3280C">
            <w:pPr>
              <w:jc w:val="center"/>
              <w:rPr>
                <w:rFonts w:ascii="Arial" w:hAnsi="Arial" w:cs="Arial"/>
                <w:color w:val="333333"/>
                <w:sz w:val="22"/>
                <w:szCs w:val="22"/>
                <w:lang w:eastAsia="es-CO"/>
              </w:rPr>
            </w:pPr>
            <w:r w:rsidRPr="00C17425">
              <w:rPr>
                <w:rFonts w:ascii="Arial" w:hAnsi="Arial" w:cs="Arial"/>
                <w:color w:val="333333"/>
                <w:sz w:val="22"/>
                <w:szCs w:val="22"/>
                <w:lang w:eastAsia="es-CO"/>
              </w:rPr>
              <w:t xml:space="preserve">info@centrodemocratico.com; </w:t>
            </w:r>
          </w:p>
          <w:p w:rsidR="006C0F0D" w:rsidRPr="00C17425" w:rsidRDefault="00B4523A" w:rsidP="00D3280C">
            <w:pPr>
              <w:rPr>
                <w:rFonts w:ascii="Arial" w:eastAsia="Verdana" w:hAnsi="Arial" w:cs="Arial"/>
                <w:b/>
                <w:sz w:val="22"/>
                <w:szCs w:val="22"/>
              </w:rPr>
            </w:pPr>
            <w:r w:rsidRPr="00C17425">
              <w:rPr>
                <w:rFonts w:ascii="Arial" w:hAnsi="Arial" w:cs="Arial"/>
                <w:color w:val="333333"/>
                <w:sz w:val="22"/>
                <w:szCs w:val="22"/>
                <w:lang w:eastAsia="es-CO"/>
              </w:rPr>
              <w:t>secretariageneral@centrodemocratico.com</w:t>
            </w:r>
          </w:p>
        </w:tc>
      </w:tr>
      <w:tr w:rsidR="006C0F0D" w:rsidTr="00C3757A">
        <w:tc>
          <w:tcPr>
            <w:tcW w:w="4414" w:type="dxa"/>
          </w:tcPr>
          <w:p w:rsidR="006C0F0D" w:rsidRPr="00774626" w:rsidRDefault="00774626" w:rsidP="00774626">
            <w:pPr>
              <w:tabs>
                <w:tab w:val="left" w:pos="2745"/>
              </w:tabs>
              <w:jc w:val="center"/>
              <w:rPr>
                <w:rFonts w:ascii="Arial" w:eastAsia="Verdana" w:hAnsi="Arial" w:cs="Arial"/>
                <w:sz w:val="22"/>
                <w:szCs w:val="22"/>
              </w:rPr>
            </w:pPr>
            <w:r w:rsidRPr="00774626">
              <w:rPr>
                <w:rFonts w:ascii="Arial" w:eastAsia="Verdana" w:hAnsi="Arial" w:cs="Arial"/>
                <w:sz w:val="22"/>
                <w:szCs w:val="22"/>
              </w:rPr>
              <w:t>Partido Social de la Unidad Nacional</w:t>
            </w:r>
            <w:r w:rsidR="00C17425">
              <w:rPr>
                <w:rFonts w:ascii="Arial" w:eastAsia="Verdana" w:hAnsi="Arial" w:cs="Arial"/>
                <w:sz w:val="22"/>
                <w:szCs w:val="22"/>
              </w:rPr>
              <w:t xml:space="preserve"> Partido de la U</w:t>
            </w:r>
          </w:p>
        </w:tc>
        <w:tc>
          <w:tcPr>
            <w:tcW w:w="4414" w:type="dxa"/>
          </w:tcPr>
          <w:p w:rsidR="00C17425" w:rsidRPr="00C17425" w:rsidRDefault="00C17425" w:rsidP="00C17425">
            <w:pPr>
              <w:jc w:val="center"/>
              <w:rPr>
                <w:rFonts w:ascii="Arial" w:hAnsi="Arial" w:cs="Arial"/>
                <w:color w:val="333333"/>
                <w:sz w:val="22"/>
                <w:szCs w:val="22"/>
                <w:lang w:eastAsia="es-CO"/>
              </w:rPr>
            </w:pPr>
            <w:r w:rsidRPr="00A031DD">
              <w:rPr>
                <w:rFonts w:ascii="Arial" w:hAnsi="Arial" w:cs="Arial"/>
                <w:color w:val="333333"/>
                <w:sz w:val="22"/>
                <w:szCs w:val="22"/>
                <w:lang w:eastAsia="es-CO"/>
              </w:rPr>
              <w:t>info@partidodelau.com</w:t>
            </w:r>
            <w:r w:rsidRPr="00C17425">
              <w:rPr>
                <w:rFonts w:ascii="Arial" w:hAnsi="Arial" w:cs="Arial"/>
                <w:color w:val="333333"/>
                <w:sz w:val="22"/>
                <w:szCs w:val="22"/>
                <w:lang w:eastAsia="es-CO"/>
              </w:rPr>
              <w:t xml:space="preserve">; </w:t>
            </w:r>
          </w:p>
          <w:p w:rsidR="006C0F0D" w:rsidRPr="00C17425" w:rsidRDefault="00C17425" w:rsidP="00C17425">
            <w:pPr>
              <w:jc w:val="center"/>
              <w:rPr>
                <w:rFonts w:ascii="Arial" w:eastAsia="Verdana" w:hAnsi="Arial" w:cs="Arial"/>
                <w:b/>
                <w:sz w:val="22"/>
                <w:szCs w:val="22"/>
              </w:rPr>
            </w:pPr>
            <w:r w:rsidRPr="00C17425">
              <w:rPr>
                <w:rFonts w:ascii="Arial" w:hAnsi="Arial" w:cs="Arial"/>
                <w:color w:val="333333"/>
                <w:sz w:val="22"/>
                <w:szCs w:val="22"/>
                <w:lang w:eastAsia="es-CO"/>
              </w:rPr>
              <w:t>juridica@partidodelau.com sin ciudad</w:t>
            </w:r>
          </w:p>
        </w:tc>
      </w:tr>
      <w:tr w:rsidR="00C3757A" w:rsidTr="003A3439">
        <w:trPr>
          <w:trHeight w:val="569"/>
        </w:trPr>
        <w:tc>
          <w:tcPr>
            <w:tcW w:w="4414" w:type="dxa"/>
          </w:tcPr>
          <w:p w:rsidR="00C3757A" w:rsidRPr="00746C6F" w:rsidRDefault="00C3757A" w:rsidP="00C3757A">
            <w:pPr>
              <w:jc w:val="center"/>
              <w:rPr>
                <w:rFonts w:ascii="Arial" w:eastAsia="Verdana" w:hAnsi="Arial" w:cs="Arial"/>
                <w:sz w:val="22"/>
                <w:szCs w:val="22"/>
              </w:rPr>
            </w:pPr>
            <w:r w:rsidRPr="00746C6F">
              <w:rPr>
                <w:rFonts w:ascii="Arial" w:eastAsia="Verdana" w:hAnsi="Arial" w:cs="Arial"/>
                <w:sz w:val="22"/>
                <w:szCs w:val="22"/>
              </w:rPr>
              <w:t>Omar de Jesús Ochoa García</w:t>
            </w:r>
          </w:p>
        </w:tc>
        <w:tc>
          <w:tcPr>
            <w:tcW w:w="4414" w:type="dxa"/>
          </w:tcPr>
          <w:p w:rsidR="00C3757A" w:rsidRPr="00C17425" w:rsidRDefault="003A3439" w:rsidP="00C3757A">
            <w:pPr>
              <w:jc w:val="center"/>
              <w:rPr>
                <w:rFonts w:ascii="Arial" w:eastAsia="Verdana" w:hAnsi="Arial" w:cs="Arial"/>
                <w:sz w:val="22"/>
                <w:szCs w:val="22"/>
              </w:rPr>
            </w:pPr>
            <w:r w:rsidRPr="00C17425">
              <w:rPr>
                <w:rFonts w:ascii="Arial" w:eastAsia="Verdana" w:hAnsi="Arial" w:cs="Arial"/>
                <w:sz w:val="22"/>
                <w:szCs w:val="22"/>
              </w:rPr>
              <w:t>omarochoagarcia12@hotmail.com</w:t>
            </w:r>
          </w:p>
          <w:p w:rsidR="003A3439" w:rsidRPr="00C17425" w:rsidRDefault="003A3439" w:rsidP="00D3280C">
            <w:pPr>
              <w:jc w:val="center"/>
              <w:rPr>
                <w:rFonts w:ascii="Arial" w:eastAsia="Verdana" w:hAnsi="Arial" w:cs="Arial"/>
                <w:sz w:val="22"/>
                <w:szCs w:val="22"/>
              </w:rPr>
            </w:pPr>
            <w:r w:rsidRPr="00C17425">
              <w:rPr>
                <w:rFonts w:ascii="Arial" w:eastAsia="Verdana" w:hAnsi="Arial" w:cs="Arial"/>
                <w:sz w:val="22"/>
                <w:szCs w:val="22"/>
              </w:rPr>
              <w:t>omarochoagarcia12@icloud.com</w:t>
            </w:r>
          </w:p>
        </w:tc>
      </w:tr>
      <w:tr w:rsidR="00C3757A" w:rsidTr="00C3757A">
        <w:tc>
          <w:tcPr>
            <w:tcW w:w="4414" w:type="dxa"/>
          </w:tcPr>
          <w:p w:rsidR="00C3757A" w:rsidRPr="00746C6F" w:rsidRDefault="00C3757A" w:rsidP="00C3757A">
            <w:pPr>
              <w:jc w:val="center"/>
              <w:rPr>
                <w:rFonts w:ascii="Arial" w:eastAsia="Verdana" w:hAnsi="Arial" w:cs="Arial"/>
                <w:sz w:val="22"/>
                <w:szCs w:val="22"/>
              </w:rPr>
            </w:pPr>
            <w:r w:rsidRPr="00746C6F">
              <w:rPr>
                <w:rFonts w:ascii="Arial" w:eastAsia="Verdana" w:hAnsi="Arial" w:cs="Arial"/>
                <w:sz w:val="22"/>
                <w:szCs w:val="22"/>
              </w:rPr>
              <w:t>Nataly Strusberg Castañeda</w:t>
            </w:r>
          </w:p>
        </w:tc>
        <w:tc>
          <w:tcPr>
            <w:tcW w:w="4414" w:type="dxa"/>
          </w:tcPr>
          <w:p w:rsidR="00C3757A" w:rsidRPr="00C17425" w:rsidRDefault="003A3439" w:rsidP="00C3757A">
            <w:pPr>
              <w:jc w:val="center"/>
              <w:rPr>
                <w:rFonts w:ascii="Arial" w:eastAsia="Verdana" w:hAnsi="Arial" w:cs="Arial"/>
                <w:sz w:val="22"/>
                <w:szCs w:val="22"/>
              </w:rPr>
            </w:pPr>
            <w:r w:rsidRPr="00C17425">
              <w:rPr>
                <w:rFonts w:ascii="Arial" w:eastAsia="Verdana" w:hAnsi="Arial" w:cs="Arial"/>
                <w:sz w:val="22"/>
                <w:szCs w:val="22"/>
              </w:rPr>
              <w:t>strusbergnaty@hotmail.com</w:t>
            </w:r>
          </w:p>
        </w:tc>
      </w:tr>
    </w:tbl>
    <w:p w:rsidR="008978E8" w:rsidRDefault="008978E8" w:rsidP="008978E8">
      <w:pPr>
        <w:jc w:val="both"/>
        <w:rPr>
          <w:rFonts w:ascii="Arial" w:eastAsia="Calibri" w:hAnsi="Arial" w:cs="Arial"/>
          <w:lang w:eastAsia="en-US"/>
        </w:rPr>
      </w:pPr>
    </w:p>
    <w:p w:rsidR="00507EB3" w:rsidRDefault="00507EB3" w:rsidP="00507EB3">
      <w:pPr>
        <w:jc w:val="both"/>
        <w:rPr>
          <w:rFonts w:ascii="Arial" w:hAnsi="Arial" w:cs="Arial"/>
          <w:lang w:val="es-ES_tradnl" w:eastAsia="es-ES"/>
        </w:rPr>
      </w:pPr>
      <w:r>
        <w:rPr>
          <w:rFonts w:ascii="Arial" w:hAnsi="Arial" w:cs="Arial"/>
          <w:lang w:val="es-ES" w:eastAsia="en-US"/>
        </w:rPr>
        <w:t xml:space="preserve">La Secretaría General de esta Corporación les comunicará a los sujetos procesales notificados que podrán presentar informes sobre los hechos en los que se sustenta la presente acción, en el término de </w:t>
      </w:r>
      <w:r w:rsidRPr="0031117A">
        <w:rPr>
          <w:rFonts w:ascii="Arial" w:hAnsi="Arial" w:cs="Arial"/>
          <w:lang w:val="es-ES_tradnl" w:eastAsia="es-ES"/>
        </w:rPr>
        <w:t>tres (3) días contados a partir del recibo de la</w:t>
      </w:r>
      <w:r>
        <w:rPr>
          <w:rFonts w:ascii="Arial" w:hAnsi="Arial" w:cs="Arial"/>
          <w:lang w:val="es-ES_tradnl" w:eastAsia="es-ES"/>
        </w:rPr>
        <w:t xml:space="preserve"> presente</w:t>
      </w:r>
      <w:r w:rsidRPr="0031117A">
        <w:rPr>
          <w:rFonts w:ascii="Arial" w:hAnsi="Arial" w:cs="Arial"/>
          <w:lang w:val="es-ES_tradnl" w:eastAsia="es-ES"/>
        </w:rPr>
        <w:t xml:space="preserve"> notificación</w:t>
      </w:r>
      <w:r>
        <w:rPr>
          <w:rFonts w:ascii="Arial" w:hAnsi="Arial" w:cs="Arial"/>
          <w:lang w:val="es-ES_tradnl" w:eastAsia="es-ES"/>
        </w:rPr>
        <w:t xml:space="preserve">, que se considerarán rendidos bajo juramento. </w:t>
      </w:r>
    </w:p>
    <w:p w:rsidR="00507EB3" w:rsidRDefault="00507EB3" w:rsidP="00507EB3">
      <w:pPr>
        <w:jc w:val="both"/>
        <w:rPr>
          <w:rFonts w:ascii="Arial" w:hAnsi="Arial" w:cs="Arial"/>
          <w:color w:val="000000"/>
          <w:lang w:val="es-ES_tradnl" w:eastAsia="es-ES"/>
        </w:rPr>
      </w:pPr>
    </w:p>
    <w:p w:rsidR="008978E8" w:rsidRPr="00832D71" w:rsidRDefault="008978E8" w:rsidP="008978E8">
      <w:pPr>
        <w:jc w:val="both"/>
        <w:rPr>
          <w:rFonts w:ascii="Arial" w:eastAsia="Calibri" w:hAnsi="Arial" w:cs="Arial"/>
          <w:lang w:val="es-ES" w:eastAsia="en-US"/>
        </w:rPr>
      </w:pPr>
      <w:r>
        <w:rPr>
          <w:rFonts w:ascii="Arial" w:hAnsi="Arial" w:cs="Arial"/>
          <w:lang w:val="es-ES" w:eastAsia="en-US"/>
        </w:rPr>
        <w:t xml:space="preserve">En consecuencia, el Despacho </w:t>
      </w:r>
    </w:p>
    <w:p w:rsidR="008978E8" w:rsidRPr="0031117A" w:rsidRDefault="008978E8" w:rsidP="008978E8">
      <w:pPr>
        <w:overflowPunct w:val="0"/>
        <w:autoSpaceDE w:val="0"/>
        <w:autoSpaceDN w:val="0"/>
        <w:adjustRightInd w:val="0"/>
        <w:jc w:val="both"/>
        <w:textAlignment w:val="baseline"/>
        <w:rPr>
          <w:rFonts w:ascii="Arial" w:hAnsi="Arial" w:cs="Arial"/>
          <w:lang w:val="es-ES_tradnl" w:eastAsia="es-ES"/>
        </w:rPr>
      </w:pPr>
    </w:p>
    <w:p w:rsidR="008978E8" w:rsidRPr="0031117A" w:rsidRDefault="008978E8" w:rsidP="008978E8">
      <w:pPr>
        <w:overflowPunct w:val="0"/>
        <w:autoSpaceDE w:val="0"/>
        <w:autoSpaceDN w:val="0"/>
        <w:adjustRightInd w:val="0"/>
        <w:jc w:val="center"/>
        <w:textAlignment w:val="baseline"/>
        <w:rPr>
          <w:rFonts w:ascii="Arial" w:hAnsi="Arial" w:cs="Arial"/>
          <w:b/>
          <w:lang w:val="es-ES_tradnl" w:eastAsia="es-ES"/>
        </w:rPr>
      </w:pPr>
      <w:r w:rsidRPr="0031117A">
        <w:rPr>
          <w:rFonts w:ascii="Arial" w:hAnsi="Arial" w:cs="Arial"/>
          <w:b/>
          <w:lang w:val="es-ES_tradnl" w:eastAsia="es-ES"/>
        </w:rPr>
        <w:t>RESUELVE</w:t>
      </w:r>
    </w:p>
    <w:p w:rsidR="008978E8" w:rsidRPr="0031117A" w:rsidRDefault="008978E8" w:rsidP="008978E8">
      <w:pPr>
        <w:overflowPunct w:val="0"/>
        <w:autoSpaceDE w:val="0"/>
        <w:autoSpaceDN w:val="0"/>
        <w:adjustRightInd w:val="0"/>
        <w:jc w:val="both"/>
        <w:textAlignment w:val="baseline"/>
        <w:rPr>
          <w:rFonts w:ascii="Arial" w:hAnsi="Arial" w:cs="Arial"/>
          <w:highlight w:val="yellow"/>
          <w:lang w:val="es-ES_tradnl" w:eastAsia="es-ES"/>
        </w:rPr>
      </w:pPr>
    </w:p>
    <w:p w:rsidR="00895DB3" w:rsidRDefault="008978E8" w:rsidP="008978E8">
      <w:pPr>
        <w:jc w:val="both"/>
        <w:rPr>
          <w:rFonts w:ascii="Arial" w:eastAsia="Calibri" w:hAnsi="Arial" w:cs="Arial"/>
          <w:lang w:val="es-ES" w:eastAsia="en-US"/>
        </w:rPr>
      </w:pPr>
      <w:r w:rsidRPr="00DF4453">
        <w:rPr>
          <w:rFonts w:ascii="Arial" w:eastAsia="Calibri" w:hAnsi="Arial" w:cs="Arial"/>
          <w:b/>
          <w:lang w:val="es-ES" w:eastAsia="en-US"/>
        </w:rPr>
        <w:t xml:space="preserve">PRIMERO. </w:t>
      </w:r>
      <w:r w:rsidR="00895DB3" w:rsidRPr="00895DB3">
        <w:rPr>
          <w:rFonts w:ascii="Arial" w:eastAsia="Calibri" w:hAnsi="Arial" w:cs="Arial"/>
          <w:b/>
          <w:lang w:val="es-ES" w:eastAsia="en-US"/>
        </w:rPr>
        <w:t xml:space="preserve">NOTIFICAR </w:t>
      </w:r>
      <w:r w:rsidR="002604E7">
        <w:rPr>
          <w:rFonts w:ascii="Arial" w:eastAsia="Calibri" w:hAnsi="Arial" w:cs="Arial"/>
          <w:lang w:val="es-ES" w:eastAsia="en-US"/>
        </w:rPr>
        <w:t xml:space="preserve">el auto admisorio del 15 de marzo de 2023 a los magistrados que integran la Subsección B de la Sección Segunda del Consejo de Estado, </w:t>
      </w:r>
      <w:r w:rsidR="00895DB3">
        <w:rPr>
          <w:rFonts w:ascii="Arial" w:eastAsia="Calibri" w:hAnsi="Arial" w:cs="Arial"/>
          <w:lang w:val="es-ES" w:eastAsia="en-US"/>
        </w:rPr>
        <w:t xml:space="preserve">a cada uno de sus correos electrónicos. </w:t>
      </w:r>
    </w:p>
    <w:p w:rsidR="00895DB3" w:rsidRDefault="00895DB3" w:rsidP="008978E8">
      <w:pPr>
        <w:jc w:val="both"/>
        <w:rPr>
          <w:rFonts w:ascii="Arial" w:eastAsia="Calibri" w:hAnsi="Arial" w:cs="Arial"/>
          <w:lang w:val="es-ES" w:eastAsia="en-US"/>
        </w:rPr>
      </w:pPr>
      <w:r w:rsidRPr="00895DB3">
        <w:rPr>
          <w:rFonts w:ascii="Arial" w:eastAsia="Calibri" w:hAnsi="Arial" w:cs="Arial"/>
          <w:b/>
          <w:lang w:val="es-ES" w:eastAsia="en-US"/>
        </w:rPr>
        <w:t xml:space="preserve">SEGUNDO. </w:t>
      </w:r>
      <w:r w:rsidR="00084455">
        <w:rPr>
          <w:rFonts w:ascii="Arial" w:eastAsia="Calibri" w:hAnsi="Arial" w:cs="Arial"/>
          <w:b/>
          <w:lang w:val="es-ES" w:eastAsia="en-US"/>
        </w:rPr>
        <w:t>NOTIFICAR</w:t>
      </w:r>
      <w:r w:rsidR="00AB7251">
        <w:rPr>
          <w:rFonts w:ascii="Arial" w:eastAsia="Calibri" w:hAnsi="Arial" w:cs="Arial"/>
          <w:b/>
          <w:lang w:val="es-ES" w:eastAsia="en-US"/>
        </w:rPr>
        <w:t xml:space="preserve"> </w:t>
      </w:r>
      <w:r w:rsidR="00AB7251" w:rsidRPr="00AB7251">
        <w:rPr>
          <w:rFonts w:ascii="Arial" w:eastAsia="Calibri" w:hAnsi="Arial" w:cs="Arial"/>
          <w:lang w:val="es-ES" w:eastAsia="en-US"/>
        </w:rPr>
        <w:t xml:space="preserve">el auto admisorio del 15 de marzo de 2023 </w:t>
      </w:r>
      <w:r w:rsidR="00AB7251">
        <w:rPr>
          <w:rFonts w:ascii="Arial" w:eastAsia="Calibri" w:hAnsi="Arial" w:cs="Arial"/>
          <w:lang w:val="es-ES" w:eastAsia="en-US"/>
        </w:rPr>
        <w:t xml:space="preserve">al Tribunal Administrativo de Sucre, por conducto del correo electrónico de la Secretaría General </w:t>
      </w:r>
      <w:r w:rsidR="00BC363D">
        <w:rPr>
          <w:rFonts w:ascii="Arial" w:eastAsia="Calibri" w:hAnsi="Arial" w:cs="Arial"/>
          <w:lang w:val="es-ES" w:eastAsia="en-US"/>
        </w:rPr>
        <w:t xml:space="preserve">de dicha Corporación. </w:t>
      </w:r>
    </w:p>
    <w:p w:rsidR="00BC363D" w:rsidRPr="00BC363D" w:rsidRDefault="00BC363D" w:rsidP="008978E8">
      <w:pPr>
        <w:jc w:val="both"/>
        <w:rPr>
          <w:rFonts w:ascii="Arial" w:eastAsia="Calibri" w:hAnsi="Arial" w:cs="Arial"/>
          <w:b/>
          <w:lang w:val="es-ES" w:eastAsia="en-US"/>
        </w:rPr>
      </w:pPr>
    </w:p>
    <w:p w:rsidR="00AB7251" w:rsidRDefault="00BC363D" w:rsidP="008978E8">
      <w:pPr>
        <w:jc w:val="both"/>
        <w:rPr>
          <w:rFonts w:ascii="Arial" w:eastAsia="Calibri" w:hAnsi="Arial" w:cs="Arial"/>
          <w:lang w:val="es-ES" w:eastAsia="en-US"/>
        </w:rPr>
      </w:pPr>
      <w:r w:rsidRPr="00BC363D">
        <w:rPr>
          <w:rFonts w:ascii="Arial" w:eastAsia="Calibri" w:hAnsi="Arial" w:cs="Arial"/>
          <w:b/>
          <w:lang w:val="es-ES" w:eastAsia="en-US"/>
        </w:rPr>
        <w:t xml:space="preserve">TERCERO. </w:t>
      </w:r>
      <w:r w:rsidR="00D26576">
        <w:rPr>
          <w:rFonts w:ascii="Arial" w:eastAsia="Calibri" w:hAnsi="Arial" w:cs="Arial"/>
          <w:b/>
          <w:lang w:val="es-ES" w:eastAsia="en-US"/>
        </w:rPr>
        <w:t xml:space="preserve">NOTIFICAR </w:t>
      </w:r>
      <w:r w:rsidR="00356B78">
        <w:rPr>
          <w:rFonts w:ascii="Arial" w:eastAsia="Calibri" w:hAnsi="Arial" w:cs="Arial"/>
          <w:lang w:val="es-ES" w:eastAsia="en-US"/>
        </w:rPr>
        <w:t xml:space="preserve">el auto admisorio del 15 de marzo de 2023 a la Registraduría Nacional del Estado Civil, a la dirección de correo electrónico que tenga registrada. </w:t>
      </w:r>
    </w:p>
    <w:p w:rsidR="00A51C7B" w:rsidRDefault="00A51C7B" w:rsidP="008978E8">
      <w:pPr>
        <w:jc w:val="both"/>
        <w:rPr>
          <w:rFonts w:ascii="Arial" w:eastAsia="Calibri" w:hAnsi="Arial" w:cs="Arial"/>
          <w:b/>
          <w:lang w:val="es-ES" w:eastAsia="en-US"/>
        </w:rPr>
      </w:pPr>
    </w:p>
    <w:p w:rsidR="00A51C7B" w:rsidRDefault="00FB3CE7" w:rsidP="008978E8">
      <w:pPr>
        <w:jc w:val="both"/>
        <w:rPr>
          <w:rFonts w:ascii="Arial" w:eastAsia="Calibri" w:hAnsi="Arial" w:cs="Arial"/>
          <w:lang w:val="es-ES" w:eastAsia="en-US"/>
        </w:rPr>
      </w:pPr>
      <w:r w:rsidRPr="00FB3CE7">
        <w:rPr>
          <w:rFonts w:ascii="Arial" w:eastAsia="Calibri" w:hAnsi="Arial" w:cs="Arial"/>
          <w:b/>
          <w:lang w:val="es-ES" w:eastAsia="en-US"/>
        </w:rPr>
        <w:t>CUARTO. NOTIFICAR</w:t>
      </w:r>
      <w:r w:rsidR="0008718C">
        <w:rPr>
          <w:rFonts w:ascii="Arial" w:eastAsia="Calibri" w:hAnsi="Arial" w:cs="Arial"/>
          <w:b/>
          <w:lang w:val="es-ES" w:eastAsia="en-US"/>
        </w:rPr>
        <w:t xml:space="preserve"> </w:t>
      </w:r>
      <w:r w:rsidR="00356B78">
        <w:rPr>
          <w:rFonts w:ascii="Arial" w:eastAsia="Calibri" w:hAnsi="Arial" w:cs="Arial"/>
          <w:lang w:val="es-ES" w:eastAsia="en-US"/>
        </w:rPr>
        <w:t xml:space="preserve">el auto admisorio del 15 de marzo de 2023 al </w:t>
      </w:r>
      <w:r w:rsidR="0008718C">
        <w:rPr>
          <w:rFonts w:ascii="Arial" w:eastAsia="Verdana" w:hAnsi="Arial" w:cs="Arial"/>
        </w:rPr>
        <w:t>Consejo Nacional Electoral, a los partidos Centro Democrático y Social de la Unidad Nacional, a Omar de Jesús Ochoa García y a Nataly Strusberg Castañeda</w:t>
      </w:r>
      <w:r w:rsidR="00356B78">
        <w:rPr>
          <w:rFonts w:ascii="Arial" w:eastAsia="Verdana" w:hAnsi="Arial" w:cs="Arial"/>
        </w:rPr>
        <w:t xml:space="preserve">, </w:t>
      </w:r>
      <w:r w:rsidR="009C7F49">
        <w:rPr>
          <w:rFonts w:ascii="Arial" w:eastAsia="Verdana" w:hAnsi="Arial" w:cs="Arial"/>
        </w:rPr>
        <w:t xml:space="preserve">a los correos electrónicos identificados en la parte motiva de esta providencia. </w:t>
      </w:r>
    </w:p>
    <w:p w:rsidR="00EC21CE" w:rsidRDefault="00EC21CE" w:rsidP="008978E8">
      <w:pPr>
        <w:jc w:val="both"/>
        <w:rPr>
          <w:rFonts w:ascii="Arial" w:eastAsia="Calibri" w:hAnsi="Arial" w:cs="Arial"/>
          <w:lang w:val="es-ES" w:eastAsia="en-US"/>
        </w:rPr>
      </w:pPr>
    </w:p>
    <w:p w:rsidR="008978E8" w:rsidRPr="00EC21CE" w:rsidRDefault="00EC21CE" w:rsidP="008978E8">
      <w:pPr>
        <w:jc w:val="both"/>
        <w:rPr>
          <w:rFonts w:ascii="Arial" w:hAnsi="Arial" w:cs="Arial"/>
          <w:lang w:val="es-ES" w:eastAsia="en-US"/>
        </w:rPr>
      </w:pPr>
      <w:r w:rsidRPr="00EC21CE">
        <w:rPr>
          <w:rFonts w:ascii="Arial" w:eastAsia="Calibri" w:hAnsi="Arial" w:cs="Arial"/>
          <w:b/>
          <w:lang w:val="es-ES" w:eastAsia="en-US"/>
        </w:rPr>
        <w:t>QUINTO.</w:t>
      </w:r>
      <w:r>
        <w:rPr>
          <w:rFonts w:ascii="Arial" w:eastAsia="Calibri" w:hAnsi="Arial" w:cs="Arial"/>
          <w:lang w:val="es-ES" w:eastAsia="en-US"/>
        </w:rPr>
        <w:t xml:space="preserve"> </w:t>
      </w:r>
      <w:r w:rsidR="008978E8">
        <w:rPr>
          <w:rFonts w:ascii="Arial" w:hAnsi="Arial" w:cs="Arial"/>
          <w:b/>
          <w:bCs/>
          <w:lang w:val="es-ES" w:eastAsia="en-US"/>
        </w:rPr>
        <w:t>COMUNICAR</w:t>
      </w:r>
      <w:r w:rsidR="008978E8">
        <w:rPr>
          <w:rFonts w:ascii="Arial" w:hAnsi="Arial" w:cs="Arial"/>
          <w:lang w:val="es-ES" w:eastAsia="en-US"/>
        </w:rPr>
        <w:t xml:space="preserve"> a </w:t>
      </w:r>
      <w:r>
        <w:rPr>
          <w:rFonts w:ascii="Arial" w:hAnsi="Arial" w:cs="Arial"/>
          <w:lang w:val="es-ES" w:eastAsia="en-US"/>
        </w:rPr>
        <w:t xml:space="preserve">los magistrados que integran la Subsección B de la Sección Segunda del Consejo de Estado, al Tribunal Administrativo de Sucre, al Consejo Nacional Electoral, a la Registraduría Nacional del Estado Civil, a los partidos Centro Democrático y Social de la Unidad Nacional, a Omar de Jesús Ochoa García y a Nataly Strusberg Castañeda que, podrán presentar informes sobre los hechos en que se sustenta la presente acción, en el término de </w:t>
      </w:r>
      <w:r w:rsidR="008978E8" w:rsidRPr="0031117A">
        <w:rPr>
          <w:rFonts w:ascii="Arial" w:hAnsi="Arial" w:cs="Arial"/>
          <w:lang w:val="es-ES_tradnl" w:eastAsia="es-ES"/>
        </w:rPr>
        <w:t>tres (3) días contados a partir del recibo de la</w:t>
      </w:r>
      <w:r>
        <w:rPr>
          <w:rFonts w:ascii="Arial" w:hAnsi="Arial" w:cs="Arial"/>
          <w:lang w:val="es-ES_tradnl" w:eastAsia="es-ES"/>
        </w:rPr>
        <w:t xml:space="preserve"> presente</w:t>
      </w:r>
      <w:r w:rsidR="008978E8" w:rsidRPr="0031117A">
        <w:rPr>
          <w:rFonts w:ascii="Arial" w:hAnsi="Arial" w:cs="Arial"/>
          <w:lang w:val="es-ES_tradnl" w:eastAsia="es-ES"/>
        </w:rPr>
        <w:t xml:space="preserve"> notificación.</w:t>
      </w:r>
      <w:r w:rsidR="008978E8" w:rsidRPr="0031117A">
        <w:rPr>
          <w:rFonts w:ascii="Arial" w:hAnsi="Arial" w:cs="Arial"/>
          <w:color w:val="000000"/>
          <w:lang w:val="es-ES_tradnl" w:eastAsia="es-ES"/>
        </w:rPr>
        <w:t xml:space="preserve"> Estos se considerarán rendidos bajo juramento (artículos 19 y 20 del Decreto 2591 de 1991).</w:t>
      </w:r>
      <w:r>
        <w:rPr>
          <w:rFonts w:ascii="Arial" w:hAnsi="Arial" w:cs="Arial"/>
          <w:color w:val="000000"/>
          <w:lang w:val="es-ES_tradnl" w:eastAsia="es-ES"/>
        </w:rPr>
        <w:t xml:space="preserve"> </w:t>
      </w:r>
    </w:p>
    <w:p w:rsidR="008978E8" w:rsidRDefault="008978E8" w:rsidP="008978E8">
      <w:pPr>
        <w:jc w:val="both"/>
        <w:rPr>
          <w:rFonts w:ascii="Arial" w:hAnsi="Arial" w:cs="Arial"/>
          <w:color w:val="000000"/>
          <w:lang w:val="es-ES_tradnl" w:eastAsia="es-ES"/>
        </w:rPr>
      </w:pPr>
    </w:p>
    <w:p w:rsidR="008978E8" w:rsidRPr="00832D71" w:rsidRDefault="00C521F2" w:rsidP="008978E8">
      <w:pPr>
        <w:jc w:val="both"/>
        <w:rPr>
          <w:rFonts w:ascii="Arial" w:eastAsia="Calibri" w:hAnsi="Arial" w:cs="Arial"/>
          <w:lang w:val="es-ES" w:eastAsia="en-US"/>
        </w:rPr>
      </w:pPr>
      <w:r>
        <w:rPr>
          <w:rFonts w:ascii="Arial" w:hAnsi="Arial" w:cs="Arial"/>
          <w:b/>
          <w:bCs/>
          <w:color w:val="000000"/>
          <w:lang w:val="es-ES_tradnl" w:eastAsia="es-ES"/>
        </w:rPr>
        <w:t>SEXTO</w:t>
      </w:r>
      <w:r w:rsidR="008978E8" w:rsidRPr="00832D71">
        <w:rPr>
          <w:rFonts w:ascii="Arial" w:hAnsi="Arial" w:cs="Arial"/>
          <w:b/>
          <w:bCs/>
          <w:color w:val="000000"/>
          <w:lang w:val="es-ES_tradnl" w:eastAsia="es-ES"/>
        </w:rPr>
        <w:t xml:space="preserve">. </w:t>
      </w:r>
      <w:r w:rsidR="008978E8" w:rsidRPr="0031117A">
        <w:rPr>
          <w:rFonts w:ascii="Arial" w:hAnsi="Arial" w:cs="Arial"/>
          <w:b/>
          <w:bCs/>
          <w:color w:val="000000"/>
          <w:shd w:val="clear" w:color="auto" w:fill="FFFFFF"/>
          <w:lang w:val="es-ES" w:eastAsia="en-US"/>
        </w:rPr>
        <w:t>NOTIFICAR</w:t>
      </w:r>
      <w:r w:rsidR="008978E8" w:rsidRPr="0031117A">
        <w:rPr>
          <w:rFonts w:ascii="Arial" w:hAnsi="Arial" w:cs="Arial"/>
          <w:color w:val="000000"/>
          <w:shd w:val="clear" w:color="auto" w:fill="FFFFFF"/>
          <w:lang w:val="es-ES" w:eastAsia="en-US"/>
        </w:rPr>
        <w:t xml:space="preserve"> el presente </w:t>
      </w:r>
      <w:r w:rsidR="008978E8">
        <w:rPr>
          <w:rFonts w:ascii="Arial" w:hAnsi="Arial" w:cs="Arial"/>
          <w:color w:val="000000"/>
          <w:shd w:val="clear" w:color="auto" w:fill="FFFFFF"/>
          <w:lang w:val="es-ES" w:eastAsia="en-US"/>
        </w:rPr>
        <w:t xml:space="preserve">proveído </w:t>
      </w:r>
      <w:r w:rsidR="008978E8" w:rsidRPr="0031117A">
        <w:rPr>
          <w:rFonts w:ascii="Arial" w:hAnsi="Arial" w:cs="Arial"/>
          <w:color w:val="000000"/>
          <w:shd w:val="clear" w:color="auto" w:fill="FFFFFF"/>
          <w:lang w:val="es-ES" w:eastAsia="en-US"/>
        </w:rPr>
        <w:t xml:space="preserve">a </w:t>
      </w:r>
      <w:r>
        <w:rPr>
          <w:rFonts w:ascii="Arial" w:hAnsi="Arial" w:cs="Arial"/>
          <w:color w:val="000000"/>
          <w:shd w:val="clear" w:color="auto" w:fill="FFFFFF"/>
          <w:lang w:val="es-ES" w:eastAsia="en-US"/>
        </w:rPr>
        <w:t xml:space="preserve">todas </w:t>
      </w:r>
      <w:r w:rsidR="008978E8" w:rsidRPr="0031117A">
        <w:rPr>
          <w:rFonts w:ascii="Arial" w:hAnsi="Arial" w:cs="Arial"/>
          <w:color w:val="000000"/>
          <w:shd w:val="clear" w:color="auto" w:fill="FFFFFF"/>
          <w:lang w:val="es-ES" w:eastAsia="en-US"/>
        </w:rPr>
        <w:t>las partes</w:t>
      </w:r>
      <w:r w:rsidR="008978E8">
        <w:rPr>
          <w:rFonts w:ascii="Arial" w:hAnsi="Arial" w:cs="Arial"/>
          <w:color w:val="000000"/>
          <w:shd w:val="clear" w:color="auto" w:fill="FFFFFF"/>
          <w:lang w:val="es-ES" w:eastAsia="en-US"/>
        </w:rPr>
        <w:t xml:space="preserve"> e interesados</w:t>
      </w:r>
      <w:r w:rsidR="008978E8" w:rsidRPr="0031117A">
        <w:rPr>
          <w:rFonts w:ascii="Arial" w:hAnsi="Arial" w:cs="Arial"/>
          <w:color w:val="000000"/>
          <w:shd w:val="clear" w:color="auto" w:fill="FFFFFF"/>
          <w:lang w:val="es-ES" w:eastAsia="en-US"/>
        </w:rPr>
        <w:t xml:space="preserve"> de la forma más expedita posible. </w:t>
      </w:r>
    </w:p>
    <w:p w:rsidR="008978E8" w:rsidRPr="00EC0C10" w:rsidRDefault="008978E8" w:rsidP="008978E8">
      <w:pPr>
        <w:jc w:val="both"/>
        <w:rPr>
          <w:rFonts w:ascii="Arial" w:eastAsia="Calibri" w:hAnsi="Arial" w:cs="Arial"/>
          <w:lang w:val="es-ES"/>
        </w:rPr>
      </w:pPr>
    </w:p>
    <w:p w:rsidR="008978E8" w:rsidRPr="00832D71" w:rsidRDefault="008C4363" w:rsidP="008978E8">
      <w:pPr>
        <w:ind w:right="51"/>
        <w:jc w:val="both"/>
        <w:rPr>
          <w:rFonts w:ascii="Arial" w:eastAsia="Calibri" w:hAnsi="Arial" w:cs="Arial"/>
          <w:bCs/>
          <w:lang w:val="es-ES"/>
        </w:rPr>
      </w:pPr>
      <w:r>
        <w:rPr>
          <w:rFonts w:ascii="Arial" w:eastAsia="Calibri" w:hAnsi="Arial" w:cs="Arial"/>
          <w:b/>
          <w:lang w:val="es-ES"/>
        </w:rPr>
        <w:t>SÉPTIMO</w:t>
      </w:r>
      <w:r w:rsidR="008978E8">
        <w:rPr>
          <w:rFonts w:ascii="Arial" w:eastAsia="Calibri" w:hAnsi="Arial" w:cs="Arial"/>
          <w:b/>
          <w:lang w:val="es-ES"/>
        </w:rPr>
        <w:t xml:space="preserve">. SUSPENDER </w:t>
      </w:r>
      <w:r w:rsidR="008978E8">
        <w:rPr>
          <w:rFonts w:ascii="Arial" w:eastAsia="Calibri" w:hAnsi="Arial" w:cs="Arial"/>
          <w:bCs/>
          <w:lang w:val="es-ES"/>
        </w:rPr>
        <w:t xml:space="preserve">los términos de la presente </w:t>
      </w:r>
      <w:r w:rsidR="008978E8" w:rsidRPr="0031117A">
        <w:rPr>
          <w:rFonts w:ascii="Arial" w:eastAsia="Calibri" w:hAnsi="Arial" w:cs="Arial"/>
          <w:lang w:val="es-ES"/>
        </w:rPr>
        <w:t>acción constitucional hasta tanto se dé cumplimiento a las órdenes impartidas en esta providencia</w:t>
      </w:r>
      <w:r w:rsidR="008978E8">
        <w:rPr>
          <w:rFonts w:ascii="Arial" w:eastAsia="Calibri" w:hAnsi="Arial" w:cs="Arial"/>
          <w:lang w:val="es-ES"/>
        </w:rPr>
        <w:t xml:space="preserve">, </w:t>
      </w:r>
      <w:r w:rsidR="008978E8" w:rsidRPr="0031117A">
        <w:rPr>
          <w:rFonts w:ascii="Arial" w:eastAsia="Calibri" w:hAnsi="Arial" w:cs="Arial"/>
          <w:lang w:val="es-ES"/>
        </w:rPr>
        <w:t>y el expediente regrese al Despacho desde la Secretaría General.</w:t>
      </w:r>
      <w:r w:rsidR="008978E8">
        <w:rPr>
          <w:rFonts w:ascii="Arial" w:eastAsia="Calibri" w:hAnsi="Arial" w:cs="Arial"/>
          <w:lang w:val="es-ES"/>
        </w:rPr>
        <w:t xml:space="preserve"> </w:t>
      </w:r>
    </w:p>
    <w:p w:rsidR="008978E8" w:rsidRPr="0031117A" w:rsidRDefault="008978E8" w:rsidP="008978E8">
      <w:pPr>
        <w:overflowPunct w:val="0"/>
        <w:autoSpaceDE w:val="0"/>
        <w:autoSpaceDN w:val="0"/>
        <w:adjustRightInd w:val="0"/>
        <w:jc w:val="both"/>
        <w:textAlignment w:val="baseline"/>
        <w:rPr>
          <w:rFonts w:ascii="Arial" w:eastAsia="Calibri" w:hAnsi="Arial" w:cs="Arial"/>
          <w:b/>
        </w:rPr>
      </w:pPr>
    </w:p>
    <w:p w:rsidR="008978E8" w:rsidRPr="0031117A" w:rsidRDefault="008978E8" w:rsidP="008978E8">
      <w:pPr>
        <w:overflowPunct w:val="0"/>
        <w:autoSpaceDE w:val="0"/>
        <w:autoSpaceDN w:val="0"/>
        <w:adjustRightInd w:val="0"/>
        <w:jc w:val="both"/>
        <w:textAlignment w:val="baseline"/>
        <w:rPr>
          <w:rFonts w:ascii="Arial" w:hAnsi="Arial" w:cs="Arial"/>
          <w:lang w:val="es-ES_tradnl" w:eastAsia="es-ES"/>
        </w:rPr>
      </w:pPr>
      <w:r w:rsidRPr="0031117A">
        <w:rPr>
          <w:rFonts w:ascii="Arial" w:hAnsi="Arial" w:cs="Arial"/>
          <w:b/>
          <w:lang w:val="es-ES_tradnl" w:eastAsia="es-ES"/>
        </w:rPr>
        <w:t xml:space="preserve">Notifíquese y </w:t>
      </w:r>
      <w:r>
        <w:rPr>
          <w:rFonts w:ascii="Arial" w:hAnsi="Arial" w:cs="Arial"/>
          <w:b/>
          <w:lang w:val="es-ES_tradnl" w:eastAsia="es-ES"/>
        </w:rPr>
        <w:t>C</w:t>
      </w:r>
      <w:r w:rsidRPr="0031117A">
        <w:rPr>
          <w:rFonts w:ascii="Arial" w:hAnsi="Arial" w:cs="Arial"/>
          <w:b/>
          <w:lang w:val="es-ES_tradnl" w:eastAsia="es-ES"/>
        </w:rPr>
        <w:t>úmplase</w:t>
      </w:r>
      <w:r w:rsidRPr="0031117A">
        <w:rPr>
          <w:rFonts w:ascii="Arial" w:hAnsi="Arial" w:cs="Arial"/>
          <w:lang w:val="es-ES_tradnl" w:eastAsia="es-ES"/>
        </w:rPr>
        <w:t>,</w:t>
      </w:r>
    </w:p>
    <w:p w:rsidR="008978E8" w:rsidRDefault="008978E8" w:rsidP="008978E8">
      <w:pPr>
        <w:overflowPunct w:val="0"/>
        <w:autoSpaceDE w:val="0"/>
        <w:autoSpaceDN w:val="0"/>
        <w:adjustRightInd w:val="0"/>
        <w:jc w:val="both"/>
        <w:textAlignment w:val="baseline"/>
        <w:rPr>
          <w:rFonts w:ascii="Arial" w:hAnsi="Arial" w:cs="Arial"/>
          <w:lang w:val="es-ES_tradnl" w:eastAsia="es-ES"/>
        </w:rPr>
      </w:pPr>
    </w:p>
    <w:p w:rsidR="008978E8" w:rsidRPr="0031117A" w:rsidRDefault="008978E8" w:rsidP="008978E8">
      <w:pPr>
        <w:overflowPunct w:val="0"/>
        <w:autoSpaceDE w:val="0"/>
        <w:autoSpaceDN w:val="0"/>
        <w:adjustRightInd w:val="0"/>
        <w:jc w:val="both"/>
        <w:textAlignment w:val="baseline"/>
        <w:rPr>
          <w:rFonts w:ascii="Arial" w:hAnsi="Arial" w:cs="Arial"/>
          <w:lang w:val="es-ES_tradnl" w:eastAsia="es-ES"/>
        </w:rPr>
      </w:pPr>
    </w:p>
    <w:p w:rsidR="008978E8" w:rsidRPr="0031117A" w:rsidRDefault="008978E8" w:rsidP="008978E8">
      <w:pPr>
        <w:overflowPunct w:val="0"/>
        <w:autoSpaceDE w:val="0"/>
        <w:autoSpaceDN w:val="0"/>
        <w:adjustRightInd w:val="0"/>
        <w:jc w:val="both"/>
        <w:textAlignment w:val="baseline"/>
        <w:rPr>
          <w:rFonts w:ascii="Arial" w:hAnsi="Arial" w:cs="Arial"/>
          <w:lang w:val="es-ES_tradnl" w:eastAsia="es-ES"/>
        </w:rPr>
      </w:pPr>
    </w:p>
    <w:p w:rsidR="008978E8" w:rsidRPr="0031117A" w:rsidRDefault="008978E8" w:rsidP="008978E8">
      <w:pPr>
        <w:overflowPunct w:val="0"/>
        <w:autoSpaceDE w:val="0"/>
        <w:autoSpaceDN w:val="0"/>
        <w:adjustRightInd w:val="0"/>
        <w:jc w:val="center"/>
        <w:textAlignment w:val="baseline"/>
        <w:rPr>
          <w:rFonts w:ascii="Arial" w:hAnsi="Arial" w:cs="Arial"/>
          <w:b/>
          <w:lang w:val="es-ES_tradnl" w:eastAsia="es-ES"/>
        </w:rPr>
      </w:pPr>
      <w:r w:rsidRPr="0031117A">
        <w:rPr>
          <w:rFonts w:ascii="Arial" w:hAnsi="Arial" w:cs="Arial"/>
          <w:b/>
          <w:lang w:val="es-ES_tradnl" w:eastAsia="es-ES"/>
        </w:rPr>
        <w:t>JAIME ENRIQUE RODRÍGUEZ NAVAS</w:t>
      </w:r>
    </w:p>
    <w:p w:rsidR="008978E8" w:rsidRDefault="008978E8" w:rsidP="008978E8">
      <w:pPr>
        <w:overflowPunct w:val="0"/>
        <w:autoSpaceDE w:val="0"/>
        <w:autoSpaceDN w:val="0"/>
        <w:adjustRightInd w:val="0"/>
        <w:jc w:val="center"/>
        <w:textAlignment w:val="baseline"/>
        <w:rPr>
          <w:rFonts w:ascii="Arial" w:hAnsi="Arial" w:cs="Arial"/>
          <w:b/>
          <w:lang w:val="es-ES_tradnl" w:eastAsia="es-ES"/>
        </w:rPr>
      </w:pPr>
      <w:r w:rsidRPr="0031117A">
        <w:rPr>
          <w:rFonts w:ascii="Arial" w:hAnsi="Arial" w:cs="Arial"/>
          <w:b/>
          <w:lang w:val="es-ES_tradnl" w:eastAsia="es-ES"/>
        </w:rPr>
        <w:t>Magistrado</w:t>
      </w:r>
    </w:p>
    <w:p w:rsidR="00E15266" w:rsidRDefault="00E15266" w:rsidP="008978E8">
      <w:pPr>
        <w:overflowPunct w:val="0"/>
        <w:autoSpaceDE w:val="0"/>
        <w:autoSpaceDN w:val="0"/>
        <w:adjustRightInd w:val="0"/>
        <w:jc w:val="center"/>
        <w:textAlignment w:val="baseline"/>
        <w:rPr>
          <w:rFonts w:ascii="Arial" w:hAnsi="Arial" w:cs="Arial"/>
          <w:lang w:val="es-ES_tradnl" w:eastAsia="es-ES"/>
        </w:rPr>
      </w:pPr>
    </w:p>
    <w:p w:rsidR="00E15266" w:rsidRPr="00E15266" w:rsidRDefault="00E15266" w:rsidP="00E15266">
      <w:pPr>
        <w:overflowPunct w:val="0"/>
        <w:autoSpaceDE w:val="0"/>
        <w:autoSpaceDN w:val="0"/>
        <w:adjustRightInd w:val="0"/>
        <w:jc w:val="both"/>
        <w:textAlignment w:val="baseline"/>
        <w:rPr>
          <w:rFonts w:ascii="Arial" w:hAnsi="Arial" w:cs="Arial"/>
          <w:sz w:val="16"/>
          <w:szCs w:val="16"/>
          <w:lang w:val="es-ES_tradnl" w:eastAsia="es-ES"/>
        </w:rPr>
      </w:pPr>
      <w:r w:rsidRPr="00E15266">
        <w:rPr>
          <w:rFonts w:ascii="Arial" w:hAnsi="Arial" w:cs="Arial"/>
          <w:sz w:val="16"/>
          <w:szCs w:val="16"/>
          <w:lang w:val="es-ES_tradnl" w:eastAsia="es-ES"/>
        </w:rPr>
        <w:t>VMP</w:t>
      </w:r>
    </w:p>
    <w:p w:rsidR="008978E8" w:rsidRPr="00753BFF" w:rsidRDefault="008978E8" w:rsidP="008978E8">
      <w:pPr>
        <w:overflowPunct w:val="0"/>
        <w:autoSpaceDE w:val="0"/>
        <w:autoSpaceDN w:val="0"/>
        <w:adjustRightInd w:val="0"/>
        <w:ind w:right="51"/>
        <w:contextualSpacing/>
        <w:jc w:val="both"/>
        <w:textAlignment w:val="baseline"/>
        <w:rPr>
          <w:rFonts w:ascii="Arial" w:hAnsi="Arial" w:cs="Arial"/>
          <w:bCs/>
          <w:sz w:val="16"/>
          <w:szCs w:val="16"/>
          <w:lang w:val="es-ES" w:eastAsia="es-ES"/>
        </w:rPr>
      </w:pPr>
    </w:p>
    <w:p w:rsidR="008978E8" w:rsidRDefault="008978E8" w:rsidP="008978E8"/>
    <w:p w:rsidR="008978E8" w:rsidRDefault="008978E8" w:rsidP="008978E8"/>
    <w:p w:rsidR="00F434A2" w:rsidRDefault="00F434A2">
      <w:bookmarkStart w:id="0" w:name="_GoBack"/>
      <w:bookmarkEnd w:id="0"/>
    </w:p>
    <w:sectPr w:rsidR="00F434A2" w:rsidSect="00753BFF">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CEC" w:rsidRDefault="00263CEC" w:rsidP="008978E8">
      <w:r>
        <w:separator/>
      </w:r>
    </w:p>
  </w:endnote>
  <w:endnote w:type="continuationSeparator" w:id="0">
    <w:p w:rsidR="00263CEC" w:rsidRDefault="00263CEC" w:rsidP="0089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CEC" w:rsidRDefault="00263CEC" w:rsidP="008978E8">
      <w:r>
        <w:separator/>
      </w:r>
    </w:p>
  </w:footnote>
  <w:footnote w:type="continuationSeparator" w:id="0">
    <w:p w:rsidR="00263CEC" w:rsidRDefault="00263CEC" w:rsidP="008978E8">
      <w:r>
        <w:continuationSeparator/>
      </w:r>
    </w:p>
  </w:footnote>
  <w:footnote w:id="1">
    <w:p w:rsidR="00D06068" w:rsidRPr="00C84B5D" w:rsidRDefault="00D06068" w:rsidP="00C84B5D">
      <w:pPr>
        <w:pStyle w:val="Textonotapie"/>
        <w:spacing w:line="240" w:lineRule="auto"/>
        <w:contextualSpacing/>
        <w:jc w:val="both"/>
        <w:rPr>
          <w:rFonts w:ascii="Arial" w:hAnsi="Arial" w:cs="Arial"/>
          <w:lang w:val="es-MX"/>
        </w:rPr>
      </w:pPr>
      <w:r w:rsidRPr="00C84B5D">
        <w:rPr>
          <w:rStyle w:val="Refdenotaalpie"/>
          <w:rFonts w:ascii="Arial" w:hAnsi="Arial" w:cs="Arial"/>
        </w:rPr>
        <w:footnoteRef/>
      </w:r>
      <w:r w:rsidRPr="00C84B5D">
        <w:rPr>
          <w:rFonts w:ascii="Arial" w:hAnsi="Arial" w:cs="Arial"/>
        </w:rPr>
        <w:t xml:space="preserve"> </w:t>
      </w:r>
      <w:r w:rsidRPr="00C84B5D">
        <w:rPr>
          <w:rFonts w:ascii="Arial" w:hAnsi="Arial" w:cs="Arial"/>
          <w:lang w:val="es-MX"/>
        </w:rPr>
        <w:t xml:space="preserve">Documento contenido en el expediente digital de tutela con certificado </w:t>
      </w:r>
      <w:r w:rsidRPr="00C84B5D">
        <w:rPr>
          <w:rFonts w:ascii="Arial" w:hAnsi="Arial" w:cs="Arial"/>
          <w:shd w:val="clear" w:color="auto" w:fill="FFFFFF"/>
        </w:rPr>
        <w:t xml:space="preserve">9F544AC0886A06AD E915D4F0C923DF73 A6B6CDC4FEC27AF9 69E416E423F19A3D, ubicado en el índice 2. </w:t>
      </w:r>
    </w:p>
  </w:footnote>
  <w:footnote w:id="2">
    <w:p w:rsidR="00D06068" w:rsidRPr="002A593F" w:rsidRDefault="00D06068" w:rsidP="00C84B5D">
      <w:pPr>
        <w:pStyle w:val="Textonotapie"/>
        <w:spacing w:line="240" w:lineRule="auto"/>
        <w:contextualSpacing/>
        <w:jc w:val="both"/>
        <w:rPr>
          <w:lang w:val="es-MX"/>
        </w:rPr>
      </w:pPr>
      <w:r w:rsidRPr="00C84B5D">
        <w:rPr>
          <w:rStyle w:val="Refdenotaalpie"/>
          <w:rFonts w:ascii="Arial" w:hAnsi="Arial" w:cs="Arial"/>
        </w:rPr>
        <w:footnoteRef/>
      </w:r>
      <w:r w:rsidRPr="00C84B5D">
        <w:rPr>
          <w:rFonts w:ascii="Arial" w:hAnsi="Arial" w:cs="Arial"/>
        </w:rPr>
        <w:t xml:space="preserve"> </w:t>
      </w:r>
      <w:r w:rsidRPr="00C84B5D">
        <w:rPr>
          <w:rFonts w:ascii="Arial" w:hAnsi="Arial" w:cs="Arial"/>
          <w:lang w:val="es-MX"/>
        </w:rPr>
        <w:t xml:space="preserve">De los procesos radicados a los números </w:t>
      </w:r>
      <w:r w:rsidRPr="00C84B5D">
        <w:rPr>
          <w:rFonts w:ascii="Arial" w:hAnsi="Arial" w:cs="Arial"/>
        </w:rPr>
        <w:t>70001-23-33-000-2020-00001-00 y 70001-23- 33-000-2020-00003-00.</w:t>
      </w:r>
      <w:r w:rsidRPr="002A593F">
        <w:t xml:space="preserve"> </w:t>
      </w:r>
    </w:p>
  </w:footnote>
  <w:footnote w:id="3">
    <w:p w:rsidR="00656678" w:rsidRPr="00714028" w:rsidRDefault="00656678" w:rsidP="00714028">
      <w:pPr>
        <w:pStyle w:val="Textonotapie"/>
        <w:spacing w:after="0" w:line="240" w:lineRule="auto"/>
        <w:jc w:val="both"/>
        <w:rPr>
          <w:rFonts w:ascii="Arial" w:hAnsi="Arial" w:cs="Arial"/>
          <w:lang w:val="es-MX"/>
        </w:rPr>
      </w:pPr>
      <w:r w:rsidRPr="00714028">
        <w:rPr>
          <w:rStyle w:val="Refdenotaalpie"/>
          <w:rFonts w:ascii="Arial" w:hAnsi="Arial" w:cs="Arial"/>
        </w:rPr>
        <w:footnoteRef/>
      </w:r>
      <w:r w:rsidRPr="00714028">
        <w:rPr>
          <w:rFonts w:ascii="Arial" w:hAnsi="Arial" w:cs="Arial"/>
        </w:rPr>
        <w:t xml:space="preserve"> </w:t>
      </w:r>
      <w:r w:rsidRPr="00714028">
        <w:rPr>
          <w:rFonts w:ascii="Arial" w:hAnsi="Arial" w:cs="Arial"/>
          <w:lang w:val="es-MX"/>
        </w:rPr>
        <w:t xml:space="preserve">Documento contenido en el expediente digital de tutela con certificado </w:t>
      </w:r>
      <w:r w:rsidRPr="00714028">
        <w:rPr>
          <w:rFonts w:ascii="Arial" w:hAnsi="Arial" w:cs="Arial"/>
          <w:shd w:val="clear" w:color="auto" w:fill="FFFFFF"/>
        </w:rPr>
        <w:t xml:space="preserve">1FF2C1D099842C55 47E07E1EC4055F98 84EDF5F77BD27A52 5478A5706BD33642, ubicado en el índice 4. </w:t>
      </w:r>
    </w:p>
  </w:footnote>
  <w:footnote w:id="4">
    <w:p w:rsidR="001F276C" w:rsidRPr="00714028" w:rsidRDefault="001F276C" w:rsidP="00714028">
      <w:pPr>
        <w:pStyle w:val="Textonotapie"/>
        <w:spacing w:after="0" w:line="240" w:lineRule="auto"/>
        <w:jc w:val="both"/>
        <w:rPr>
          <w:rFonts w:ascii="Arial" w:hAnsi="Arial" w:cs="Arial"/>
          <w:lang w:val="es-MX"/>
        </w:rPr>
      </w:pPr>
      <w:r w:rsidRPr="00714028">
        <w:rPr>
          <w:rStyle w:val="Refdenotaalpie"/>
          <w:rFonts w:ascii="Arial" w:hAnsi="Arial" w:cs="Arial"/>
        </w:rPr>
        <w:footnoteRef/>
      </w:r>
      <w:r w:rsidRPr="00714028">
        <w:rPr>
          <w:rFonts w:ascii="Arial" w:hAnsi="Arial" w:cs="Arial"/>
        </w:rPr>
        <w:t xml:space="preserve"> </w:t>
      </w:r>
      <w:r w:rsidRPr="00714028">
        <w:rPr>
          <w:rFonts w:ascii="Arial" w:hAnsi="Arial" w:cs="Arial"/>
          <w:lang w:val="es-MX"/>
        </w:rPr>
        <w:t xml:space="preserve">Documento contenido en el expediente digital de tutela con certificado </w:t>
      </w:r>
      <w:r w:rsidRPr="00714028">
        <w:rPr>
          <w:rFonts w:ascii="Arial" w:hAnsi="Arial" w:cs="Arial"/>
          <w:shd w:val="clear" w:color="auto" w:fill="FFFFFF"/>
        </w:rPr>
        <w:t xml:space="preserve">99C61CBF0D0F71B7 C9B50CC3BE917F85 3D6D38D17F4506F6 4AE96996A150E541, ubicado en el índice 7. </w:t>
      </w:r>
    </w:p>
  </w:footnote>
  <w:footnote w:id="5">
    <w:p w:rsidR="00235A15" w:rsidRPr="00714028" w:rsidRDefault="00235A15" w:rsidP="00235A15">
      <w:pPr>
        <w:pStyle w:val="Textonotapie"/>
        <w:spacing w:line="240" w:lineRule="auto"/>
        <w:jc w:val="both"/>
        <w:rPr>
          <w:lang w:val="es-MX"/>
        </w:rPr>
      </w:pPr>
      <w:r w:rsidRPr="00714028">
        <w:rPr>
          <w:rStyle w:val="Refdenotaalpie"/>
          <w:rFonts w:ascii="Arial" w:hAnsi="Arial" w:cs="Arial"/>
        </w:rPr>
        <w:footnoteRef/>
      </w:r>
      <w:r w:rsidRPr="00714028">
        <w:rPr>
          <w:rFonts w:ascii="Arial" w:hAnsi="Arial" w:cs="Arial"/>
        </w:rPr>
        <w:t xml:space="preserve"> </w:t>
      </w:r>
      <w:r w:rsidRPr="00714028">
        <w:rPr>
          <w:rFonts w:ascii="Arial" w:hAnsi="Arial" w:cs="Arial"/>
          <w:lang w:val="es-MX"/>
        </w:rPr>
        <w:t xml:space="preserve">Documento contenido en el expediente digital de tutela con certificado </w:t>
      </w:r>
      <w:r w:rsidRPr="00714028">
        <w:rPr>
          <w:rFonts w:ascii="Arial" w:hAnsi="Arial" w:cs="Arial"/>
          <w:shd w:val="clear" w:color="auto" w:fill="FFFFFF"/>
        </w:rPr>
        <w:t>471BD83240D54074 4E18502290039F9D DEA58E2E33C5868B B36E9E29DE3848B5, ubicado en el índice 9.</w:t>
      </w:r>
      <w:r w:rsidRPr="00714028">
        <w:rPr>
          <w:rFonts w:ascii="Segoe UI" w:hAnsi="Segoe UI" w:cs="Segoe UI"/>
          <w:shd w:val="clear" w:color="auto" w:fill="FFFFFF"/>
        </w:rPr>
        <w:t xml:space="preserve"> </w:t>
      </w:r>
    </w:p>
  </w:footnote>
  <w:footnote w:id="6">
    <w:p w:rsidR="0057678C" w:rsidRPr="002A05EB" w:rsidRDefault="0057678C" w:rsidP="002A05EB">
      <w:pPr>
        <w:pStyle w:val="Textonotapie"/>
        <w:spacing w:after="0" w:line="240" w:lineRule="auto"/>
        <w:contextualSpacing/>
        <w:jc w:val="both"/>
        <w:rPr>
          <w:rFonts w:ascii="Arial" w:hAnsi="Arial" w:cs="Arial"/>
        </w:rPr>
      </w:pPr>
      <w:r w:rsidRPr="002A05EB">
        <w:rPr>
          <w:rStyle w:val="Refdenotaalpie"/>
          <w:rFonts w:ascii="Arial" w:hAnsi="Arial" w:cs="Arial"/>
        </w:rPr>
        <w:footnoteRef/>
      </w:r>
      <w:r w:rsidRPr="002A05EB">
        <w:rPr>
          <w:rFonts w:ascii="Arial" w:hAnsi="Arial" w:cs="Arial"/>
        </w:rPr>
        <w:t xml:space="preserve"> Corte Constitucional, Auto 402 del 2015.</w:t>
      </w:r>
    </w:p>
  </w:footnote>
  <w:footnote w:id="7">
    <w:p w:rsidR="0060319F" w:rsidRPr="002A05EB" w:rsidRDefault="0060319F" w:rsidP="002A05EB">
      <w:pPr>
        <w:pStyle w:val="Textonotapie"/>
        <w:spacing w:after="0" w:line="240" w:lineRule="auto"/>
        <w:contextualSpacing/>
        <w:jc w:val="both"/>
        <w:rPr>
          <w:rFonts w:ascii="Arial" w:hAnsi="Arial" w:cs="Arial"/>
        </w:rPr>
      </w:pPr>
      <w:r w:rsidRPr="002A05EB">
        <w:rPr>
          <w:rStyle w:val="Refdenotaalpie"/>
          <w:rFonts w:ascii="Arial" w:hAnsi="Arial" w:cs="Arial"/>
        </w:rPr>
        <w:footnoteRef/>
      </w:r>
      <w:r w:rsidRPr="002A05EB">
        <w:rPr>
          <w:rFonts w:ascii="Arial" w:hAnsi="Arial" w:cs="Arial"/>
        </w:rPr>
        <w:t xml:space="preserve"> Sentencia T-661 de 2014 “</w:t>
      </w:r>
      <w:r w:rsidRPr="002A05EB">
        <w:rPr>
          <w:rFonts w:ascii="Arial" w:hAnsi="Arial" w:cs="Arial"/>
          <w:shd w:val="clear" w:color="auto" w:fill="FFFFFF"/>
        </w:rPr>
        <w:t>Los jueces tienen la obligación de notificar sus decisiones jurisdiccionales tanto a las partes del proceso como a los terceros con interés. “</w:t>
      </w:r>
      <w:r w:rsidRPr="002A05EB">
        <w:rPr>
          <w:rFonts w:ascii="Arial" w:hAnsi="Arial" w:cs="Arial"/>
          <w:iCs/>
          <w:shd w:val="clear" w:color="auto" w:fill="FFFFFF"/>
        </w:rPr>
        <w:t>En distintas oportunidades, este tribunal ha hecho énfasis en la necesidad de notificar a todas las personas directamente interesadas, partes y terceros con interés, tanto la iniciación del trámite que se origina con la instauración de la acción de tutela, como la decisión que por esa causa deba adoptarse, pues ello se constituye en una garantía del derecho al debido proceso, el cual, por expresa disposición constitucional, aplica a todo tipo de actuaciones judiciales o administrativas (C.P. art. 29)”</w:t>
      </w:r>
      <w:r w:rsidRPr="002A05EB">
        <w:rPr>
          <w:rFonts w:ascii="Arial" w:hAnsi="Arial" w:cs="Arial"/>
          <w:shd w:val="clear" w:color="auto" w:fill="FFFFFF"/>
        </w:rPr>
        <w:t>. Es importante resaltar que el carácter sumario e informal de la acción de tutela no releva al juez de la obligación de notificar las decisiones que adopta en un proceso judicial, toda vez que ese deber tiene la finalidad de garantizar principios constitucionales”.</w:t>
      </w:r>
    </w:p>
  </w:footnote>
  <w:footnote w:id="8">
    <w:p w:rsidR="0075312D" w:rsidRPr="002A05EB" w:rsidRDefault="0075312D" w:rsidP="002A05EB">
      <w:pPr>
        <w:pStyle w:val="NormalWeb"/>
        <w:shd w:val="clear" w:color="auto" w:fill="FFFFFF"/>
        <w:contextualSpacing/>
        <w:jc w:val="both"/>
        <w:rPr>
          <w:rFonts w:ascii="Arial" w:hAnsi="Arial" w:cs="Arial"/>
          <w:sz w:val="20"/>
          <w:szCs w:val="20"/>
        </w:rPr>
      </w:pPr>
      <w:r w:rsidRPr="002A05EB">
        <w:rPr>
          <w:rStyle w:val="Refdenotaalpie"/>
          <w:rFonts w:ascii="Arial" w:hAnsi="Arial" w:cs="Arial"/>
          <w:sz w:val="20"/>
          <w:szCs w:val="20"/>
        </w:rPr>
        <w:footnoteRef/>
      </w:r>
      <w:r w:rsidRPr="002A05EB">
        <w:rPr>
          <w:rFonts w:ascii="Arial" w:hAnsi="Arial" w:cs="Arial"/>
          <w:sz w:val="20"/>
          <w:szCs w:val="20"/>
        </w:rPr>
        <w:t xml:space="preserve"> </w:t>
      </w:r>
      <w:r w:rsidRPr="002A05EB">
        <w:rPr>
          <w:rFonts w:ascii="Arial" w:hAnsi="Arial" w:cs="Arial"/>
          <w:bCs/>
          <w:sz w:val="20"/>
          <w:szCs w:val="20"/>
        </w:rPr>
        <w:t>Artículo</w:t>
      </w:r>
      <w:r w:rsidRPr="002A05EB">
        <w:rPr>
          <w:rFonts w:ascii="Arial" w:hAnsi="Arial" w:cs="Arial"/>
          <w:sz w:val="20"/>
          <w:szCs w:val="20"/>
        </w:rPr>
        <w:t> </w:t>
      </w:r>
      <w:r w:rsidRPr="002A05EB">
        <w:rPr>
          <w:rFonts w:ascii="Arial" w:hAnsi="Arial" w:cs="Arial"/>
          <w:bCs/>
          <w:sz w:val="20"/>
          <w:szCs w:val="20"/>
        </w:rPr>
        <w:t>61. </w:t>
      </w:r>
      <w:r w:rsidRPr="002A05EB">
        <w:rPr>
          <w:rFonts w:ascii="Arial" w:hAnsi="Arial" w:cs="Arial"/>
          <w:bCs/>
          <w:i/>
          <w:iCs/>
          <w:sz w:val="20"/>
          <w:szCs w:val="20"/>
        </w:rPr>
        <w:t>Litisconsorcio necesario e integración del contradictorio</w:t>
      </w:r>
      <w:r w:rsidRPr="002A05EB">
        <w:rPr>
          <w:rFonts w:ascii="Arial" w:hAnsi="Arial" w:cs="Arial"/>
          <w:bCs/>
          <w:sz w:val="20"/>
          <w:szCs w:val="20"/>
        </w:rPr>
        <w:t>. </w:t>
      </w:r>
      <w:r w:rsidRPr="002A05EB">
        <w:rPr>
          <w:rFonts w:ascii="Arial" w:hAnsi="Arial" w:cs="Arial"/>
          <w:sz w:val="20"/>
          <w:szCs w:val="20"/>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rsidR="0075312D" w:rsidRPr="002A05EB" w:rsidRDefault="0075312D" w:rsidP="002A05EB">
      <w:pPr>
        <w:shd w:val="clear" w:color="auto" w:fill="FFFFFF"/>
        <w:contextualSpacing/>
        <w:jc w:val="both"/>
        <w:rPr>
          <w:rFonts w:ascii="Arial" w:hAnsi="Arial" w:cs="Arial"/>
          <w:sz w:val="20"/>
          <w:szCs w:val="20"/>
          <w:lang w:val="es-ES" w:eastAsia="es-ES"/>
        </w:rPr>
      </w:pPr>
      <w:r w:rsidRPr="002A05EB">
        <w:rPr>
          <w:rFonts w:ascii="Arial" w:hAnsi="Arial" w:cs="Arial"/>
          <w:sz w:val="20"/>
          <w:szCs w:val="20"/>
          <w:lang w:val="es-ES" w:eastAsia="es-ES"/>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rsidR="0075312D" w:rsidRPr="002A05EB" w:rsidRDefault="0075312D" w:rsidP="002A05EB">
      <w:pPr>
        <w:shd w:val="clear" w:color="auto" w:fill="FFFFFF"/>
        <w:contextualSpacing/>
        <w:jc w:val="both"/>
        <w:rPr>
          <w:rFonts w:ascii="Arial" w:hAnsi="Arial" w:cs="Arial"/>
          <w:sz w:val="20"/>
          <w:szCs w:val="20"/>
          <w:lang w:val="es-ES" w:eastAsia="es-ES"/>
        </w:rPr>
      </w:pPr>
      <w:r w:rsidRPr="002A05EB">
        <w:rPr>
          <w:rFonts w:ascii="Arial" w:hAnsi="Arial" w:cs="Arial"/>
          <w:sz w:val="20"/>
          <w:szCs w:val="20"/>
          <w:lang w:val="es-ES" w:eastAsia="es-ES"/>
        </w:rPr>
        <w:t>Si alguno de los convocados solicita pruebas en el escrito de intervención, el juez resolverá sobre ellas y si las decreta fijará audiencia para practicarlas.</w:t>
      </w:r>
    </w:p>
    <w:p w:rsidR="0075312D" w:rsidRPr="002A05EB" w:rsidRDefault="0075312D" w:rsidP="002A05EB">
      <w:pPr>
        <w:shd w:val="clear" w:color="auto" w:fill="FFFFFF"/>
        <w:contextualSpacing/>
        <w:jc w:val="both"/>
        <w:rPr>
          <w:rFonts w:ascii="Arial" w:hAnsi="Arial" w:cs="Arial"/>
          <w:sz w:val="20"/>
          <w:szCs w:val="20"/>
          <w:lang w:val="es-ES" w:eastAsia="es-ES"/>
        </w:rPr>
      </w:pPr>
      <w:r w:rsidRPr="002A05EB">
        <w:rPr>
          <w:rFonts w:ascii="Arial" w:hAnsi="Arial" w:cs="Arial"/>
          <w:sz w:val="20"/>
          <w:szCs w:val="20"/>
          <w:lang w:val="es-ES" w:eastAsia="es-ES"/>
        </w:rPr>
        <w:t>Los recursos y en general las actuaciones de cada litisconsorte favorecerán a los demás. Sin embargo, los actos que impliquen disposición del derecho en litigio solo tendrán eficacia si emanan de todos.</w:t>
      </w:r>
    </w:p>
    <w:p w:rsidR="0075312D" w:rsidRPr="0028273F" w:rsidRDefault="0075312D" w:rsidP="002A05EB">
      <w:pPr>
        <w:shd w:val="clear" w:color="auto" w:fill="FFFFFF"/>
        <w:contextualSpacing/>
        <w:jc w:val="both"/>
        <w:rPr>
          <w:sz w:val="20"/>
          <w:szCs w:val="20"/>
          <w:lang w:val="es-ES" w:eastAsia="es-ES"/>
        </w:rPr>
      </w:pPr>
      <w:r w:rsidRPr="002A05EB">
        <w:rPr>
          <w:rFonts w:ascii="Arial" w:hAnsi="Arial" w:cs="Arial"/>
          <w:sz w:val="20"/>
          <w:szCs w:val="20"/>
          <w:lang w:val="es-ES" w:eastAsia="es-ES"/>
        </w:rPr>
        <w:t>Cuando alguno de los litisconsortes necesarios del demandante no figure en la demanda, podrá pedirse su vinculación acompañando la prueba de dicho litisconsorcio.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11B" w:rsidRPr="0065411B" w:rsidRDefault="00263CEC" w:rsidP="0065411B">
    <w:pPr>
      <w:tabs>
        <w:tab w:val="center" w:pos="4252"/>
        <w:tab w:val="right" w:pos="8504"/>
      </w:tabs>
      <w:jc w:val="both"/>
      <w:rPr>
        <w:rFonts w:ascii="Arial" w:eastAsia="Calibri" w:hAnsi="Arial" w:cs="Arial"/>
        <w:sz w:val="16"/>
        <w:szCs w:val="16"/>
      </w:rPr>
    </w:pPr>
    <w:r w:rsidRPr="0065411B">
      <w:rPr>
        <w:rFonts w:ascii="Arial" w:eastAsia="Calibri" w:hAnsi="Arial" w:cs="Arial"/>
        <w:noProof/>
        <w:sz w:val="16"/>
        <w:szCs w:val="16"/>
        <w:lang w:val="es-ES" w:eastAsia="es-ES"/>
      </w:rPr>
      <w:drawing>
        <wp:anchor distT="0" distB="0" distL="114300" distR="114300" simplePos="0" relativeHeight="251662336" behindDoc="0" locked="0" layoutInCell="1" allowOverlap="1" wp14:anchorId="4845CF3A" wp14:editId="392BBD76">
          <wp:simplePos x="0" y="0"/>
          <wp:positionH relativeFrom="column">
            <wp:posOffset>-813435</wp:posOffset>
          </wp:positionH>
          <wp:positionV relativeFrom="paragraph">
            <wp:posOffset>-87630</wp:posOffset>
          </wp:positionV>
          <wp:extent cx="933450" cy="868045"/>
          <wp:effectExtent l="0" t="0" r="0" b="8255"/>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8045"/>
                  </a:xfrm>
                  <a:prstGeom prst="rect">
                    <a:avLst/>
                  </a:prstGeom>
                  <a:noFill/>
                </pic:spPr>
              </pic:pic>
            </a:graphicData>
          </a:graphic>
          <wp14:sizeRelH relativeFrom="page">
            <wp14:pctWidth>0</wp14:pctWidth>
          </wp14:sizeRelH>
          <wp14:sizeRelV relativeFrom="page">
            <wp14:pctHeight>0</wp14:pctHeight>
          </wp14:sizeRelV>
        </wp:anchor>
      </w:drawing>
    </w:r>
  </w:p>
  <w:p w:rsidR="0065411B" w:rsidRPr="0065411B" w:rsidRDefault="00263CEC" w:rsidP="0065411B">
    <w:pPr>
      <w:tabs>
        <w:tab w:val="center" w:pos="4252"/>
        <w:tab w:val="right" w:pos="8504"/>
      </w:tabs>
      <w:jc w:val="both"/>
      <w:rPr>
        <w:rFonts w:ascii="Arial" w:eastAsia="Calibri" w:hAnsi="Arial" w:cs="Arial"/>
        <w:sz w:val="16"/>
        <w:szCs w:val="16"/>
      </w:rPr>
    </w:pPr>
  </w:p>
  <w:p w:rsidR="0065411B" w:rsidRPr="0065411B" w:rsidRDefault="00263CEC" w:rsidP="0065411B">
    <w:pPr>
      <w:tabs>
        <w:tab w:val="center" w:pos="4252"/>
        <w:tab w:val="right" w:pos="8504"/>
      </w:tabs>
      <w:jc w:val="both"/>
      <w:rPr>
        <w:rFonts w:ascii="Arial" w:eastAsia="Calibri" w:hAnsi="Arial" w:cs="Arial"/>
        <w:sz w:val="16"/>
        <w:szCs w:val="16"/>
      </w:rPr>
    </w:pPr>
    <w:r w:rsidRPr="0065411B">
      <w:rPr>
        <w:rFonts w:ascii="Arial" w:eastAsia="Calibri" w:hAnsi="Arial" w:cs="Arial"/>
        <w:noProof/>
        <w:sz w:val="16"/>
        <w:szCs w:val="16"/>
        <w:lang w:val="es-ES" w:eastAsia="es-ES"/>
      </w:rPr>
      <mc:AlternateContent>
        <mc:Choice Requires="wps">
          <w:drawing>
            <wp:anchor distT="4294967295" distB="4294967295" distL="114300" distR="114300" simplePos="0" relativeHeight="251661312" behindDoc="0" locked="0" layoutInCell="1" allowOverlap="1" wp14:anchorId="5E102617" wp14:editId="2C923279">
              <wp:simplePos x="0" y="0"/>
              <wp:positionH relativeFrom="column">
                <wp:posOffset>1379855</wp:posOffset>
              </wp:positionH>
              <wp:positionV relativeFrom="paragraph">
                <wp:posOffset>60324</wp:posOffset>
              </wp:positionV>
              <wp:extent cx="5400040" cy="0"/>
              <wp:effectExtent l="0" t="19050" r="29210" b="19050"/>
              <wp:wrapNone/>
              <wp:docPr id="3" name="Conector recto de flecha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D0951CE"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" strokeweight="2.25pt">
              <v:path arrowok="f"/>
              <o:lock v:ext="edit" aspectratio="t" verticies="t"/>
            </v:shape>
          </w:pict>
        </mc:Fallback>
      </mc:AlternateContent>
    </w:r>
  </w:p>
  <w:p w:rsidR="0000672B" w:rsidRPr="0000672B" w:rsidRDefault="00263CEC" w:rsidP="0000672B">
    <w:pPr>
      <w:tabs>
        <w:tab w:val="left" w:pos="1985"/>
      </w:tabs>
      <w:ind w:left="2832"/>
      <w:contextualSpacing/>
      <w:jc w:val="both"/>
      <w:rPr>
        <w:rFonts w:ascii="Arial" w:hAnsi="Arial" w:cs="Arial"/>
        <w:i/>
        <w:iCs/>
        <w:color w:val="767171"/>
        <w:sz w:val="20"/>
        <w:szCs w:val="20"/>
      </w:rPr>
    </w:pPr>
    <w:r w:rsidRPr="0065411B">
      <w:rPr>
        <w:rFonts w:ascii="Arial" w:eastAsia="Calibri" w:hAnsi="Arial" w:cs="Arial"/>
        <w:i/>
        <w:iCs/>
        <w:color w:val="767171"/>
        <w:sz w:val="20"/>
        <w:szCs w:val="20"/>
      </w:rPr>
      <w:tab/>
    </w:r>
    <w:r w:rsidRPr="0065411B">
      <w:rPr>
        <w:rFonts w:ascii="Arial" w:eastAsia="Calibri" w:hAnsi="Arial" w:cs="Arial"/>
        <w:i/>
        <w:iCs/>
        <w:color w:val="767171"/>
        <w:sz w:val="20"/>
        <w:szCs w:val="20"/>
      </w:rPr>
      <w:tab/>
    </w:r>
    <w:r w:rsidR="0000672B" w:rsidRPr="0000672B">
      <w:rPr>
        <w:rFonts w:ascii="Arial" w:hAnsi="Arial" w:cs="Arial"/>
        <w:i/>
        <w:iCs/>
        <w:color w:val="767171"/>
        <w:sz w:val="20"/>
        <w:szCs w:val="20"/>
      </w:rPr>
      <w:t>Radicado: 11001-03-15-000-2023-01263-00</w:t>
    </w:r>
  </w:p>
  <w:p w:rsidR="0000672B" w:rsidRPr="0000672B" w:rsidRDefault="0000672B" w:rsidP="0000672B">
    <w:pPr>
      <w:tabs>
        <w:tab w:val="left" w:pos="1985"/>
      </w:tabs>
      <w:ind w:left="4248"/>
      <w:contextualSpacing/>
      <w:jc w:val="both"/>
      <w:rPr>
        <w:rFonts w:ascii="Arial" w:hAnsi="Arial" w:cs="Arial"/>
        <w:i/>
        <w:iCs/>
        <w:color w:val="767171"/>
        <w:sz w:val="20"/>
        <w:szCs w:val="20"/>
      </w:rPr>
    </w:pPr>
    <w:r w:rsidRPr="0000672B">
      <w:rPr>
        <w:rFonts w:ascii="Arial" w:hAnsi="Arial" w:cs="Arial"/>
        <w:i/>
        <w:iCs/>
        <w:color w:val="767171"/>
        <w:sz w:val="20"/>
        <w:szCs w:val="20"/>
      </w:rPr>
      <w:t>Accionante: Elkin Enrique Díaz Camacho</w:t>
    </w:r>
  </w:p>
  <w:p w:rsidR="0065411B" w:rsidRPr="0065411B" w:rsidRDefault="00263CEC" w:rsidP="0000672B">
    <w:pPr>
      <w:tabs>
        <w:tab w:val="left" w:pos="1985"/>
      </w:tabs>
      <w:contextualSpacing/>
      <w:jc w:val="both"/>
      <w:rPr>
        <w:rFonts w:ascii="Arial" w:eastAsia="Calibri" w:hAnsi="Arial" w:cs="Arial"/>
        <w:i/>
        <w:iCs/>
        <w:color w:val="767171"/>
        <w:sz w:val="20"/>
        <w:szCs w:val="20"/>
      </w:rPr>
    </w:pPr>
  </w:p>
  <w:p w:rsidR="0065411B" w:rsidRDefault="00263C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78F" w:rsidRPr="004B778F" w:rsidRDefault="00263CEC" w:rsidP="004B778F">
    <w:pPr>
      <w:tabs>
        <w:tab w:val="center" w:pos="4252"/>
        <w:tab w:val="right" w:pos="8504"/>
      </w:tabs>
      <w:jc w:val="both"/>
      <w:rPr>
        <w:rFonts w:ascii="Arial" w:eastAsia="Calibri" w:hAnsi="Arial" w:cs="Arial"/>
        <w:sz w:val="16"/>
        <w:szCs w:val="16"/>
      </w:rPr>
    </w:pPr>
    <w:r w:rsidRPr="004B778F">
      <w:rPr>
        <w:rFonts w:ascii="Arial" w:eastAsia="Calibri" w:hAnsi="Arial" w:cs="Arial"/>
        <w:noProof/>
        <w:sz w:val="16"/>
        <w:szCs w:val="16"/>
        <w:lang w:val="es-ES" w:eastAsia="es-ES"/>
      </w:rPr>
      <w:drawing>
        <wp:anchor distT="0" distB="0" distL="114300" distR="114300" simplePos="0" relativeHeight="251659264" behindDoc="0" locked="0" layoutInCell="1" allowOverlap="1" wp14:anchorId="7FA717EE" wp14:editId="484E0CB5">
          <wp:simplePos x="0" y="0"/>
          <wp:positionH relativeFrom="column">
            <wp:posOffset>-849699</wp:posOffset>
          </wp:positionH>
          <wp:positionV relativeFrom="paragraph">
            <wp:posOffset>-194516</wp:posOffset>
          </wp:positionV>
          <wp:extent cx="1047115" cy="97345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115" cy="973455"/>
                  </a:xfrm>
                  <a:prstGeom prst="rect">
                    <a:avLst/>
                  </a:prstGeom>
                  <a:noFill/>
                </pic:spPr>
              </pic:pic>
            </a:graphicData>
          </a:graphic>
          <wp14:sizeRelH relativeFrom="page">
            <wp14:pctWidth>0</wp14:pctWidth>
          </wp14:sizeRelH>
          <wp14:sizeRelV relativeFrom="page">
            <wp14:pctHeight>0</wp14:pctHeight>
          </wp14:sizeRelV>
        </wp:anchor>
      </w:drawing>
    </w:r>
    <w:r w:rsidRPr="004B778F">
      <w:rPr>
        <w:rFonts w:ascii="Arial" w:eastAsia="Calibri" w:hAnsi="Arial" w:cs="Arial"/>
        <w:noProof/>
        <w:sz w:val="16"/>
        <w:szCs w:val="16"/>
        <w:lang w:val="es-ES" w:eastAsia="es-ES"/>
      </w:rPr>
      <mc:AlternateContent>
        <mc:Choice Requires="wps">
          <w:drawing>
            <wp:anchor distT="4294967295" distB="4294967295" distL="114300" distR="114300" simplePos="0" relativeHeight="251660288" behindDoc="0" locked="0" layoutInCell="1" allowOverlap="1" wp14:anchorId="754A5058" wp14:editId="3EF942F2">
              <wp:simplePos x="0" y="0"/>
              <wp:positionH relativeFrom="column">
                <wp:posOffset>1379855</wp:posOffset>
              </wp:positionH>
              <wp:positionV relativeFrom="paragraph">
                <wp:posOffset>60324</wp:posOffset>
              </wp:positionV>
              <wp:extent cx="5400040" cy="0"/>
              <wp:effectExtent l="0" t="19050" r="29210" b="19050"/>
              <wp:wrapNone/>
              <wp:docPr id="1" name="Conector recto de flecha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3597F966" id="_x0000_t32" coordsize="21600,21600" o:spt="32" o:oned="t" path="m,l21600,21600e" filled="f">
              <v:path arrowok="t" fillok="f" o:connecttype="none"/>
              <o:lock v:ext="edit" shapetype="t"/>
            </v:shapetype>
            <v:shape id="Conector recto de flecha 1" o:spid="_x0000_s1026" type="#_x0000_t32" style="position:absolute;margin-left:108.65pt;margin-top:4.75pt;width:425.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" strokeweight="2.25pt">
              <v:path arrowok="f"/>
              <o:lock v:ext="edit" aspectratio="t" verticies="t"/>
            </v:shape>
          </w:pict>
        </mc:Fallback>
      </mc:AlternateContent>
    </w:r>
  </w:p>
  <w:p w:rsidR="0000672B" w:rsidRPr="0000672B" w:rsidRDefault="0000672B" w:rsidP="0000672B">
    <w:pPr>
      <w:tabs>
        <w:tab w:val="left" w:pos="1985"/>
      </w:tabs>
      <w:ind w:left="2832"/>
      <w:contextualSpacing/>
      <w:rPr>
        <w:rFonts w:ascii="Arial" w:hAnsi="Arial" w:cs="Arial"/>
        <w:i/>
        <w:iCs/>
        <w:color w:val="767171"/>
        <w:sz w:val="20"/>
        <w:szCs w:val="20"/>
      </w:rPr>
    </w:pPr>
    <w:r>
      <w:rPr>
        <w:rFonts w:ascii="Arial" w:hAnsi="Arial" w:cs="Arial"/>
        <w:i/>
        <w:iCs/>
        <w:color w:val="767171"/>
        <w:sz w:val="20"/>
        <w:szCs w:val="20"/>
      </w:rPr>
      <w:tab/>
    </w:r>
    <w:r>
      <w:rPr>
        <w:rFonts w:ascii="Arial" w:hAnsi="Arial" w:cs="Arial"/>
        <w:i/>
        <w:iCs/>
        <w:color w:val="767171"/>
        <w:sz w:val="20"/>
        <w:szCs w:val="20"/>
      </w:rPr>
      <w:tab/>
    </w:r>
    <w:r w:rsidRPr="0000672B">
      <w:rPr>
        <w:rFonts w:ascii="Arial" w:hAnsi="Arial" w:cs="Arial"/>
        <w:i/>
        <w:iCs/>
        <w:color w:val="767171"/>
        <w:sz w:val="20"/>
        <w:szCs w:val="20"/>
      </w:rPr>
      <w:t>Radicado: 11001-03-15-000-2023-01263-00</w:t>
    </w:r>
  </w:p>
  <w:p w:rsidR="0000672B" w:rsidRPr="0000672B" w:rsidRDefault="0000672B" w:rsidP="0000672B">
    <w:pPr>
      <w:tabs>
        <w:tab w:val="left" w:pos="1985"/>
      </w:tabs>
      <w:ind w:left="4248"/>
      <w:contextualSpacing/>
      <w:rPr>
        <w:rFonts w:ascii="Arial" w:hAnsi="Arial" w:cs="Arial"/>
        <w:i/>
        <w:iCs/>
        <w:color w:val="767171"/>
        <w:sz w:val="20"/>
        <w:szCs w:val="20"/>
      </w:rPr>
    </w:pPr>
    <w:r w:rsidRPr="0000672B">
      <w:rPr>
        <w:rFonts w:ascii="Arial" w:hAnsi="Arial" w:cs="Arial"/>
        <w:i/>
        <w:iCs/>
        <w:color w:val="767171"/>
        <w:sz w:val="20"/>
        <w:szCs w:val="20"/>
      </w:rPr>
      <w:t>Accionante: Elkin Enrique Díaz Camacho</w:t>
    </w:r>
  </w:p>
  <w:p w:rsidR="004B778F" w:rsidRPr="004B778F" w:rsidRDefault="00263CEC" w:rsidP="004B778F">
    <w:pPr>
      <w:tabs>
        <w:tab w:val="center" w:pos="4252"/>
        <w:tab w:val="right" w:pos="8504"/>
      </w:tabs>
      <w:spacing w:line="276" w:lineRule="auto"/>
      <w:jc w:val="both"/>
      <w:rPr>
        <w:rFonts w:ascii="Arial" w:eastAsia="Calibri" w:hAnsi="Arial" w:cs="Arial"/>
        <w:sz w:val="16"/>
        <w:szCs w:val="16"/>
      </w:rPr>
    </w:pPr>
  </w:p>
  <w:p w:rsidR="004B778F" w:rsidRPr="004B778F" w:rsidRDefault="00263CEC" w:rsidP="004B778F">
    <w:pPr>
      <w:spacing w:line="276" w:lineRule="auto"/>
      <w:rPr>
        <w:rFonts w:ascii="Arial" w:eastAsia="Calibri" w:hAnsi="Arial" w:cs="Arial"/>
        <w:b/>
        <w:caps/>
        <w:color w:val="000000"/>
        <w:szCs w:val="16"/>
      </w:rPr>
    </w:pPr>
  </w:p>
  <w:p w:rsidR="004B778F" w:rsidRPr="004B778F" w:rsidRDefault="00263CEC" w:rsidP="004B778F">
    <w:pPr>
      <w:spacing w:line="276" w:lineRule="auto"/>
      <w:jc w:val="center"/>
      <w:rPr>
        <w:rFonts w:ascii="Arial" w:eastAsia="Calibri" w:hAnsi="Arial" w:cs="Arial"/>
        <w:b/>
        <w:caps/>
        <w:color w:val="000000"/>
        <w:szCs w:val="16"/>
      </w:rPr>
    </w:pPr>
    <w:r w:rsidRPr="004B778F">
      <w:rPr>
        <w:rFonts w:ascii="Arial" w:eastAsia="Calibri" w:hAnsi="Arial" w:cs="Arial"/>
        <w:b/>
        <w:caps/>
        <w:color w:val="000000"/>
        <w:szCs w:val="16"/>
      </w:rPr>
      <w:t xml:space="preserve">CONSEJO DE </w:t>
    </w:r>
    <w:r w:rsidRPr="004B778F">
      <w:rPr>
        <w:rFonts w:ascii="Arial" w:eastAsia="Calibri" w:hAnsi="Arial" w:cs="Arial"/>
        <w:b/>
        <w:caps/>
        <w:color w:val="000000"/>
        <w:szCs w:val="16"/>
      </w:rPr>
      <w:t>ESTADO</w:t>
    </w:r>
  </w:p>
  <w:p w:rsidR="004B778F" w:rsidRPr="004B778F" w:rsidRDefault="00263CEC" w:rsidP="004B778F">
    <w:pPr>
      <w:spacing w:line="276" w:lineRule="auto"/>
      <w:jc w:val="center"/>
      <w:rPr>
        <w:rFonts w:ascii="Arial" w:eastAsia="Calibri" w:hAnsi="Arial" w:cs="Arial"/>
        <w:b/>
        <w:caps/>
        <w:color w:val="000000"/>
        <w:szCs w:val="16"/>
      </w:rPr>
    </w:pPr>
    <w:r w:rsidRPr="004B778F">
      <w:rPr>
        <w:rFonts w:ascii="Arial" w:eastAsia="Calibri" w:hAnsi="Arial" w:cs="Arial"/>
        <w:b/>
        <w:caps/>
        <w:color w:val="000000"/>
        <w:szCs w:val="16"/>
      </w:rPr>
      <w:t>SALA DE LO CONTENCIOSO ADMINISTRATIVO</w:t>
    </w:r>
  </w:p>
  <w:p w:rsidR="004B778F" w:rsidRPr="004B778F" w:rsidRDefault="00263CEC" w:rsidP="004B778F">
    <w:pPr>
      <w:spacing w:line="276" w:lineRule="auto"/>
      <w:jc w:val="center"/>
      <w:rPr>
        <w:rFonts w:ascii="Arial" w:eastAsia="Calibri" w:hAnsi="Arial" w:cs="Arial"/>
        <w:b/>
        <w:caps/>
        <w:color w:val="000000"/>
        <w:szCs w:val="16"/>
      </w:rPr>
    </w:pPr>
    <w:r w:rsidRPr="004B778F">
      <w:rPr>
        <w:rFonts w:ascii="Arial" w:eastAsia="Calibri" w:hAnsi="Arial" w:cs="Arial"/>
        <w:b/>
        <w:caps/>
        <w:color w:val="000000"/>
        <w:szCs w:val="16"/>
      </w:rPr>
      <w:t xml:space="preserve">SECCIÓN TERCERA </w:t>
    </w:r>
  </w:p>
  <w:p w:rsidR="004B778F" w:rsidRPr="004B778F" w:rsidRDefault="00263CEC" w:rsidP="004B778F">
    <w:pPr>
      <w:spacing w:line="276" w:lineRule="auto"/>
      <w:jc w:val="center"/>
      <w:rPr>
        <w:rFonts w:ascii="Arial" w:eastAsia="Calibri" w:hAnsi="Arial" w:cs="Arial"/>
        <w:b/>
        <w:caps/>
        <w:color w:val="000000"/>
        <w:szCs w:val="16"/>
      </w:rPr>
    </w:pPr>
    <w:r w:rsidRPr="004B778F">
      <w:rPr>
        <w:rFonts w:ascii="Arial" w:eastAsia="Calibri" w:hAnsi="Arial" w:cs="Arial"/>
        <w:b/>
        <w:caps/>
        <w:color w:val="000000"/>
        <w:szCs w:val="16"/>
      </w:rPr>
      <w:t>SUBSECCIÓN C</w:t>
    </w:r>
  </w:p>
  <w:p w:rsidR="004B778F" w:rsidRDefault="00263C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E8"/>
    <w:rsid w:val="00000BB8"/>
    <w:rsid w:val="00003269"/>
    <w:rsid w:val="0000619F"/>
    <w:rsid w:val="0000672B"/>
    <w:rsid w:val="00011AE8"/>
    <w:rsid w:val="0001666A"/>
    <w:rsid w:val="0001693D"/>
    <w:rsid w:val="000224B6"/>
    <w:rsid w:val="000277A8"/>
    <w:rsid w:val="000369CF"/>
    <w:rsid w:val="00063847"/>
    <w:rsid w:val="0006407D"/>
    <w:rsid w:val="000668D0"/>
    <w:rsid w:val="00066A64"/>
    <w:rsid w:val="00066E7E"/>
    <w:rsid w:val="000674F1"/>
    <w:rsid w:val="00072EBA"/>
    <w:rsid w:val="0007396D"/>
    <w:rsid w:val="000756FB"/>
    <w:rsid w:val="000808F8"/>
    <w:rsid w:val="00084455"/>
    <w:rsid w:val="0008718C"/>
    <w:rsid w:val="00094056"/>
    <w:rsid w:val="000970B3"/>
    <w:rsid w:val="000A3F3D"/>
    <w:rsid w:val="000A5720"/>
    <w:rsid w:val="000B075B"/>
    <w:rsid w:val="000B20F6"/>
    <w:rsid w:val="000B37CE"/>
    <w:rsid w:val="000B3C23"/>
    <w:rsid w:val="000B6E90"/>
    <w:rsid w:val="000D2917"/>
    <w:rsid w:val="000D702F"/>
    <w:rsid w:val="000E04D8"/>
    <w:rsid w:val="000E0908"/>
    <w:rsid w:val="000E24A4"/>
    <w:rsid w:val="000E5DC5"/>
    <w:rsid w:val="000E6729"/>
    <w:rsid w:val="00100D18"/>
    <w:rsid w:val="00114606"/>
    <w:rsid w:val="0011573E"/>
    <w:rsid w:val="00130E39"/>
    <w:rsid w:val="00133D2D"/>
    <w:rsid w:val="00140A3F"/>
    <w:rsid w:val="00145FB5"/>
    <w:rsid w:val="00147796"/>
    <w:rsid w:val="00147A34"/>
    <w:rsid w:val="00150640"/>
    <w:rsid w:val="0015107F"/>
    <w:rsid w:val="00152267"/>
    <w:rsid w:val="00156117"/>
    <w:rsid w:val="00161619"/>
    <w:rsid w:val="00163BF5"/>
    <w:rsid w:val="001646FA"/>
    <w:rsid w:val="00173B53"/>
    <w:rsid w:val="0017771C"/>
    <w:rsid w:val="00177AA4"/>
    <w:rsid w:val="00186FE9"/>
    <w:rsid w:val="00197393"/>
    <w:rsid w:val="001A747E"/>
    <w:rsid w:val="001B0596"/>
    <w:rsid w:val="001B6167"/>
    <w:rsid w:val="001B731B"/>
    <w:rsid w:val="001C0013"/>
    <w:rsid w:val="001C172F"/>
    <w:rsid w:val="001C304A"/>
    <w:rsid w:val="001C361F"/>
    <w:rsid w:val="001C54EA"/>
    <w:rsid w:val="001C70E8"/>
    <w:rsid w:val="001D35A4"/>
    <w:rsid w:val="001D54D4"/>
    <w:rsid w:val="001D5D1D"/>
    <w:rsid w:val="001D6C22"/>
    <w:rsid w:val="001D7E1B"/>
    <w:rsid w:val="001E3A41"/>
    <w:rsid w:val="001E49BE"/>
    <w:rsid w:val="001E6DE4"/>
    <w:rsid w:val="001F276C"/>
    <w:rsid w:val="001F371B"/>
    <w:rsid w:val="001F5483"/>
    <w:rsid w:val="001F54D6"/>
    <w:rsid w:val="002007F5"/>
    <w:rsid w:val="002061AB"/>
    <w:rsid w:val="00211A2D"/>
    <w:rsid w:val="002142C7"/>
    <w:rsid w:val="00220C2D"/>
    <w:rsid w:val="00221057"/>
    <w:rsid w:val="0022234F"/>
    <w:rsid w:val="002242AF"/>
    <w:rsid w:val="002266AD"/>
    <w:rsid w:val="002342E2"/>
    <w:rsid w:val="00235A15"/>
    <w:rsid w:val="00241452"/>
    <w:rsid w:val="00241BBD"/>
    <w:rsid w:val="00245538"/>
    <w:rsid w:val="002456C9"/>
    <w:rsid w:val="0025130C"/>
    <w:rsid w:val="00251341"/>
    <w:rsid w:val="0025507F"/>
    <w:rsid w:val="00257423"/>
    <w:rsid w:val="002604E7"/>
    <w:rsid w:val="00263CEC"/>
    <w:rsid w:val="00270F10"/>
    <w:rsid w:val="00272391"/>
    <w:rsid w:val="002724ED"/>
    <w:rsid w:val="00285635"/>
    <w:rsid w:val="00292075"/>
    <w:rsid w:val="00292CFE"/>
    <w:rsid w:val="002931A8"/>
    <w:rsid w:val="00297AA9"/>
    <w:rsid w:val="002A05EB"/>
    <w:rsid w:val="002B1F66"/>
    <w:rsid w:val="002B2E75"/>
    <w:rsid w:val="002B62C4"/>
    <w:rsid w:val="002B7995"/>
    <w:rsid w:val="002C2248"/>
    <w:rsid w:val="002C33E9"/>
    <w:rsid w:val="002C6B55"/>
    <w:rsid w:val="002D2E8F"/>
    <w:rsid w:val="002D3B44"/>
    <w:rsid w:val="002D6940"/>
    <w:rsid w:val="002E7701"/>
    <w:rsid w:val="002F0432"/>
    <w:rsid w:val="002F0DAE"/>
    <w:rsid w:val="002F2A07"/>
    <w:rsid w:val="002F3DDB"/>
    <w:rsid w:val="0030488D"/>
    <w:rsid w:val="00306005"/>
    <w:rsid w:val="003078CE"/>
    <w:rsid w:val="00307FB2"/>
    <w:rsid w:val="0031107B"/>
    <w:rsid w:val="00314657"/>
    <w:rsid w:val="003240A0"/>
    <w:rsid w:val="00325121"/>
    <w:rsid w:val="00325831"/>
    <w:rsid w:val="0033108F"/>
    <w:rsid w:val="00337DC4"/>
    <w:rsid w:val="00345751"/>
    <w:rsid w:val="0034790D"/>
    <w:rsid w:val="0035375F"/>
    <w:rsid w:val="003552B5"/>
    <w:rsid w:val="00355FC0"/>
    <w:rsid w:val="00356202"/>
    <w:rsid w:val="00356B78"/>
    <w:rsid w:val="00363DE8"/>
    <w:rsid w:val="00367667"/>
    <w:rsid w:val="0037363A"/>
    <w:rsid w:val="00374CC6"/>
    <w:rsid w:val="00376FF9"/>
    <w:rsid w:val="00380C3F"/>
    <w:rsid w:val="003811DC"/>
    <w:rsid w:val="0038461D"/>
    <w:rsid w:val="00384F56"/>
    <w:rsid w:val="00386B07"/>
    <w:rsid w:val="00390290"/>
    <w:rsid w:val="00392510"/>
    <w:rsid w:val="00393FD4"/>
    <w:rsid w:val="003A3439"/>
    <w:rsid w:val="003A4411"/>
    <w:rsid w:val="003A46FA"/>
    <w:rsid w:val="003A70A1"/>
    <w:rsid w:val="003A7747"/>
    <w:rsid w:val="003B78AF"/>
    <w:rsid w:val="003B7934"/>
    <w:rsid w:val="003C3087"/>
    <w:rsid w:val="003C4B94"/>
    <w:rsid w:val="003C6936"/>
    <w:rsid w:val="003C7E1F"/>
    <w:rsid w:val="003D13D5"/>
    <w:rsid w:val="003D2A41"/>
    <w:rsid w:val="003D5146"/>
    <w:rsid w:val="003F2EF8"/>
    <w:rsid w:val="003F395B"/>
    <w:rsid w:val="003F4365"/>
    <w:rsid w:val="003F5A9A"/>
    <w:rsid w:val="003F6011"/>
    <w:rsid w:val="003F66F5"/>
    <w:rsid w:val="004035A2"/>
    <w:rsid w:val="004042F1"/>
    <w:rsid w:val="00407CF2"/>
    <w:rsid w:val="0041193A"/>
    <w:rsid w:val="004144C7"/>
    <w:rsid w:val="00415E14"/>
    <w:rsid w:val="00416363"/>
    <w:rsid w:val="004167C2"/>
    <w:rsid w:val="00431166"/>
    <w:rsid w:val="00433361"/>
    <w:rsid w:val="004368EA"/>
    <w:rsid w:val="00437414"/>
    <w:rsid w:val="0044055D"/>
    <w:rsid w:val="00443494"/>
    <w:rsid w:val="00445596"/>
    <w:rsid w:val="0045004A"/>
    <w:rsid w:val="0045062B"/>
    <w:rsid w:val="00450783"/>
    <w:rsid w:val="00454266"/>
    <w:rsid w:val="00454BCB"/>
    <w:rsid w:val="004554EA"/>
    <w:rsid w:val="0046244B"/>
    <w:rsid w:val="004633D2"/>
    <w:rsid w:val="004747AC"/>
    <w:rsid w:val="00475C8D"/>
    <w:rsid w:val="004763ED"/>
    <w:rsid w:val="00480913"/>
    <w:rsid w:val="00483F8A"/>
    <w:rsid w:val="00484072"/>
    <w:rsid w:val="0048661F"/>
    <w:rsid w:val="00486C62"/>
    <w:rsid w:val="00497425"/>
    <w:rsid w:val="004A05A3"/>
    <w:rsid w:val="004A1311"/>
    <w:rsid w:val="004A25B9"/>
    <w:rsid w:val="004A338E"/>
    <w:rsid w:val="004A416F"/>
    <w:rsid w:val="004A5E2B"/>
    <w:rsid w:val="004B1317"/>
    <w:rsid w:val="004B31E0"/>
    <w:rsid w:val="004B4948"/>
    <w:rsid w:val="004B5E47"/>
    <w:rsid w:val="004B707A"/>
    <w:rsid w:val="004B7326"/>
    <w:rsid w:val="004C09EC"/>
    <w:rsid w:val="004C1D7F"/>
    <w:rsid w:val="004C3443"/>
    <w:rsid w:val="004C42A3"/>
    <w:rsid w:val="004C6CA7"/>
    <w:rsid w:val="004C7C03"/>
    <w:rsid w:val="004F0CD7"/>
    <w:rsid w:val="004F383E"/>
    <w:rsid w:val="0050129F"/>
    <w:rsid w:val="00507618"/>
    <w:rsid w:val="00507EB3"/>
    <w:rsid w:val="005136FE"/>
    <w:rsid w:val="00514E8A"/>
    <w:rsid w:val="00516A5A"/>
    <w:rsid w:val="00517069"/>
    <w:rsid w:val="00517A75"/>
    <w:rsid w:val="00521559"/>
    <w:rsid w:val="00522D7A"/>
    <w:rsid w:val="005318B3"/>
    <w:rsid w:val="005345B8"/>
    <w:rsid w:val="00537312"/>
    <w:rsid w:val="00542D5F"/>
    <w:rsid w:val="00542E83"/>
    <w:rsid w:val="00542F4F"/>
    <w:rsid w:val="005445B9"/>
    <w:rsid w:val="0055106D"/>
    <w:rsid w:val="005552F4"/>
    <w:rsid w:val="005577E6"/>
    <w:rsid w:val="0057678C"/>
    <w:rsid w:val="005776F3"/>
    <w:rsid w:val="00577759"/>
    <w:rsid w:val="005817D0"/>
    <w:rsid w:val="00582575"/>
    <w:rsid w:val="005837FE"/>
    <w:rsid w:val="00583B69"/>
    <w:rsid w:val="005957CA"/>
    <w:rsid w:val="005B5701"/>
    <w:rsid w:val="005C0B98"/>
    <w:rsid w:val="005C2CEC"/>
    <w:rsid w:val="005C57BE"/>
    <w:rsid w:val="005C5C36"/>
    <w:rsid w:val="005C76EE"/>
    <w:rsid w:val="005C7CAC"/>
    <w:rsid w:val="005D0898"/>
    <w:rsid w:val="005D1AEE"/>
    <w:rsid w:val="005D728A"/>
    <w:rsid w:val="005E1D82"/>
    <w:rsid w:val="005E55F6"/>
    <w:rsid w:val="005F1CD0"/>
    <w:rsid w:val="005F509C"/>
    <w:rsid w:val="005F7C51"/>
    <w:rsid w:val="005F7D1F"/>
    <w:rsid w:val="0060319F"/>
    <w:rsid w:val="0060485B"/>
    <w:rsid w:val="006208B8"/>
    <w:rsid w:val="00622500"/>
    <w:rsid w:val="00624CC9"/>
    <w:rsid w:val="00626972"/>
    <w:rsid w:val="00630641"/>
    <w:rsid w:val="0063659C"/>
    <w:rsid w:val="006403BA"/>
    <w:rsid w:val="00640937"/>
    <w:rsid w:val="0064204D"/>
    <w:rsid w:val="00642C7C"/>
    <w:rsid w:val="00643082"/>
    <w:rsid w:val="006503B7"/>
    <w:rsid w:val="00654B86"/>
    <w:rsid w:val="00656678"/>
    <w:rsid w:val="00660698"/>
    <w:rsid w:val="0066428B"/>
    <w:rsid w:val="00664616"/>
    <w:rsid w:val="00666D9D"/>
    <w:rsid w:val="00667EC7"/>
    <w:rsid w:val="006848AD"/>
    <w:rsid w:val="00684F0C"/>
    <w:rsid w:val="00685B2D"/>
    <w:rsid w:val="0069069C"/>
    <w:rsid w:val="00693B01"/>
    <w:rsid w:val="00697A77"/>
    <w:rsid w:val="00697E4E"/>
    <w:rsid w:val="006A25FE"/>
    <w:rsid w:val="006A4412"/>
    <w:rsid w:val="006B339B"/>
    <w:rsid w:val="006B3434"/>
    <w:rsid w:val="006C0F0D"/>
    <w:rsid w:val="006C3DA1"/>
    <w:rsid w:val="006C4199"/>
    <w:rsid w:val="006C4E3B"/>
    <w:rsid w:val="006C64D2"/>
    <w:rsid w:val="006D1041"/>
    <w:rsid w:val="006D389D"/>
    <w:rsid w:val="006D6A89"/>
    <w:rsid w:val="006E2E03"/>
    <w:rsid w:val="006E5234"/>
    <w:rsid w:val="006E56E3"/>
    <w:rsid w:val="006E664F"/>
    <w:rsid w:val="006E72F4"/>
    <w:rsid w:val="006F0E8F"/>
    <w:rsid w:val="006F2C8D"/>
    <w:rsid w:val="00700EF5"/>
    <w:rsid w:val="00713135"/>
    <w:rsid w:val="00714028"/>
    <w:rsid w:val="0071614F"/>
    <w:rsid w:val="00720BB9"/>
    <w:rsid w:val="00720D6F"/>
    <w:rsid w:val="00732838"/>
    <w:rsid w:val="00734701"/>
    <w:rsid w:val="00735949"/>
    <w:rsid w:val="00744E65"/>
    <w:rsid w:val="00745FDF"/>
    <w:rsid w:val="00746C6F"/>
    <w:rsid w:val="0075312D"/>
    <w:rsid w:val="00764A96"/>
    <w:rsid w:val="00767B9D"/>
    <w:rsid w:val="00774626"/>
    <w:rsid w:val="00774DBD"/>
    <w:rsid w:val="007755C3"/>
    <w:rsid w:val="00776432"/>
    <w:rsid w:val="00777629"/>
    <w:rsid w:val="007813BD"/>
    <w:rsid w:val="00785FFA"/>
    <w:rsid w:val="007A5F11"/>
    <w:rsid w:val="007A797B"/>
    <w:rsid w:val="007B0532"/>
    <w:rsid w:val="007B199E"/>
    <w:rsid w:val="007B55D2"/>
    <w:rsid w:val="007B723E"/>
    <w:rsid w:val="007C0C9E"/>
    <w:rsid w:val="007C3585"/>
    <w:rsid w:val="007C4874"/>
    <w:rsid w:val="007C63D6"/>
    <w:rsid w:val="007D2C8C"/>
    <w:rsid w:val="007D2C92"/>
    <w:rsid w:val="007D6924"/>
    <w:rsid w:val="007E3B4B"/>
    <w:rsid w:val="007E49BE"/>
    <w:rsid w:val="007F5479"/>
    <w:rsid w:val="007F54B6"/>
    <w:rsid w:val="007F5AFA"/>
    <w:rsid w:val="0081460D"/>
    <w:rsid w:val="00814F74"/>
    <w:rsid w:val="00820D6A"/>
    <w:rsid w:val="0082109C"/>
    <w:rsid w:val="008212BE"/>
    <w:rsid w:val="00822137"/>
    <w:rsid w:val="008232CC"/>
    <w:rsid w:val="00824652"/>
    <w:rsid w:val="00826727"/>
    <w:rsid w:val="0082682E"/>
    <w:rsid w:val="00831DA8"/>
    <w:rsid w:val="00833154"/>
    <w:rsid w:val="008341E0"/>
    <w:rsid w:val="00835FC6"/>
    <w:rsid w:val="0083779C"/>
    <w:rsid w:val="00837950"/>
    <w:rsid w:val="00837E60"/>
    <w:rsid w:val="0084292A"/>
    <w:rsid w:val="00847772"/>
    <w:rsid w:val="0085031E"/>
    <w:rsid w:val="00855E67"/>
    <w:rsid w:val="00855E8A"/>
    <w:rsid w:val="00861A16"/>
    <w:rsid w:val="00866590"/>
    <w:rsid w:val="008673C5"/>
    <w:rsid w:val="008771F2"/>
    <w:rsid w:val="008836E5"/>
    <w:rsid w:val="0088405B"/>
    <w:rsid w:val="0088485B"/>
    <w:rsid w:val="0088549C"/>
    <w:rsid w:val="00893EB8"/>
    <w:rsid w:val="00895567"/>
    <w:rsid w:val="00895DB3"/>
    <w:rsid w:val="00897881"/>
    <w:rsid w:val="008978E8"/>
    <w:rsid w:val="008A2960"/>
    <w:rsid w:val="008A777D"/>
    <w:rsid w:val="008A7E2A"/>
    <w:rsid w:val="008B364F"/>
    <w:rsid w:val="008C21CD"/>
    <w:rsid w:val="008C2ACA"/>
    <w:rsid w:val="008C2B40"/>
    <w:rsid w:val="008C3423"/>
    <w:rsid w:val="008C4363"/>
    <w:rsid w:val="008C6811"/>
    <w:rsid w:val="008D0BA3"/>
    <w:rsid w:val="008D1C85"/>
    <w:rsid w:val="008D2A54"/>
    <w:rsid w:val="008D4CBD"/>
    <w:rsid w:val="008D682A"/>
    <w:rsid w:val="008E26B9"/>
    <w:rsid w:val="008E278B"/>
    <w:rsid w:val="008E5C18"/>
    <w:rsid w:val="008E6126"/>
    <w:rsid w:val="008F2ED8"/>
    <w:rsid w:val="008F3C58"/>
    <w:rsid w:val="008F4950"/>
    <w:rsid w:val="00901569"/>
    <w:rsid w:val="00905F3C"/>
    <w:rsid w:val="00906408"/>
    <w:rsid w:val="00916E34"/>
    <w:rsid w:val="00921003"/>
    <w:rsid w:val="00921144"/>
    <w:rsid w:val="00922B0D"/>
    <w:rsid w:val="00922FF0"/>
    <w:rsid w:val="00924E95"/>
    <w:rsid w:val="00927220"/>
    <w:rsid w:val="00931C96"/>
    <w:rsid w:val="0095573D"/>
    <w:rsid w:val="00957FDE"/>
    <w:rsid w:val="00964B8E"/>
    <w:rsid w:val="00974CB2"/>
    <w:rsid w:val="00977090"/>
    <w:rsid w:val="00983CDE"/>
    <w:rsid w:val="00985050"/>
    <w:rsid w:val="00985C37"/>
    <w:rsid w:val="0099223E"/>
    <w:rsid w:val="00996FBD"/>
    <w:rsid w:val="009A5B30"/>
    <w:rsid w:val="009A62C1"/>
    <w:rsid w:val="009B053F"/>
    <w:rsid w:val="009B2F90"/>
    <w:rsid w:val="009B4435"/>
    <w:rsid w:val="009B5BD1"/>
    <w:rsid w:val="009B6D91"/>
    <w:rsid w:val="009B79D8"/>
    <w:rsid w:val="009C2C72"/>
    <w:rsid w:val="009C5309"/>
    <w:rsid w:val="009C589F"/>
    <w:rsid w:val="009C7F49"/>
    <w:rsid w:val="009D0954"/>
    <w:rsid w:val="009D0A92"/>
    <w:rsid w:val="009D258C"/>
    <w:rsid w:val="009D2CF9"/>
    <w:rsid w:val="009E5857"/>
    <w:rsid w:val="009F49C2"/>
    <w:rsid w:val="009F49F8"/>
    <w:rsid w:val="00A031DD"/>
    <w:rsid w:val="00A03CEB"/>
    <w:rsid w:val="00A04D83"/>
    <w:rsid w:val="00A067AC"/>
    <w:rsid w:val="00A0726C"/>
    <w:rsid w:val="00A1087E"/>
    <w:rsid w:val="00A14499"/>
    <w:rsid w:val="00A1473C"/>
    <w:rsid w:val="00A20716"/>
    <w:rsid w:val="00A20F5D"/>
    <w:rsid w:val="00A27690"/>
    <w:rsid w:val="00A276CF"/>
    <w:rsid w:val="00A33657"/>
    <w:rsid w:val="00A33E8E"/>
    <w:rsid w:val="00A34788"/>
    <w:rsid w:val="00A34DB6"/>
    <w:rsid w:val="00A35AE4"/>
    <w:rsid w:val="00A37840"/>
    <w:rsid w:val="00A40B24"/>
    <w:rsid w:val="00A44866"/>
    <w:rsid w:val="00A47BDA"/>
    <w:rsid w:val="00A51C7B"/>
    <w:rsid w:val="00A528A1"/>
    <w:rsid w:val="00A674B4"/>
    <w:rsid w:val="00A71255"/>
    <w:rsid w:val="00A73B4F"/>
    <w:rsid w:val="00A7504E"/>
    <w:rsid w:val="00A764B7"/>
    <w:rsid w:val="00A76ECA"/>
    <w:rsid w:val="00A76F13"/>
    <w:rsid w:val="00A81937"/>
    <w:rsid w:val="00A83AF4"/>
    <w:rsid w:val="00A8452A"/>
    <w:rsid w:val="00A850AB"/>
    <w:rsid w:val="00A91474"/>
    <w:rsid w:val="00A9386A"/>
    <w:rsid w:val="00A95C5D"/>
    <w:rsid w:val="00AB119C"/>
    <w:rsid w:val="00AB31FD"/>
    <w:rsid w:val="00AB6559"/>
    <w:rsid w:val="00AB703D"/>
    <w:rsid w:val="00AB7251"/>
    <w:rsid w:val="00AB737A"/>
    <w:rsid w:val="00AC1986"/>
    <w:rsid w:val="00AC37CB"/>
    <w:rsid w:val="00AC4E5F"/>
    <w:rsid w:val="00AE29A9"/>
    <w:rsid w:val="00AE5CFF"/>
    <w:rsid w:val="00AF10E1"/>
    <w:rsid w:val="00AF64D4"/>
    <w:rsid w:val="00B0095D"/>
    <w:rsid w:val="00B04AC8"/>
    <w:rsid w:val="00B06F0F"/>
    <w:rsid w:val="00B139B9"/>
    <w:rsid w:val="00B22D19"/>
    <w:rsid w:val="00B2661C"/>
    <w:rsid w:val="00B30E13"/>
    <w:rsid w:val="00B403BF"/>
    <w:rsid w:val="00B41289"/>
    <w:rsid w:val="00B4523A"/>
    <w:rsid w:val="00B50D58"/>
    <w:rsid w:val="00B55737"/>
    <w:rsid w:val="00B62AB9"/>
    <w:rsid w:val="00B63F4E"/>
    <w:rsid w:val="00B644DF"/>
    <w:rsid w:val="00B73118"/>
    <w:rsid w:val="00B736AE"/>
    <w:rsid w:val="00B74C9A"/>
    <w:rsid w:val="00B75A6E"/>
    <w:rsid w:val="00B76537"/>
    <w:rsid w:val="00B774F8"/>
    <w:rsid w:val="00B7778B"/>
    <w:rsid w:val="00B83543"/>
    <w:rsid w:val="00B84F97"/>
    <w:rsid w:val="00B864A5"/>
    <w:rsid w:val="00B975CE"/>
    <w:rsid w:val="00B975F7"/>
    <w:rsid w:val="00BA1F61"/>
    <w:rsid w:val="00BA7460"/>
    <w:rsid w:val="00BB19CB"/>
    <w:rsid w:val="00BC016E"/>
    <w:rsid w:val="00BC363D"/>
    <w:rsid w:val="00BC470A"/>
    <w:rsid w:val="00BD4645"/>
    <w:rsid w:val="00BD4F31"/>
    <w:rsid w:val="00BD52B6"/>
    <w:rsid w:val="00BF3345"/>
    <w:rsid w:val="00BF5260"/>
    <w:rsid w:val="00BF6D77"/>
    <w:rsid w:val="00BF77CA"/>
    <w:rsid w:val="00C06ADB"/>
    <w:rsid w:val="00C1064D"/>
    <w:rsid w:val="00C12C06"/>
    <w:rsid w:val="00C15679"/>
    <w:rsid w:val="00C157EC"/>
    <w:rsid w:val="00C17425"/>
    <w:rsid w:val="00C2011F"/>
    <w:rsid w:val="00C21C4D"/>
    <w:rsid w:val="00C27C98"/>
    <w:rsid w:val="00C327A9"/>
    <w:rsid w:val="00C3757A"/>
    <w:rsid w:val="00C43382"/>
    <w:rsid w:val="00C43733"/>
    <w:rsid w:val="00C45048"/>
    <w:rsid w:val="00C46F0E"/>
    <w:rsid w:val="00C50DEE"/>
    <w:rsid w:val="00C51F18"/>
    <w:rsid w:val="00C521F2"/>
    <w:rsid w:val="00C53027"/>
    <w:rsid w:val="00C54C4E"/>
    <w:rsid w:val="00C57751"/>
    <w:rsid w:val="00C63ED8"/>
    <w:rsid w:val="00C65364"/>
    <w:rsid w:val="00C723C6"/>
    <w:rsid w:val="00C805A3"/>
    <w:rsid w:val="00C84B5D"/>
    <w:rsid w:val="00C9182C"/>
    <w:rsid w:val="00C92B60"/>
    <w:rsid w:val="00C93C3F"/>
    <w:rsid w:val="00C97A74"/>
    <w:rsid w:val="00CA4F3A"/>
    <w:rsid w:val="00CB3FC6"/>
    <w:rsid w:val="00CC4D6B"/>
    <w:rsid w:val="00CD478F"/>
    <w:rsid w:val="00CF0C80"/>
    <w:rsid w:val="00CF3DD4"/>
    <w:rsid w:val="00CF5275"/>
    <w:rsid w:val="00D010CF"/>
    <w:rsid w:val="00D023F0"/>
    <w:rsid w:val="00D06068"/>
    <w:rsid w:val="00D061DE"/>
    <w:rsid w:val="00D1110F"/>
    <w:rsid w:val="00D12973"/>
    <w:rsid w:val="00D12BC5"/>
    <w:rsid w:val="00D13C7E"/>
    <w:rsid w:val="00D15255"/>
    <w:rsid w:val="00D17D96"/>
    <w:rsid w:val="00D207B7"/>
    <w:rsid w:val="00D22369"/>
    <w:rsid w:val="00D2499F"/>
    <w:rsid w:val="00D26576"/>
    <w:rsid w:val="00D278FD"/>
    <w:rsid w:val="00D3280C"/>
    <w:rsid w:val="00D32DD0"/>
    <w:rsid w:val="00D37314"/>
    <w:rsid w:val="00D40B63"/>
    <w:rsid w:val="00D40CDC"/>
    <w:rsid w:val="00D41277"/>
    <w:rsid w:val="00D47125"/>
    <w:rsid w:val="00D5143C"/>
    <w:rsid w:val="00D51842"/>
    <w:rsid w:val="00D518D1"/>
    <w:rsid w:val="00D52FB2"/>
    <w:rsid w:val="00D54A66"/>
    <w:rsid w:val="00D55B38"/>
    <w:rsid w:val="00D60489"/>
    <w:rsid w:val="00D6114B"/>
    <w:rsid w:val="00D706B5"/>
    <w:rsid w:val="00D7540A"/>
    <w:rsid w:val="00D7598C"/>
    <w:rsid w:val="00D76E4C"/>
    <w:rsid w:val="00D82872"/>
    <w:rsid w:val="00D83F12"/>
    <w:rsid w:val="00D87122"/>
    <w:rsid w:val="00D94ECA"/>
    <w:rsid w:val="00DA064D"/>
    <w:rsid w:val="00DA3F69"/>
    <w:rsid w:val="00DA5D02"/>
    <w:rsid w:val="00DB500C"/>
    <w:rsid w:val="00DB719F"/>
    <w:rsid w:val="00DC0845"/>
    <w:rsid w:val="00DC1F30"/>
    <w:rsid w:val="00DC5AFC"/>
    <w:rsid w:val="00DC6B21"/>
    <w:rsid w:val="00DC7B98"/>
    <w:rsid w:val="00DD1188"/>
    <w:rsid w:val="00DD4589"/>
    <w:rsid w:val="00DD5B65"/>
    <w:rsid w:val="00DF0D04"/>
    <w:rsid w:val="00DF3C10"/>
    <w:rsid w:val="00DF7931"/>
    <w:rsid w:val="00E00393"/>
    <w:rsid w:val="00E01F75"/>
    <w:rsid w:val="00E0651A"/>
    <w:rsid w:val="00E12C91"/>
    <w:rsid w:val="00E1372F"/>
    <w:rsid w:val="00E142BF"/>
    <w:rsid w:val="00E15266"/>
    <w:rsid w:val="00E330E5"/>
    <w:rsid w:val="00E378B6"/>
    <w:rsid w:val="00E41384"/>
    <w:rsid w:val="00E41A0D"/>
    <w:rsid w:val="00E42A25"/>
    <w:rsid w:val="00E4728E"/>
    <w:rsid w:val="00E5283A"/>
    <w:rsid w:val="00E570E1"/>
    <w:rsid w:val="00E65171"/>
    <w:rsid w:val="00E70BBE"/>
    <w:rsid w:val="00E70BD5"/>
    <w:rsid w:val="00E754F6"/>
    <w:rsid w:val="00E85A5C"/>
    <w:rsid w:val="00E87EF5"/>
    <w:rsid w:val="00E9053B"/>
    <w:rsid w:val="00E9064F"/>
    <w:rsid w:val="00E92BA3"/>
    <w:rsid w:val="00E975FE"/>
    <w:rsid w:val="00EB2EF8"/>
    <w:rsid w:val="00EB309B"/>
    <w:rsid w:val="00EB43EC"/>
    <w:rsid w:val="00EC0C8A"/>
    <w:rsid w:val="00EC1198"/>
    <w:rsid w:val="00EC21CE"/>
    <w:rsid w:val="00EC223D"/>
    <w:rsid w:val="00EC5658"/>
    <w:rsid w:val="00EC6E4D"/>
    <w:rsid w:val="00EC72EA"/>
    <w:rsid w:val="00ED0212"/>
    <w:rsid w:val="00ED51B8"/>
    <w:rsid w:val="00ED7C80"/>
    <w:rsid w:val="00ED7F20"/>
    <w:rsid w:val="00EE60E2"/>
    <w:rsid w:val="00EE654C"/>
    <w:rsid w:val="00EF2F0B"/>
    <w:rsid w:val="00EF5F9B"/>
    <w:rsid w:val="00F01C60"/>
    <w:rsid w:val="00F049B6"/>
    <w:rsid w:val="00F11767"/>
    <w:rsid w:val="00F1236A"/>
    <w:rsid w:val="00F12EAC"/>
    <w:rsid w:val="00F1301A"/>
    <w:rsid w:val="00F13CF6"/>
    <w:rsid w:val="00F14E55"/>
    <w:rsid w:val="00F21E10"/>
    <w:rsid w:val="00F24A6A"/>
    <w:rsid w:val="00F35562"/>
    <w:rsid w:val="00F434A2"/>
    <w:rsid w:val="00F4461D"/>
    <w:rsid w:val="00F501B7"/>
    <w:rsid w:val="00F50263"/>
    <w:rsid w:val="00F5160D"/>
    <w:rsid w:val="00F51A84"/>
    <w:rsid w:val="00F51CF0"/>
    <w:rsid w:val="00F52439"/>
    <w:rsid w:val="00F52AD2"/>
    <w:rsid w:val="00F5764D"/>
    <w:rsid w:val="00F63938"/>
    <w:rsid w:val="00F66429"/>
    <w:rsid w:val="00F666D0"/>
    <w:rsid w:val="00F72894"/>
    <w:rsid w:val="00F73B2F"/>
    <w:rsid w:val="00F772C7"/>
    <w:rsid w:val="00F779D9"/>
    <w:rsid w:val="00F807DE"/>
    <w:rsid w:val="00F87B73"/>
    <w:rsid w:val="00F94863"/>
    <w:rsid w:val="00F95B99"/>
    <w:rsid w:val="00F976E6"/>
    <w:rsid w:val="00F97EA1"/>
    <w:rsid w:val="00F97FFD"/>
    <w:rsid w:val="00FA251D"/>
    <w:rsid w:val="00FA4E2C"/>
    <w:rsid w:val="00FB1A07"/>
    <w:rsid w:val="00FB3CE7"/>
    <w:rsid w:val="00FB566A"/>
    <w:rsid w:val="00FB6A3F"/>
    <w:rsid w:val="00FC1005"/>
    <w:rsid w:val="00FC7DB4"/>
    <w:rsid w:val="00FD02E3"/>
    <w:rsid w:val="00FD16B0"/>
    <w:rsid w:val="00FD1AD4"/>
    <w:rsid w:val="00FE06FB"/>
    <w:rsid w:val="00FE1D80"/>
    <w:rsid w:val="00FF2BD5"/>
    <w:rsid w:val="00FF4261"/>
    <w:rsid w:val="00FF5C3A"/>
    <w:rsid w:val="00FF7F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9513"/>
  <w15:chartTrackingRefBased/>
  <w15:docId w15:val="{41FD8D53-C47B-4F07-8E28-67FD5DD3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8E8"/>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4GChar"/>
    <w:uiPriority w:val="99"/>
    <w:unhideWhenUsed/>
    <w:qFormat/>
    <w:rsid w:val="008978E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78E8"/>
    <w:pPr>
      <w:jc w:val="both"/>
    </w:pPr>
    <w:rPr>
      <w:rFonts w:asciiTheme="minorHAnsi" w:eastAsiaTheme="minorHAnsi" w:hAnsiTheme="minorHAnsi" w:cstheme="minorBidi"/>
      <w:sz w:val="22"/>
      <w:szCs w:val="22"/>
      <w:vertAlign w:val="superscript"/>
      <w:lang w:eastAsia="en-US"/>
    </w:rPr>
  </w:style>
  <w:style w:type="paragraph" w:styleId="Textonotapie">
    <w:name w:val="footnote text"/>
    <w:aliases w:val="Texto nota pie Car Car,Texto nota pie Car1,Footnote Text Char Char Char Char Char,Footnote Text Char Char Char Char,Footnote reference,FA Fu,Footnote Text Cha,Footnote Text Char Char Char,FA Fußnotentext,FA Fuﬂnotentext,FA Fu Car Car,FA "/>
    <w:basedOn w:val="Normal"/>
    <w:link w:val="TextonotapieCar"/>
    <w:uiPriority w:val="99"/>
    <w:unhideWhenUsed/>
    <w:qFormat/>
    <w:rsid w:val="008978E8"/>
    <w:pPr>
      <w:spacing w:after="200" w:line="276" w:lineRule="auto"/>
    </w:pPr>
    <w:rPr>
      <w:sz w:val="20"/>
      <w:szCs w:val="20"/>
    </w:rPr>
  </w:style>
  <w:style w:type="character" w:customStyle="1" w:styleId="TextonotapieCar">
    <w:name w:val="Texto nota pie Car"/>
    <w:aliases w:val="Texto nota pie Car Car Car,Texto nota pie Car1 Car,Footnote Text Char Char Char Char Char Car,Footnote Text Char Char Char Char Car,Footnote reference Car,FA Fu Car,Footnote Text Cha Car,Footnote Text Char Char Char Car,FA  Car"/>
    <w:basedOn w:val="Fuentedeprrafopredeter"/>
    <w:link w:val="Textonotapie"/>
    <w:uiPriority w:val="99"/>
    <w:qFormat/>
    <w:rsid w:val="008978E8"/>
    <w:rPr>
      <w:rFonts w:ascii="Times New Roman" w:eastAsia="Times New Roman" w:hAnsi="Times New Roman" w:cs="Times New Roman"/>
      <w:sz w:val="20"/>
      <w:szCs w:val="20"/>
      <w:lang w:eastAsia="es-ES_tradnl"/>
    </w:rPr>
  </w:style>
  <w:style w:type="paragraph" w:styleId="Encabezado">
    <w:name w:val="header"/>
    <w:basedOn w:val="Normal"/>
    <w:link w:val="EncabezadoCar"/>
    <w:uiPriority w:val="99"/>
    <w:unhideWhenUsed/>
    <w:rsid w:val="008978E8"/>
    <w:pPr>
      <w:tabs>
        <w:tab w:val="center" w:pos="4680"/>
        <w:tab w:val="right" w:pos="9360"/>
      </w:tabs>
    </w:pPr>
  </w:style>
  <w:style w:type="character" w:customStyle="1" w:styleId="EncabezadoCar">
    <w:name w:val="Encabezado Car"/>
    <w:basedOn w:val="Fuentedeprrafopredeter"/>
    <w:link w:val="Encabezado"/>
    <w:uiPriority w:val="99"/>
    <w:rsid w:val="008978E8"/>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8978E8"/>
    <w:pPr>
      <w:tabs>
        <w:tab w:val="center" w:pos="4419"/>
        <w:tab w:val="right" w:pos="8838"/>
      </w:tabs>
    </w:pPr>
  </w:style>
  <w:style w:type="character" w:customStyle="1" w:styleId="PiedepginaCar">
    <w:name w:val="Pie de página Car"/>
    <w:basedOn w:val="Fuentedeprrafopredeter"/>
    <w:link w:val="Piedepgina"/>
    <w:uiPriority w:val="99"/>
    <w:rsid w:val="008978E8"/>
    <w:rPr>
      <w:rFonts w:ascii="Times New Roman" w:eastAsia="Times New Roman" w:hAnsi="Times New Roman" w:cs="Times New Roman"/>
      <w:sz w:val="24"/>
      <w:szCs w:val="24"/>
      <w:lang w:eastAsia="es-ES_tradnl"/>
    </w:rPr>
  </w:style>
  <w:style w:type="paragraph" w:customStyle="1" w:styleId="Textoindependiente21">
    <w:name w:val="Texto independiente 21"/>
    <w:basedOn w:val="Normal"/>
    <w:qFormat/>
    <w:rsid w:val="00FD1AD4"/>
    <w:pPr>
      <w:overflowPunct w:val="0"/>
      <w:autoSpaceDE w:val="0"/>
      <w:autoSpaceDN w:val="0"/>
      <w:adjustRightInd w:val="0"/>
      <w:spacing w:after="120"/>
      <w:ind w:left="283"/>
    </w:pPr>
    <w:rPr>
      <w:rFonts w:ascii="Arial" w:hAnsi="Arial"/>
      <w:sz w:val="16"/>
      <w:szCs w:val="20"/>
      <w:lang w:val="es-ES_tradnl" w:eastAsia="es-ES"/>
    </w:rPr>
  </w:style>
  <w:style w:type="character" w:customStyle="1" w:styleId="normaltextrun">
    <w:name w:val="normaltextrun"/>
    <w:rsid w:val="00FD1AD4"/>
  </w:style>
  <w:style w:type="paragraph" w:customStyle="1" w:styleId="xmsolistparagraph">
    <w:name w:val="x_msolistparagraph"/>
    <w:basedOn w:val="Normal"/>
    <w:rsid w:val="00FD1AD4"/>
    <w:pPr>
      <w:spacing w:before="100" w:beforeAutospacing="1" w:after="100" w:afterAutospacing="1"/>
    </w:pPr>
    <w:rPr>
      <w:lang w:eastAsia="en-US"/>
    </w:rPr>
  </w:style>
  <w:style w:type="paragraph" w:styleId="NormalWeb">
    <w:name w:val="Normal (Web)"/>
    <w:basedOn w:val="Normal"/>
    <w:uiPriority w:val="99"/>
    <w:semiHidden/>
    <w:unhideWhenUsed/>
    <w:rsid w:val="0075312D"/>
  </w:style>
  <w:style w:type="table" w:styleId="Tablaconcuadrcula">
    <w:name w:val="Table Grid"/>
    <w:basedOn w:val="Tablanormal"/>
    <w:uiPriority w:val="39"/>
    <w:rsid w:val="00C37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3439"/>
    <w:rPr>
      <w:color w:val="0563C1" w:themeColor="hyperlink"/>
      <w:u w:val="single"/>
    </w:rPr>
  </w:style>
  <w:style w:type="character" w:styleId="Mencinsinresolver">
    <w:name w:val="Unresolved Mention"/>
    <w:basedOn w:val="Fuentedeprrafopredeter"/>
    <w:uiPriority w:val="99"/>
    <w:semiHidden/>
    <w:unhideWhenUsed/>
    <w:rsid w:val="003A3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D7B16-CC58-45EC-92DF-D5154046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MARTINEZ PEÑUELA</dc:creator>
  <cp:keywords/>
  <dc:description/>
  <cp:lastModifiedBy>Sonia Esther Jaimes Valencia</cp:lastModifiedBy>
  <cp:revision>2</cp:revision>
  <dcterms:created xsi:type="dcterms:W3CDTF">2023-04-13T20:39:00Z</dcterms:created>
  <dcterms:modified xsi:type="dcterms:W3CDTF">2023-04-13T20:39:00Z</dcterms:modified>
</cp:coreProperties>
</file>